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AB6D5" w14:textId="77777777" w:rsidR="006A30C6" w:rsidRDefault="00000000">
      <w:r>
        <w:t>PBR Interpretation based on Frick et al. 2026 (BSH &amp; DGY)</w:t>
      </w:r>
    </w:p>
    <w:sdt>
      <w:sdtPr>
        <w:rPr>
          <w:rFonts w:ascii="Roboto Light" w:eastAsia="Times New Roman" w:hAnsi="Roboto Light" w:cs="Pª«ª‘ˇ¯‡™"/>
          <w:color w:val="auto"/>
          <w:sz w:val="22"/>
          <w:szCs w:val="22"/>
          <w:lang w:val="en-US" w:eastAsia="pt-BR"/>
        </w:rPr>
        <w:id w:val="-1849010375"/>
        <w:docPartObj>
          <w:docPartGallery w:val="Table of Contents"/>
          <w:docPartUnique/>
        </w:docPartObj>
      </w:sdtPr>
      <w:sdtContent>
        <w:p w14:paraId="2184CBEB" w14:textId="77777777" w:rsidR="006A30C6" w:rsidRDefault="00000000">
          <w:pPr>
            <w:pStyle w:val="Cabealhodondice"/>
          </w:pPr>
          <w:r>
            <w:t>Table of Contents</w:t>
          </w:r>
        </w:p>
        <w:p w14:paraId="7E8FB53C" w14:textId="77777777" w:rsidR="00955D96" w:rsidRDefault="00000000">
          <w:pPr>
            <w:pStyle w:val="ndice1"/>
            <w:rPr>
              <w:rFonts w:asciiTheme="minorHAnsi" w:eastAsiaTheme="minorEastAsia" w:hAnsiTheme="minorHAnsi" w:cstheme="minorBidi"/>
              <w:b w:val="0"/>
              <w:bCs w:val="0"/>
              <w:kern w:val="2"/>
              <w:sz w:val="24"/>
              <w:szCs w:val="24"/>
              <w:lang w:val="pt-PT" w:eastAsia="pt-PT"/>
              <w14:ligatures w14:val="standardContextual"/>
            </w:rPr>
          </w:pPr>
          <w:r>
            <w:fldChar w:fldCharType="begin"/>
          </w:r>
          <w:r>
            <w:instrText>TOC \o "1-3" \h \z \u</w:instrText>
          </w:r>
          <w:r>
            <w:fldChar w:fldCharType="separate"/>
          </w:r>
          <w:hyperlink w:anchor="_Toc240385941" w:history="1">
            <w:r w:rsidR="00955D96" w:rsidRPr="00DA5EB4">
              <w:rPr>
                <w:rStyle w:val="Hiperligao"/>
              </w:rPr>
              <w:t>1.</w:t>
            </w:r>
            <w:r w:rsidR="00955D96">
              <w:rPr>
                <w:rFonts w:asciiTheme="minorHAnsi" w:eastAsiaTheme="minorEastAsia" w:hAnsiTheme="minorHAnsi" w:cstheme="minorBidi"/>
                <w:b w:val="0"/>
                <w:bCs w:val="0"/>
                <w:kern w:val="2"/>
                <w:sz w:val="24"/>
                <w:szCs w:val="24"/>
                <w:lang w:val="pt-PT" w:eastAsia="pt-PT"/>
                <w14:ligatures w14:val="standardContextual"/>
              </w:rPr>
              <w:tab/>
            </w:r>
            <w:r w:rsidR="00955D96" w:rsidRPr="00DA5EB4">
              <w:rPr>
                <w:rStyle w:val="Hiperligao"/>
              </w:rPr>
              <w:t>Context</w:t>
            </w:r>
            <w:r w:rsidR="00955D96">
              <w:rPr>
                <w:webHidden/>
              </w:rPr>
              <w:tab/>
            </w:r>
            <w:r w:rsidR="00955D96">
              <w:rPr>
                <w:webHidden/>
              </w:rPr>
              <w:fldChar w:fldCharType="begin"/>
            </w:r>
            <w:r w:rsidR="00955D96">
              <w:rPr>
                <w:webHidden/>
              </w:rPr>
              <w:instrText xml:space="preserve"> PAGEREF _Toc240385941 \h </w:instrText>
            </w:r>
            <w:r w:rsidR="00955D96">
              <w:rPr>
                <w:webHidden/>
              </w:rPr>
            </w:r>
            <w:r w:rsidR="00955D96">
              <w:rPr>
                <w:webHidden/>
              </w:rPr>
              <w:fldChar w:fldCharType="separate"/>
            </w:r>
            <w:r w:rsidR="00955D96">
              <w:rPr>
                <w:webHidden/>
              </w:rPr>
              <w:t>1</w:t>
            </w:r>
            <w:r w:rsidR="00955D96">
              <w:rPr>
                <w:webHidden/>
              </w:rPr>
              <w:fldChar w:fldCharType="end"/>
            </w:r>
          </w:hyperlink>
        </w:p>
        <w:p w14:paraId="6A28BED9" w14:textId="77777777" w:rsidR="00955D96" w:rsidRDefault="00955D96">
          <w:pPr>
            <w:pStyle w:val="ndice1"/>
            <w:rPr>
              <w:rFonts w:asciiTheme="minorHAnsi" w:eastAsiaTheme="minorEastAsia" w:hAnsiTheme="minorHAnsi" w:cstheme="minorBidi"/>
              <w:b w:val="0"/>
              <w:bCs w:val="0"/>
              <w:kern w:val="2"/>
              <w:sz w:val="24"/>
              <w:szCs w:val="24"/>
              <w:lang w:val="pt-PT" w:eastAsia="pt-PT"/>
              <w14:ligatures w14:val="standardContextual"/>
            </w:rPr>
          </w:pPr>
          <w:hyperlink w:anchor="_Toc240385942" w:history="1">
            <w:r w:rsidRPr="00DA5EB4">
              <w:rPr>
                <w:rStyle w:val="Hiperligao"/>
              </w:rPr>
              <w:t>2.</w:t>
            </w:r>
            <w:r>
              <w:rPr>
                <w:rFonts w:asciiTheme="minorHAnsi" w:eastAsiaTheme="minorEastAsia" w:hAnsiTheme="minorHAnsi" w:cstheme="minorBidi"/>
                <w:b w:val="0"/>
                <w:bCs w:val="0"/>
                <w:kern w:val="2"/>
                <w:sz w:val="24"/>
                <w:szCs w:val="24"/>
                <w:lang w:val="pt-PT" w:eastAsia="pt-PT"/>
                <w14:ligatures w14:val="standardContextual"/>
              </w:rPr>
              <w:tab/>
            </w:r>
            <w:r w:rsidRPr="00DA5EB4">
              <w:rPr>
                <w:rStyle w:val="Hiperligao"/>
              </w:rPr>
              <w:t>PBR Threshold Uncertainty</w:t>
            </w:r>
            <w:r>
              <w:rPr>
                <w:webHidden/>
              </w:rPr>
              <w:tab/>
            </w:r>
            <w:r>
              <w:rPr>
                <w:webHidden/>
              </w:rPr>
              <w:fldChar w:fldCharType="begin"/>
            </w:r>
            <w:r>
              <w:rPr>
                <w:webHidden/>
              </w:rPr>
              <w:instrText xml:space="preserve"> PAGEREF _Toc240385942 \h </w:instrText>
            </w:r>
            <w:r>
              <w:rPr>
                <w:webHidden/>
              </w:rPr>
            </w:r>
            <w:r>
              <w:rPr>
                <w:webHidden/>
              </w:rPr>
              <w:fldChar w:fldCharType="separate"/>
            </w:r>
            <w:r>
              <w:rPr>
                <w:webHidden/>
              </w:rPr>
              <w:t>1</w:t>
            </w:r>
            <w:r>
              <w:rPr>
                <w:webHidden/>
              </w:rPr>
              <w:fldChar w:fldCharType="end"/>
            </w:r>
          </w:hyperlink>
        </w:p>
        <w:p w14:paraId="382E7502" w14:textId="77777777" w:rsidR="00955D96" w:rsidRDefault="00955D96">
          <w:pPr>
            <w:pStyle w:val="ndice2"/>
            <w:rPr>
              <w:rFonts w:asciiTheme="minorHAnsi" w:eastAsiaTheme="minorEastAsia" w:hAnsiTheme="minorHAnsi" w:cstheme="minorBidi"/>
              <w:kern w:val="2"/>
              <w:sz w:val="24"/>
              <w:szCs w:val="24"/>
              <w:lang w:val="pt-PT" w:eastAsia="pt-PT"/>
              <w14:ligatures w14:val="standardContextual"/>
            </w:rPr>
          </w:pPr>
          <w:hyperlink w:anchor="_Toc240385943" w:history="1">
            <w:r w:rsidRPr="00DA5EB4">
              <w:rPr>
                <w:rStyle w:val="Hiperligao"/>
              </w:rPr>
              <w:t>2.1.</w:t>
            </w:r>
            <w:r>
              <w:rPr>
                <w:rFonts w:asciiTheme="minorHAnsi" w:eastAsiaTheme="minorEastAsia" w:hAnsiTheme="minorHAnsi" w:cstheme="minorBidi"/>
                <w:kern w:val="2"/>
                <w:sz w:val="24"/>
                <w:szCs w:val="24"/>
                <w:lang w:val="pt-PT" w:eastAsia="pt-PT"/>
                <w14:ligatures w14:val="standardContextual"/>
              </w:rPr>
              <w:tab/>
            </w:r>
            <w:r w:rsidRPr="00DA5EB4">
              <w:rPr>
                <w:rStyle w:val="Hiperligao"/>
              </w:rPr>
              <w:t>Frick et al. adjusted PBR framework</w:t>
            </w:r>
            <w:r>
              <w:rPr>
                <w:webHidden/>
              </w:rPr>
              <w:tab/>
            </w:r>
            <w:r>
              <w:rPr>
                <w:webHidden/>
              </w:rPr>
              <w:fldChar w:fldCharType="begin"/>
            </w:r>
            <w:r>
              <w:rPr>
                <w:webHidden/>
              </w:rPr>
              <w:instrText xml:space="preserve"> PAGEREF _Toc240385943 \h </w:instrText>
            </w:r>
            <w:r>
              <w:rPr>
                <w:webHidden/>
              </w:rPr>
            </w:r>
            <w:r>
              <w:rPr>
                <w:webHidden/>
              </w:rPr>
              <w:fldChar w:fldCharType="separate"/>
            </w:r>
            <w:r>
              <w:rPr>
                <w:webHidden/>
              </w:rPr>
              <w:t>1</w:t>
            </w:r>
            <w:r>
              <w:rPr>
                <w:webHidden/>
              </w:rPr>
              <w:fldChar w:fldCharType="end"/>
            </w:r>
          </w:hyperlink>
        </w:p>
        <w:p w14:paraId="694B8FF6" w14:textId="77777777" w:rsidR="00955D96" w:rsidRDefault="00955D96">
          <w:pPr>
            <w:pStyle w:val="ndice2"/>
            <w:rPr>
              <w:rFonts w:asciiTheme="minorHAnsi" w:eastAsiaTheme="minorEastAsia" w:hAnsiTheme="minorHAnsi" w:cstheme="minorBidi"/>
              <w:kern w:val="2"/>
              <w:sz w:val="24"/>
              <w:szCs w:val="24"/>
              <w:lang w:val="pt-PT" w:eastAsia="pt-PT"/>
              <w14:ligatures w14:val="standardContextual"/>
            </w:rPr>
          </w:pPr>
          <w:hyperlink w:anchor="_Toc240385944" w:history="1">
            <w:r w:rsidRPr="00DA5EB4">
              <w:rPr>
                <w:rStyle w:val="Hiperligao"/>
              </w:rPr>
              <w:t>2.2.</w:t>
            </w:r>
            <w:r>
              <w:rPr>
                <w:rFonts w:asciiTheme="minorHAnsi" w:eastAsiaTheme="minorEastAsia" w:hAnsiTheme="minorHAnsi" w:cstheme="minorBidi"/>
                <w:kern w:val="2"/>
                <w:sz w:val="24"/>
                <w:szCs w:val="24"/>
                <w:lang w:val="pt-PT" w:eastAsia="pt-PT"/>
                <w14:ligatures w14:val="standardContextual"/>
              </w:rPr>
              <w:tab/>
            </w:r>
            <w:r w:rsidRPr="00DA5EB4">
              <w:rPr>
                <w:rStyle w:val="Hiperligao"/>
              </w:rPr>
              <w:t>Sensitivity and elasticity analysis</w:t>
            </w:r>
            <w:r>
              <w:rPr>
                <w:webHidden/>
              </w:rPr>
              <w:tab/>
            </w:r>
            <w:r>
              <w:rPr>
                <w:webHidden/>
              </w:rPr>
              <w:fldChar w:fldCharType="begin"/>
            </w:r>
            <w:r>
              <w:rPr>
                <w:webHidden/>
              </w:rPr>
              <w:instrText xml:space="preserve"> PAGEREF _Toc240385944 \h </w:instrText>
            </w:r>
            <w:r>
              <w:rPr>
                <w:webHidden/>
              </w:rPr>
            </w:r>
            <w:r>
              <w:rPr>
                <w:webHidden/>
              </w:rPr>
              <w:fldChar w:fldCharType="separate"/>
            </w:r>
            <w:r>
              <w:rPr>
                <w:webHidden/>
              </w:rPr>
              <w:t>1</w:t>
            </w:r>
            <w:r>
              <w:rPr>
                <w:webHidden/>
              </w:rPr>
              <w:fldChar w:fldCharType="end"/>
            </w:r>
          </w:hyperlink>
        </w:p>
        <w:p w14:paraId="12DEC017" w14:textId="77777777" w:rsidR="00955D96" w:rsidRDefault="00955D96">
          <w:pPr>
            <w:pStyle w:val="ndice2"/>
            <w:rPr>
              <w:rFonts w:asciiTheme="minorHAnsi" w:eastAsiaTheme="minorEastAsia" w:hAnsiTheme="minorHAnsi" w:cstheme="minorBidi"/>
              <w:kern w:val="2"/>
              <w:sz w:val="24"/>
              <w:szCs w:val="24"/>
              <w:lang w:val="pt-PT" w:eastAsia="pt-PT"/>
              <w14:ligatures w14:val="standardContextual"/>
            </w:rPr>
          </w:pPr>
          <w:hyperlink w:anchor="_Toc240385945" w:history="1">
            <w:r w:rsidRPr="00DA5EB4">
              <w:rPr>
                <w:rStyle w:val="Hiperligao"/>
              </w:rPr>
              <w:t>2.3.</w:t>
            </w:r>
            <w:r>
              <w:rPr>
                <w:rFonts w:asciiTheme="minorHAnsi" w:eastAsiaTheme="minorEastAsia" w:hAnsiTheme="minorHAnsi" w:cstheme="minorBidi"/>
                <w:kern w:val="2"/>
                <w:sz w:val="24"/>
                <w:szCs w:val="24"/>
                <w:lang w:val="pt-PT" w:eastAsia="pt-PT"/>
                <w14:ligatures w14:val="standardContextual"/>
              </w:rPr>
              <w:tab/>
            </w:r>
            <w:r w:rsidRPr="00DA5EB4">
              <w:rPr>
                <w:rStyle w:val="Hiperligao"/>
              </w:rPr>
              <w:t>Evidence base for age at first breeding</w:t>
            </w:r>
            <w:r>
              <w:rPr>
                <w:webHidden/>
              </w:rPr>
              <w:tab/>
            </w:r>
            <w:r>
              <w:rPr>
                <w:webHidden/>
              </w:rPr>
              <w:fldChar w:fldCharType="begin"/>
            </w:r>
            <w:r>
              <w:rPr>
                <w:webHidden/>
              </w:rPr>
              <w:instrText xml:space="preserve"> PAGEREF _Toc240385945 \h </w:instrText>
            </w:r>
            <w:r>
              <w:rPr>
                <w:webHidden/>
              </w:rPr>
            </w:r>
            <w:r>
              <w:rPr>
                <w:webHidden/>
              </w:rPr>
              <w:fldChar w:fldCharType="separate"/>
            </w:r>
            <w:r>
              <w:rPr>
                <w:webHidden/>
              </w:rPr>
              <w:t>1</w:t>
            </w:r>
            <w:r>
              <w:rPr>
                <w:webHidden/>
              </w:rPr>
              <w:fldChar w:fldCharType="end"/>
            </w:r>
          </w:hyperlink>
        </w:p>
        <w:p w14:paraId="067BDF2B" w14:textId="77777777" w:rsidR="00955D96" w:rsidRDefault="00955D96">
          <w:pPr>
            <w:pStyle w:val="ndice2"/>
            <w:rPr>
              <w:rFonts w:asciiTheme="minorHAnsi" w:eastAsiaTheme="minorEastAsia" w:hAnsiTheme="minorHAnsi" w:cstheme="minorBidi"/>
              <w:kern w:val="2"/>
              <w:sz w:val="24"/>
              <w:szCs w:val="24"/>
              <w:lang w:val="pt-PT" w:eastAsia="pt-PT"/>
              <w14:ligatures w14:val="standardContextual"/>
            </w:rPr>
          </w:pPr>
          <w:hyperlink w:anchor="_Toc240385946" w:history="1">
            <w:r w:rsidRPr="00DA5EB4">
              <w:rPr>
                <w:rStyle w:val="Hiperligao"/>
              </w:rPr>
              <w:t>2.4.</w:t>
            </w:r>
            <w:r>
              <w:rPr>
                <w:rFonts w:asciiTheme="minorHAnsi" w:eastAsiaTheme="minorEastAsia" w:hAnsiTheme="minorHAnsi" w:cstheme="minorBidi"/>
                <w:kern w:val="2"/>
                <w:sz w:val="24"/>
                <w:szCs w:val="24"/>
                <w:lang w:val="pt-PT" w:eastAsia="pt-PT"/>
                <w14:ligatures w14:val="standardContextual"/>
              </w:rPr>
              <w:tab/>
            </w:r>
            <w:r w:rsidRPr="00DA5EB4">
              <w:rPr>
                <w:rStyle w:val="Hiperligao"/>
              </w:rPr>
              <w:t>Reverse-engineering the imposed thresholds</w:t>
            </w:r>
            <w:r>
              <w:rPr>
                <w:webHidden/>
              </w:rPr>
              <w:tab/>
            </w:r>
            <w:r>
              <w:rPr>
                <w:webHidden/>
              </w:rPr>
              <w:fldChar w:fldCharType="begin"/>
            </w:r>
            <w:r>
              <w:rPr>
                <w:webHidden/>
              </w:rPr>
              <w:instrText xml:space="preserve"> PAGEREF _Toc240385946 \h </w:instrText>
            </w:r>
            <w:r>
              <w:rPr>
                <w:webHidden/>
              </w:rPr>
            </w:r>
            <w:r>
              <w:rPr>
                <w:webHidden/>
              </w:rPr>
              <w:fldChar w:fldCharType="separate"/>
            </w:r>
            <w:r>
              <w:rPr>
                <w:webHidden/>
              </w:rPr>
              <w:t>1</w:t>
            </w:r>
            <w:r>
              <w:rPr>
                <w:webHidden/>
              </w:rPr>
              <w:fldChar w:fldCharType="end"/>
            </w:r>
          </w:hyperlink>
        </w:p>
        <w:p w14:paraId="592D198F" w14:textId="77777777" w:rsidR="00955D96" w:rsidRDefault="00955D96">
          <w:pPr>
            <w:pStyle w:val="ndice2"/>
            <w:rPr>
              <w:rFonts w:asciiTheme="minorHAnsi" w:eastAsiaTheme="minorEastAsia" w:hAnsiTheme="minorHAnsi" w:cstheme="minorBidi"/>
              <w:kern w:val="2"/>
              <w:sz w:val="24"/>
              <w:szCs w:val="24"/>
              <w:lang w:val="pt-PT" w:eastAsia="pt-PT"/>
              <w14:ligatures w14:val="standardContextual"/>
            </w:rPr>
          </w:pPr>
          <w:hyperlink w:anchor="_Toc240385947" w:history="1">
            <w:r w:rsidRPr="00DA5EB4">
              <w:rPr>
                <w:rStyle w:val="Hiperligao"/>
              </w:rPr>
              <w:t>2.5.</w:t>
            </w:r>
            <w:r>
              <w:rPr>
                <w:rFonts w:asciiTheme="minorHAnsi" w:eastAsiaTheme="minorEastAsia" w:hAnsiTheme="minorHAnsi" w:cstheme="minorBidi"/>
                <w:kern w:val="2"/>
                <w:sz w:val="24"/>
                <w:szCs w:val="24"/>
                <w:lang w:val="pt-PT" w:eastAsia="pt-PT"/>
                <w14:ligatures w14:val="standardContextual"/>
              </w:rPr>
              <w:tab/>
            </w:r>
            <w:r w:rsidRPr="00DA5EB4">
              <w:rPr>
                <w:rStyle w:val="Hiperligao"/>
              </w:rPr>
              <w:t>PBR response surfaces</w:t>
            </w:r>
            <w:r>
              <w:rPr>
                <w:webHidden/>
              </w:rPr>
              <w:tab/>
            </w:r>
            <w:r>
              <w:rPr>
                <w:webHidden/>
              </w:rPr>
              <w:fldChar w:fldCharType="begin"/>
            </w:r>
            <w:r>
              <w:rPr>
                <w:webHidden/>
              </w:rPr>
              <w:instrText xml:space="preserve"> PAGEREF _Toc240385947 \h </w:instrText>
            </w:r>
            <w:r>
              <w:rPr>
                <w:webHidden/>
              </w:rPr>
            </w:r>
            <w:r>
              <w:rPr>
                <w:webHidden/>
              </w:rPr>
              <w:fldChar w:fldCharType="separate"/>
            </w:r>
            <w:r>
              <w:rPr>
                <w:webHidden/>
              </w:rPr>
              <w:t>1</w:t>
            </w:r>
            <w:r>
              <w:rPr>
                <w:webHidden/>
              </w:rPr>
              <w:fldChar w:fldCharType="end"/>
            </w:r>
          </w:hyperlink>
        </w:p>
        <w:p w14:paraId="323A71D8" w14:textId="77777777" w:rsidR="00955D96" w:rsidRDefault="00955D96">
          <w:pPr>
            <w:pStyle w:val="ndice2"/>
            <w:rPr>
              <w:rFonts w:asciiTheme="minorHAnsi" w:eastAsiaTheme="minorEastAsia" w:hAnsiTheme="minorHAnsi" w:cstheme="minorBidi"/>
              <w:kern w:val="2"/>
              <w:sz w:val="24"/>
              <w:szCs w:val="24"/>
              <w:lang w:val="pt-PT" w:eastAsia="pt-PT"/>
              <w14:ligatures w14:val="standardContextual"/>
            </w:rPr>
          </w:pPr>
          <w:hyperlink w:anchor="_Toc240385948" w:history="1">
            <w:r w:rsidRPr="00DA5EB4">
              <w:rPr>
                <w:rStyle w:val="Hiperligao"/>
              </w:rPr>
              <w:t>2.6.</w:t>
            </w:r>
            <w:r>
              <w:rPr>
                <w:rFonts w:asciiTheme="minorHAnsi" w:eastAsiaTheme="minorEastAsia" w:hAnsiTheme="minorHAnsi" w:cstheme="minorBidi"/>
                <w:kern w:val="2"/>
                <w:sz w:val="24"/>
                <w:szCs w:val="24"/>
                <w:lang w:val="pt-PT" w:eastAsia="pt-PT"/>
                <w14:ligatures w14:val="standardContextual"/>
              </w:rPr>
              <w:tab/>
            </w:r>
            <w:r w:rsidRPr="00DA5EB4">
              <w:rPr>
                <w:rStyle w:val="Hiperligao"/>
              </w:rPr>
              <w:t>Monte Carlo simulation outputs</w:t>
            </w:r>
            <w:r>
              <w:rPr>
                <w:webHidden/>
              </w:rPr>
              <w:tab/>
            </w:r>
            <w:r>
              <w:rPr>
                <w:webHidden/>
              </w:rPr>
              <w:fldChar w:fldCharType="begin"/>
            </w:r>
            <w:r>
              <w:rPr>
                <w:webHidden/>
              </w:rPr>
              <w:instrText xml:space="preserve"> PAGEREF _Toc240385948 \h </w:instrText>
            </w:r>
            <w:r>
              <w:rPr>
                <w:webHidden/>
              </w:rPr>
            </w:r>
            <w:r>
              <w:rPr>
                <w:webHidden/>
              </w:rPr>
              <w:fldChar w:fldCharType="separate"/>
            </w:r>
            <w:r>
              <w:rPr>
                <w:webHidden/>
              </w:rPr>
              <w:t>1</w:t>
            </w:r>
            <w:r>
              <w:rPr>
                <w:webHidden/>
              </w:rPr>
              <w:fldChar w:fldCharType="end"/>
            </w:r>
          </w:hyperlink>
        </w:p>
        <w:p w14:paraId="072E3EB8" w14:textId="77777777" w:rsidR="00955D96" w:rsidRDefault="00955D96">
          <w:pPr>
            <w:pStyle w:val="ndice2"/>
            <w:rPr>
              <w:rFonts w:asciiTheme="minorHAnsi" w:eastAsiaTheme="minorEastAsia" w:hAnsiTheme="minorHAnsi" w:cstheme="minorBidi"/>
              <w:kern w:val="2"/>
              <w:sz w:val="24"/>
              <w:szCs w:val="24"/>
              <w:lang w:val="pt-PT" w:eastAsia="pt-PT"/>
              <w14:ligatures w14:val="standardContextual"/>
            </w:rPr>
          </w:pPr>
          <w:hyperlink w:anchor="_Toc240385949" w:history="1">
            <w:r w:rsidRPr="00DA5EB4">
              <w:rPr>
                <w:rStyle w:val="Hiperligao"/>
              </w:rPr>
              <w:t>2.7.</w:t>
            </w:r>
            <w:r>
              <w:rPr>
                <w:rFonts w:asciiTheme="minorHAnsi" w:eastAsiaTheme="minorEastAsia" w:hAnsiTheme="minorHAnsi" w:cstheme="minorBidi"/>
                <w:kern w:val="2"/>
                <w:sz w:val="24"/>
                <w:szCs w:val="24"/>
                <w:lang w:val="pt-PT" w:eastAsia="pt-PT"/>
                <w14:ligatures w14:val="standardContextual"/>
              </w:rPr>
              <w:tab/>
            </w:r>
            <w:r w:rsidRPr="00DA5EB4">
              <w:rPr>
                <w:rStyle w:val="Hiperligao"/>
              </w:rPr>
              <w:t>Preliminary interpretation and implications</w:t>
            </w:r>
            <w:r>
              <w:rPr>
                <w:webHidden/>
              </w:rPr>
              <w:tab/>
            </w:r>
            <w:r>
              <w:rPr>
                <w:webHidden/>
              </w:rPr>
              <w:fldChar w:fldCharType="begin"/>
            </w:r>
            <w:r>
              <w:rPr>
                <w:webHidden/>
              </w:rPr>
              <w:instrText xml:space="preserve"> PAGEREF _Toc240385949 \h </w:instrText>
            </w:r>
            <w:r>
              <w:rPr>
                <w:webHidden/>
              </w:rPr>
            </w:r>
            <w:r>
              <w:rPr>
                <w:webHidden/>
              </w:rPr>
              <w:fldChar w:fldCharType="separate"/>
            </w:r>
            <w:r>
              <w:rPr>
                <w:webHidden/>
              </w:rPr>
              <w:t>1</w:t>
            </w:r>
            <w:r>
              <w:rPr>
                <w:webHidden/>
              </w:rPr>
              <w:fldChar w:fldCharType="end"/>
            </w:r>
          </w:hyperlink>
        </w:p>
        <w:p w14:paraId="1428C4C1" w14:textId="77777777" w:rsidR="006A30C6" w:rsidRDefault="00000000">
          <w:r>
            <w:fldChar w:fldCharType="end"/>
          </w:r>
        </w:p>
      </w:sdtContent>
    </w:sdt>
    <w:p w14:paraId="7B10E485" w14:textId="77777777" w:rsidR="006A30C6" w:rsidRDefault="00000000">
      <w:r>
        <w:t>Document history / List of changes.</w:t>
      </w:r>
    </w:p>
    <w:tbl>
      <w:tblPr>
        <w:tblStyle w:val="Tabelacomgrade1"/>
        <w:tblW w:w="4143" w:type="pct"/>
        <w:tblLayout w:type="fixed"/>
        <w:tblLook w:val="0020" w:firstRow="1" w:lastRow="0" w:firstColumn="0" w:lastColumn="0" w:noHBand="0" w:noVBand="0"/>
      </w:tblPr>
      <w:tblGrid>
        <w:gridCol w:w="1295"/>
        <w:gridCol w:w="3095"/>
        <w:gridCol w:w="1701"/>
        <w:gridCol w:w="1417"/>
      </w:tblGrid>
      <w:tr w:rsidR="0005699B" w14:paraId="60A91CB2" w14:textId="77777777" w:rsidTr="0005699B">
        <w:tc>
          <w:tcPr>
            <w:tcW w:w="1295" w:type="dxa"/>
          </w:tcPr>
          <w:p w14:paraId="521BBC4D" w14:textId="77777777" w:rsidR="0005699B" w:rsidRDefault="0005699B" w:rsidP="0005699B">
            <w:pPr>
              <w:pStyle w:val="BETabelaFonteMenor"/>
            </w:pPr>
            <w:r>
              <w:t>Version</w:t>
            </w:r>
          </w:p>
        </w:tc>
        <w:tc>
          <w:tcPr>
            <w:tcW w:w="3095" w:type="dxa"/>
          </w:tcPr>
          <w:p w14:paraId="0D13A4BA" w14:textId="77777777" w:rsidR="0005699B" w:rsidRDefault="0005699B" w:rsidP="0005699B">
            <w:pPr>
              <w:pStyle w:val="BETabelaFonteMenor"/>
            </w:pPr>
            <w:r>
              <w:t>Changes</w:t>
            </w:r>
          </w:p>
        </w:tc>
        <w:tc>
          <w:tcPr>
            <w:tcW w:w="1701" w:type="dxa"/>
          </w:tcPr>
          <w:p w14:paraId="45A32360" w14:textId="77777777" w:rsidR="0005699B" w:rsidRDefault="0005699B" w:rsidP="0005699B">
            <w:pPr>
              <w:pStyle w:val="BETabelaFonteMenor"/>
            </w:pPr>
            <w:r>
              <w:t>Date of changes</w:t>
            </w:r>
          </w:p>
        </w:tc>
        <w:tc>
          <w:tcPr>
            <w:tcW w:w="1417" w:type="dxa"/>
          </w:tcPr>
          <w:p w14:paraId="1E90EF5F" w14:textId="77777777" w:rsidR="0005699B" w:rsidRDefault="0005699B" w:rsidP="0005699B">
            <w:pPr>
              <w:pStyle w:val="BETabelaFonteMenor"/>
            </w:pPr>
            <w:r>
              <w:t>Authors</w:t>
            </w:r>
          </w:p>
        </w:tc>
      </w:tr>
      <w:tr w:rsidR="0005699B" w14:paraId="3338E195" w14:textId="77777777" w:rsidTr="0005699B">
        <w:tc>
          <w:tcPr>
            <w:tcW w:w="1295" w:type="dxa"/>
          </w:tcPr>
          <w:p w14:paraId="52BED0D9" w14:textId="77777777" w:rsidR="0005699B" w:rsidRDefault="0005699B" w:rsidP="0005699B">
            <w:pPr>
              <w:pStyle w:val="BETabelaFonteMenor"/>
            </w:pPr>
            <w:r>
              <w:t>Version 1</w:t>
            </w:r>
          </w:p>
        </w:tc>
        <w:tc>
          <w:tcPr>
            <w:tcW w:w="3095" w:type="dxa"/>
          </w:tcPr>
          <w:p w14:paraId="7D5EFC28" w14:textId="77777777" w:rsidR="0005699B" w:rsidRDefault="0005699B" w:rsidP="0005699B">
            <w:pPr>
              <w:pStyle w:val="BETabelaFonteMenor"/>
            </w:pPr>
            <w:r>
              <w:t>First draft</w:t>
            </w:r>
          </w:p>
        </w:tc>
        <w:tc>
          <w:tcPr>
            <w:tcW w:w="1701" w:type="dxa"/>
          </w:tcPr>
          <w:p w14:paraId="3FFC76E1" w14:textId="77777777" w:rsidR="0005699B" w:rsidRDefault="0005699B" w:rsidP="0005699B">
            <w:pPr>
              <w:pStyle w:val="BETabelaFonteMenor"/>
            </w:pPr>
            <w:r>
              <w:t>2026-05-07</w:t>
            </w:r>
          </w:p>
        </w:tc>
        <w:tc>
          <w:tcPr>
            <w:tcW w:w="1417" w:type="dxa"/>
          </w:tcPr>
          <w:p w14:paraId="53696264" w14:textId="77777777" w:rsidR="0005699B" w:rsidRDefault="0005699B" w:rsidP="0005699B">
            <w:pPr>
              <w:pStyle w:val="BETabelaFonteMenor"/>
            </w:pPr>
            <w:r>
              <w:t>Paulo Cardoso</w:t>
            </w:r>
          </w:p>
        </w:tc>
      </w:tr>
      <w:tr w:rsidR="0005699B" w14:paraId="5E036CFB" w14:textId="77777777" w:rsidTr="0005699B">
        <w:tc>
          <w:tcPr>
            <w:tcW w:w="1295" w:type="dxa"/>
          </w:tcPr>
          <w:p w14:paraId="2832F190" w14:textId="77777777" w:rsidR="0005699B" w:rsidRDefault="0005699B" w:rsidP="0005699B">
            <w:pPr>
              <w:pStyle w:val="BETabelaFonteMenor"/>
            </w:pPr>
            <w:r>
              <w:t>Version 2</w:t>
            </w:r>
          </w:p>
        </w:tc>
        <w:tc>
          <w:tcPr>
            <w:tcW w:w="3095" w:type="dxa"/>
          </w:tcPr>
          <w:p w14:paraId="4569F263" w14:textId="77777777" w:rsidR="0005699B" w:rsidRDefault="0005699B" w:rsidP="0005699B">
            <w:pPr>
              <w:pStyle w:val="BETabelaFonteMenor"/>
            </w:pPr>
            <w:r>
              <w:t>Corrected recovery factor (Fr); reverse-engineered and plausibility-checked the local population estimate (Nmin); updated age-at-first-breeding range from a literature review; rebuilt the sensitivity, response-surface and Monte Carlo analyses on consistent, reproducible parameter ranges</w:t>
            </w:r>
          </w:p>
        </w:tc>
        <w:tc>
          <w:tcPr>
            <w:tcW w:w="1701" w:type="dxa"/>
          </w:tcPr>
          <w:p w14:paraId="0C8487F9" w14:textId="77777777" w:rsidR="0005699B" w:rsidRDefault="0005699B" w:rsidP="0005699B">
            <w:pPr>
              <w:pStyle w:val="BETabelaFonteMenor"/>
            </w:pPr>
            <w:r>
              <w:t>2026-09</w:t>
            </w:r>
          </w:p>
        </w:tc>
        <w:tc>
          <w:tcPr>
            <w:tcW w:w="1417" w:type="dxa"/>
          </w:tcPr>
          <w:p w14:paraId="53612449" w14:textId="77777777" w:rsidR="0005699B" w:rsidRDefault="0005699B" w:rsidP="0005699B">
            <w:pPr>
              <w:pStyle w:val="BETabelaFonteMenor"/>
            </w:pPr>
            <w:r>
              <w:t>Paulo Cardoso</w:t>
            </w:r>
          </w:p>
        </w:tc>
      </w:tr>
    </w:tbl>
    <w:p w14:paraId="4478C89A" w14:textId="77777777" w:rsidR="006A30C6" w:rsidRDefault="00000000">
      <w:pPr>
        <w:pStyle w:val="Ttulo1"/>
      </w:pPr>
      <w:bookmarkStart w:id="0" w:name="context"/>
      <w:bookmarkStart w:id="1" w:name="_Toc240385941"/>
      <w:r>
        <w:lastRenderedPageBreak/>
        <w:t>Context</w:t>
      </w:r>
      <w:bookmarkEnd w:id="1"/>
    </w:p>
    <w:p w14:paraId="68B4999B" w14:textId="77777777" w:rsidR="006A30C6" w:rsidRDefault="00000000">
      <w:r>
        <w:t>This technical note reviews the Potential Biological Removal (PBR) framework proposed by Frick et al. (2026) for bats at wind-energy facilities, and applies it to the Parti-coloured bat (</w:t>
      </w:r>
      <w:r>
        <w:rPr>
          <w:i/>
          <w:iCs/>
        </w:rPr>
        <w:t>Vespertilio murinus</w:t>
      </w:r>
      <w:r>
        <w:t>) fatality thresholds currently imposed at BSH &amp; DGY (144 bats/year at BSH; 120 bats/year at DGY). No documented derivation of these threshold values is available, and no independent local population estimate for the species in this region exists or can realistically be obtained. The note therefore works backwards from the imposed thresholds to identify a parsimonious, checkable set of assumptions consistent with them, and then tests how sensitive those thresholds are to reasonable demographic uncertainty, rather than to the single fixed parameter values the framework uses by default.</w:t>
      </w:r>
    </w:p>
    <w:p w14:paraId="7375AB18" w14:textId="77777777" w:rsidR="006A30C6" w:rsidRDefault="00000000">
      <w:pPr>
        <w:pStyle w:val="Ttulo1"/>
      </w:pPr>
      <w:bookmarkStart w:id="2" w:name="pbr-threshold-uncertainty"/>
      <w:bookmarkStart w:id="3" w:name="_Toc240385942"/>
      <w:bookmarkEnd w:id="0"/>
      <w:r>
        <w:lastRenderedPageBreak/>
        <w:t>PBR Threshold Uncertainty</w:t>
      </w:r>
      <w:bookmarkEnd w:id="3"/>
    </w:p>
    <w:p w14:paraId="0431A51E" w14:textId="77777777" w:rsidR="006A30C6" w:rsidRDefault="00000000">
      <w:pPr>
        <w:pStyle w:val="Ttulo2"/>
      </w:pPr>
      <w:bookmarkStart w:id="4" w:name="frick-et-al.-adjusted-pbr-framework"/>
      <w:bookmarkStart w:id="5" w:name="_Toc240385943"/>
      <w:r>
        <w:t>Frick et al. adjusted PBR framework</w:t>
      </w:r>
      <w:bookmarkEnd w:id="5"/>
    </w:p>
    <w:p w14:paraId="7F982ADD" w14:textId="77777777" w:rsidR="006A30C6" w:rsidRDefault="00000000">
      <w:r>
        <w:t>The PBR framework presented by Frick and colleagues (Frick et al. 2026, herein referred to as Frick) adapts the classical Potential Biological Removal concept to bat mortality at wind-energy facilities. It retains the precautionary structure of the original PBR formulation while addressing known limitations of applying marine-mammal-derived PBR methods to volant terrestrial taxa, particularly long-lived bat species characterised by low fecundity, delayed maturity, and strong sensitivity to adult survival.</w:t>
      </w:r>
    </w:p>
    <w:p w14:paraId="0BB15E9E" w14:textId="77777777" w:rsidR="006A30C6" w:rsidRDefault="00000000">
      <w:pPr>
        <w:pStyle w:val="Corpodetexto"/>
      </w:pPr>
      <w:r>
        <w:t>Under the adjusted framework, PBR is expressed as:</w:t>
      </w:r>
    </w:p>
    <w:p w14:paraId="2E879077" w14:textId="77777777" w:rsidR="006A30C6" w:rsidRDefault="00000000">
      <w:pPr>
        <w:pStyle w:val="Corpodetexto"/>
      </w:pPr>
      <m:oMathPara>
        <m:oMathParaPr>
          <m:jc m:val="center"/>
        </m:oMathParaPr>
        <m:oMath>
          <m:r>
            <w:rPr>
              <w:rFonts w:ascii="Cambria Math" w:hAnsi="Cambria Math"/>
            </w:rPr>
            <m:t>PBR</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R</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min</m:t>
              </m:r>
            </m:sub>
          </m:sSub>
        </m:oMath>
      </m:oMathPara>
    </w:p>
    <w:p w14:paraId="21BE007F" w14:textId="77777777" w:rsidR="006A30C6" w:rsidRDefault="00000000">
      <w:r>
        <w:t xml:space="preserve">where </w:t>
      </w:r>
      <m:oMath>
        <m:sSub>
          <m:sSubPr>
            <m:ctrlPr>
              <w:rPr>
                <w:rFonts w:ascii="Cambria Math" w:hAnsi="Cambria Math"/>
              </w:rPr>
            </m:ctrlPr>
          </m:sSubPr>
          <m:e>
            <m:r>
              <w:rPr>
                <w:rFonts w:ascii="Cambria Math" w:hAnsi="Cambria Math"/>
              </w:rPr>
              <m:t>R</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max</m:t>
            </m:r>
          </m:sub>
        </m:sSub>
        <m:r>
          <m:rPr>
            <m:sty m:val="p"/>
          </m:rPr>
          <w:rPr>
            <w:rFonts w:ascii="Cambria Math" w:hAnsi="Cambria Math"/>
          </w:rPr>
          <m:t>-</m:t>
        </m:r>
        <m:r>
          <w:rPr>
            <w:rFonts w:ascii="Cambria Math" w:hAnsi="Cambria Math"/>
          </w:rPr>
          <m:t>1</m:t>
        </m:r>
      </m:oMath>
      <w:r>
        <w:t xml:space="preserve"> is the maximum annual population growth rate, </w:t>
      </w:r>
      <m:oMath>
        <m:sSub>
          <m:sSubPr>
            <m:ctrlPr>
              <w:rPr>
                <w:rFonts w:ascii="Cambria Math" w:hAnsi="Cambria Math"/>
              </w:rPr>
            </m:ctrlPr>
          </m:sSubPr>
          <m:e>
            <m:r>
              <w:rPr>
                <w:rFonts w:ascii="Cambria Math" w:hAnsi="Cambria Math"/>
              </w:rPr>
              <m:t>F</m:t>
            </m:r>
          </m:e>
          <m:sub>
            <m:r>
              <w:rPr>
                <w:rFonts w:ascii="Cambria Math" w:hAnsi="Cambria Math"/>
              </w:rPr>
              <m:t>r</m:t>
            </m:r>
          </m:sub>
        </m:sSub>
      </m:oMath>
      <w:r>
        <w:t xml:space="preserve"> is a recovery factor linked to IUCN conservation status, and </w:t>
      </w:r>
      <m:oMath>
        <m:sSub>
          <m:sSubPr>
            <m:ctrlPr>
              <w:rPr>
                <w:rFonts w:ascii="Cambria Math" w:hAnsi="Cambria Math"/>
              </w:rPr>
            </m:ctrlPr>
          </m:sSubPr>
          <m:e>
            <m:r>
              <w:rPr>
                <w:rFonts w:ascii="Cambria Math" w:hAnsi="Cambria Math"/>
              </w:rPr>
              <m:t>N</m:t>
            </m:r>
          </m:e>
          <m:sub>
            <m:r>
              <w:rPr>
                <w:rFonts w:ascii="Cambria Math" w:hAnsi="Cambria Math"/>
              </w:rPr>
              <m:t>min</m:t>
            </m:r>
          </m:sub>
        </m:sSub>
      </m:oMath>
      <w:r>
        <w:t xml:space="preserve"> is a conservative lower-bound estimate of local abundance.</w:t>
      </w:r>
    </w:p>
    <w:p w14:paraId="1125C4C2" w14:textId="77777777" w:rsidR="006A30C6" w:rsidRDefault="00000000">
      <w:pPr>
        <w:pStyle w:val="Corpodetexto"/>
      </w:pPr>
      <w:r>
        <w:t>A key conceptual shift in the Frick proposal is the move from broad regional or continental population framing towards a project-scale local population proxy. Local abundance bounds (</w:t>
      </w:r>
      <m:oMath>
        <m:sSub>
          <m:sSubPr>
            <m:ctrlPr>
              <w:rPr>
                <w:rFonts w:ascii="Cambria Math" w:hAnsi="Cambria Math"/>
              </w:rPr>
            </m:ctrlPr>
          </m:sSubPr>
          <m:e>
            <m:r>
              <w:rPr>
                <w:rFonts w:ascii="Cambria Math" w:hAnsi="Cambria Math"/>
              </w:rPr>
              <m:t>N</m:t>
            </m:r>
          </m:e>
          <m:sub>
            <m:r>
              <w:rPr>
                <w:rFonts w:ascii="Cambria Math" w:hAnsi="Cambria Math"/>
              </w:rPr>
              <m:t>L</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U</m:t>
            </m:r>
          </m:sub>
        </m:sSub>
      </m:oMath>
      <w:r>
        <w:t>) are derived from the interaction area surrounding the wind facility combined with plausible density estimates, and a lognormal formulation is then used to derive the geometric mean abundance estimate (</w:t>
      </w:r>
      <m:oMath>
        <m:acc>
          <m:accPr>
            <m:ctrlPr>
              <w:rPr>
                <w:rFonts w:ascii="Cambria Math" w:hAnsi="Cambria Math"/>
              </w:rPr>
            </m:ctrlPr>
          </m:accPr>
          <m:e>
            <m:r>
              <w:rPr>
                <w:rFonts w:ascii="Cambria Math" w:hAnsi="Cambria Math"/>
              </w:rPr>
              <m:t>N</m:t>
            </m:r>
          </m:e>
        </m:acc>
      </m:oMath>
      <w:r>
        <w:t>), its coefficient of variation (</w:t>
      </w:r>
      <m:oMath>
        <m:r>
          <w:rPr>
            <w:rFonts w:ascii="Cambria Math" w:hAnsi="Cambria Math"/>
          </w:rPr>
          <m:t>C</m:t>
        </m:r>
        <m:sSub>
          <m:sSubPr>
            <m:ctrlPr>
              <w:rPr>
                <w:rFonts w:ascii="Cambria Math" w:hAnsi="Cambria Math"/>
              </w:rPr>
            </m:ctrlPr>
          </m:sSubPr>
          <m:e>
            <m:r>
              <w:rPr>
                <w:rFonts w:ascii="Cambria Math" w:hAnsi="Cambria Math"/>
              </w:rPr>
              <m:t>V</m:t>
            </m:r>
          </m:e>
          <m:sub>
            <m:acc>
              <m:accPr>
                <m:ctrlPr>
                  <w:rPr>
                    <w:rFonts w:ascii="Cambria Math" w:hAnsi="Cambria Math"/>
                  </w:rPr>
                </m:ctrlPr>
              </m:accPr>
              <m:e>
                <m:r>
                  <w:rPr>
                    <w:rFonts w:ascii="Cambria Math" w:hAnsi="Cambria Math"/>
                  </w:rPr>
                  <m:t>N</m:t>
                </m:r>
              </m:e>
            </m:acc>
          </m:sub>
        </m:sSub>
      </m:oMath>
      <w:r>
        <w:t xml:space="preserve">), and ultimately </w:t>
      </w:r>
      <m:oMath>
        <m:sSub>
          <m:sSubPr>
            <m:ctrlPr>
              <w:rPr>
                <w:rFonts w:ascii="Cambria Math" w:hAnsi="Cambria Math"/>
              </w:rPr>
            </m:ctrlPr>
          </m:sSubPr>
          <m:e>
            <m:r>
              <w:rPr>
                <w:rFonts w:ascii="Cambria Math" w:hAnsi="Cambria Math"/>
              </w:rPr>
              <m:t>N</m:t>
            </m:r>
          </m:e>
          <m:sub>
            <m:r>
              <w:rPr>
                <w:rFonts w:ascii="Cambria Math" w:hAnsi="Cambria Math"/>
              </w:rPr>
              <m:t>min</m:t>
            </m:r>
          </m:sub>
        </m:sSub>
      </m:oMath>
      <w:r>
        <w:t>. Uncertainty is therefore incorporated explicitly into the abundance term: poorly constrained abundance estimates are penalised with lower, more precautionary PBR values.</w:t>
      </w:r>
    </w:p>
    <w:p w14:paraId="70F9F7ED" w14:textId="77777777" w:rsidR="006A30C6" w:rsidRDefault="00000000">
      <w:pPr>
        <w:pStyle w:val="Corpodetexto"/>
      </w:pPr>
      <m:oMath>
        <m:sSub>
          <m:sSubPr>
            <m:ctrlPr>
              <w:rPr>
                <w:rFonts w:ascii="Cambria Math" w:hAnsi="Cambria Math"/>
              </w:rPr>
            </m:ctrlPr>
          </m:sSubPr>
          <m:e>
            <m:r>
              <w:rPr>
                <w:rFonts w:ascii="Cambria Math" w:hAnsi="Cambria Math"/>
              </w:rPr>
              <m:t>λ</m:t>
            </m:r>
          </m:e>
          <m:sub>
            <m:r>
              <w:rPr>
                <w:rFonts w:ascii="Cambria Math" w:hAnsi="Cambria Math"/>
              </w:rPr>
              <m:t>max</m:t>
            </m:r>
          </m:sub>
        </m:sSub>
      </m:oMath>
      <w:r>
        <w:t xml:space="preserve"> is standardised using the Niel &amp; Lebreton (2005) demographic-invariant approximation, from adult survival (</w:t>
      </w:r>
      <m:oMath>
        <m:r>
          <w:rPr>
            <w:rFonts w:ascii="Cambria Math" w:hAnsi="Cambria Math"/>
          </w:rPr>
          <m:t>s</m:t>
        </m:r>
      </m:oMath>
      <w:r>
        <w:t>) and age at first breeding (</w:t>
      </w:r>
      <m:oMath>
        <m:r>
          <w:rPr>
            <w:rFonts w:ascii="Cambria Math" w:hAnsi="Cambria Math"/>
          </w:rPr>
          <m:t>α</m:t>
        </m:r>
      </m:oMath>
      <w:r>
        <w:t>):</w:t>
      </w:r>
    </w:p>
    <w:p w14:paraId="40A93ACE" w14:textId="77777777" w:rsidR="006A30C6" w:rsidRDefault="00000000">
      <w:pPr>
        <w:pStyle w:val="Corpodetexto"/>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max</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sα</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1</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sα</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4s</m:t>
                  </m:r>
                  <m:sSup>
                    <m:sSupPr>
                      <m:ctrlPr>
                        <w:rPr>
                          <w:rFonts w:ascii="Cambria Math" w:hAnsi="Cambria Math"/>
                        </w:rPr>
                      </m:ctrlPr>
                    </m:sSupPr>
                    <m:e>
                      <m:r>
                        <w:rPr>
                          <w:rFonts w:ascii="Cambria Math" w:hAnsi="Cambria Math"/>
                        </w:rPr>
                        <m:t>α</m:t>
                      </m:r>
                    </m:e>
                    <m:sup>
                      <m:r>
                        <w:rPr>
                          <w:rFonts w:ascii="Cambria Math" w:hAnsi="Cambria Math"/>
                        </w:rPr>
                        <m:t>2</m:t>
                      </m:r>
                    </m:sup>
                  </m:sSup>
                </m:e>
              </m:rad>
            </m:num>
            <m:den>
              <m:r>
                <w:rPr>
                  <w:rFonts w:ascii="Cambria Math" w:hAnsi="Cambria Math"/>
                </w:rPr>
                <m:t>2α</m:t>
              </m:r>
            </m:den>
          </m:f>
        </m:oMath>
      </m:oMathPara>
    </w:p>
    <w:p w14:paraId="3741C67B" w14:textId="77777777" w:rsidR="006A30C6" w:rsidRDefault="00000000">
      <w:r>
        <w:t xml:space="preserve">Frick et al. propose precautionary fixed </w:t>
      </w:r>
      <m:oMath>
        <m:sSub>
          <m:sSubPr>
            <m:ctrlPr>
              <w:rPr>
                <w:rFonts w:ascii="Cambria Math" w:hAnsi="Cambria Math"/>
              </w:rPr>
            </m:ctrlPr>
          </m:sSubPr>
          <m:e>
            <m:r>
              <w:rPr>
                <w:rFonts w:ascii="Cambria Math" w:hAnsi="Cambria Math"/>
              </w:rPr>
              <m:t>λ</m:t>
            </m:r>
          </m:e>
          <m:sub>
            <m:r>
              <w:rPr>
                <w:rFonts w:ascii="Cambria Math" w:hAnsi="Cambria Math"/>
              </w:rPr>
              <m:t>max</m:t>
            </m:r>
          </m:sub>
        </m:sSub>
      </m:oMath>
      <w:r>
        <w:t xml:space="preserve"> values (1.24 for most bats, 1.20 for families with later age at first breeding such as Pteropodidae) to reduce sensitivity to poorly constrained demographic inputs. The framework remains structurally dependent on several uncertain ecological assumptions, including the definition of the local interacting population, density estimation, recovery-factor selection, and the demographic assumptions underlying the fixed </w:t>
      </w:r>
      <m:oMath>
        <m:sSub>
          <m:sSubPr>
            <m:ctrlPr>
              <w:rPr>
                <w:rFonts w:ascii="Cambria Math" w:hAnsi="Cambria Math"/>
              </w:rPr>
            </m:ctrlPr>
          </m:sSubPr>
          <m:e>
            <m:r>
              <w:rPr>
                <w:rFonts w:ascii="Cambria Math" w:hAnsi="Cambria Math"/>
              </w:rPr>
              <m:t>λ</m:t>
            </m:r>
          </m:e>
          <m:sub>
            <m:r>
              <w:rPr>
                <w:rFonts w:ascii="Cambria Math" w:hAnsi="Cambria Math"/>
              </w:rPr>
              <m:t>max</m:t>
            </m:r>
          </m:sub>
        </m:sSub>
      </m:oMath>
      <w:r>
        <w:t xml:space="preserve"> values. Accordingly, PBR thresholds are best interpreted as precautionary decision bands rather than deterministic operational limits, particularly where they are used to calibrate mitigation measures such as curtailment.</w:t>
      </w:r>
    </w:p>
    <w:p w14:paraId="716827C2" w14:textId="77777777" w:rsidR="006A30C6" w:rsidRDefault="00000000">
      <w:pPr>
        <w:pStyle w:val="Ttulo2"/>
      </w:pPr>
      <w:bookmarkStart w:id="6" w:name="sensitivity-and-elasticity-analysis"/>
      <w:bookmarkStart w:id="7" w:name="_Toc240385944"/>
      <w:bookmarkEnd w:id="4"/>
      <w:r>
        <w:lastRenderedPageBreak/>
        <w:t>Sensitivity and elasticity analysis</w:t>
      </w:r>
      <w:bookmarkEnd w:id="7"/>
    </w:p>
    <w:p w14:paraId="43CA3DD4" w14:textId="77777777" w:rsidR="006A30C6" w:rsidRDefault="00000000">
      <w:r>
        <w:t>Sensitivity and elasticity analyses were undertaken to evaluate how uncertainty in the two demographic parameters used by the Niel &amp; Lebreton approximation, adult survival (</w:t>
      </w:r>
      <m:oMath>
        <m:r>
          <w:rPr>
            <w:rFonts w:ascii="Cambria Math" w:hAnsi="Cambria Math"/>
          </w:rPr>
          <m:t>s</m:t>
        </m:r>
      </m:oMath>
      <w:r>
        <w:t>) and age at first breeding (</w:t>
      </w:r>
      <m:oMath>
        <m:r>
          <w:rPr>
            <w:rFonts w:ascii="Cambria Math" w:hAnsi="Cambria Math"/>
          </w:rPr>
          <m:t>α</m:t>
        </m:r>
      </m:oMath>
      <w:r>
        <w:t xml:space="preserve">), propagates into </w:t>
      </w:r>
      <m:oMath>
        <m:sSub>
          <m:sSubPr>
            <m:ctrlPr>
              <w:rPr>
                <w:rFonts w:ascii="Cambria Math" w:hAnsi="Cambria Math"/>
              </w:rPr>
            </m:ctrlPr>
          </m:sSubPr>
          <m:e>
            <m:r>
              <w:rPr>
                <w:rFonts w:ascii="Cambria Math" w:hAnsi="Cambria Math"/>
              </w:rPr>
              <m:t>λ</m:t>
            </m:r>
          </m:e>
          <m:sub>
            <m:r>
              <w:rPr>
                <w:rFonts w:ascii="Cambria Math" w:hAnsi="Cambria Math"/>
              </w:rPr>
              <m:t>max</m:t>
            </m:r>
          </m:sub>
        </m:sSub>
      </m:oMath>
      <w:r>
        <w:t xml:space="preserve"> and consequently into PBR. Parameter ranges were set at </w:t>
      </w:r>
      <m:oMath>
        <m:r>
          <w:rPr>
            <w:rFonts w:ascii="Cambria Math" w:hAnsi="Cambria Math"/>
          </w:rPr>
          <m:t>s</m:t>
        </m:r>
        <m:r>
          <m:rPr>
            <m:sty m:val="p"/>
          </m:rPr>
          <w:rPr>
            <w:rFonts w:ascii="Cambria Math" w:hAnsi="Cambria Math"/>
          </w:rPr>
          <m:t>∈</m:t>
        </m:r>
      </m:oMath>
      <w:r>
        <w:t xml:space="preserve"> [0.7, 0.95] and </w:t>
      </w:r>
      <m:oMath>
        <m:r>
          <w:rPr>
            <w:rFonts w:ascii="Cambria Math" w:hAnsi="Cambria Math"/>
          </w:rPr>
          <m:t>α</m:t>
        </m:r>
        <m:r>
          <m:rPr>
            <m:sty m:val="p"/>
          </m:rPr>
          <w:rPr>
            <w:rFonts w:ascii="Cambria Math" w:hAnsi="Cambria Math"/>
          </w:rPr>
          <m:t>∈</m:t>
        </m:r>
      </m:oMath>
      <w:r>
        <w:t xml:space="preserve"> [1.5, 3.5] years, the latter following the literature review below. For each combination, </w:t>
      </w:r>
      <m:oMath>
        <m:sSub>
          <m:sSubPr>
            <m:ctrlPr>
              <w:rPr>
                <w:rFonts w:ascii="Cambria Math" w:hAnsi="Cambria Math"/>
              </w:rPr>
            </m:ctrlPr>
          </m:sSubPr>
          <m:e>
            <m:r>
              <w:rPr>
                <w:rFonts w:ascii="Cambria Math" w:hAnsi="Cambria Math"/>
              </w:rPr>
              <m:t>λ</m:t>
            </m:r>
          </m:e>
          <m:sub>
            <m:r>
              <w:rPr>
                <w:rFonts w:ascii="Cambria Math" w:hAnsi="Cambria Math"/>
              </w:rPr>
              <m:t>max</m:t>
            </m:r>
          </m:sub>
        </m:sSub>
      </m:oMath>
      <w:r>
        <w:t xml:space="preserve"> was recalculated and local sensitivity estimated numerically using finite differences. Elasticity is a dimensionless proportional sensitivity metric: the expected percentage variation in </w:t>
      </w:r>
      <m:oMath>
        <m:sSub>
          <m:sSubPr>
            <m:ctrlPr>
              <w:rPr>
                <w:rFonts w:ascii="Cambria Math" w:hAnsi="Cambria Math"/>
              </w:rPr>
            </m:ctrlPr>
          </m:sSubPr>
          <m:e>
            <m:r>
              <w:rPr>
                <w:rFonts w:ascii="Cambria Math" w:hAnsi="Cambria Math"/>
              </w:rPr>
              <m:t>λ</m:t>
            </m:r>
          </m:e>
          <m:sub>
            <m:r>
              <w:rPr>
                <w:rFonts w:ascii="Cambria Math" w:hAnsi="Cambria Math"/>
              </w:rPr>
              <m:t>max</m:t>
            </m:r>
          </m:sub>
        </m:sSub>
      </m:oMath>
      <w:r>
        <w:t xml:space="preserve"> resulting from a 1% variation in a demographic parameter.</w:t>
      </w:r>
    </w:p>
    <w:p w14:paraId="40B2CDB3" w14:textId="77777777" w:rsidR="006A30C6" w:rsidRDefault="00000000">
      <w:pPr>
        <w:pStyle w:val="Corpodetexto"/>
      </w:pPr>
      <w:r>
        <w:rPr>
          <w:noProof/>
        </w:rPr>
        <w:drawing>
          <wp:inline distT="0" distB="0" distL="0" distR="0" wp14:anchorId="369671DC" wp14:editId="449AD9E4">
            <wp:extent cx="5753100" cy="3236118"/>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C:/Users/pcardoso/R/pbr_frick/outputs/figures/lambda_max.png"/>
                    <pic:cNvPicPr>
                      <a:picLocks noChangeAspect="1" noChangeArrowheads="1"/>
                    </pic:cNvPicPr>
                  </pic:nvPicPr>
                  <pic:blipFill>
                    <a:blip r:embed="rId7"/>
                    <a:stretch>
                      <a:fillRect/>
                    </a:stretch>
                  </pic:blipFill>
                  <pic:spPr bwMode="auto">
                    <a:xfrm>
                      <a:off x="0" y="0"/>
                      <a:ext cx="5753100" cy="3236118"/>
                    </a:xfrm>
                    <a:prstGeom prst="rect">
                      <a:avLst/>
                    </a:prstGeom>
                    <a:noFill/>
                    <a:ln w="9525">
                      <a:noFill/>
                      <a:headEnd/>
                      <a:tailEnd/>
                    </a:ln>
                  </pic:spPr>
                </pic:pic>
              </a:graphicData>
            </a:graphic>
          </wp:inline>
        </w:drawing>
      </w:r>
    </w:p>
    <w:p w14:paraId="268A2425" w14:textId="77777777" w:rsidR="006A30C6" w:rsidRDefault="00000000">
      <w:pPr>
        <w:pStyle w:val="Corpodetexto"/>
      </w:pPr>
      <w:r>
        <w:t xml:space="preserve">Within the explored range, </w:t>
      </w:r>
      <m:oMath>
        <m:sSub>
          <m:sSubPr>
            <m:ctrlPr>
              <w:rPr>
                <w:rFonts w:ascii="Cambria Math" w:hAnsi="Cambria Math"/>
              </w:rPr>
            </m:ctrlPr>
          </m:sSubPr>
          <m:e>
            <m:r>
              <w:rPr>
                <w:rFonts w:ascii="Cambria Math" w:hAnsi="Cambria Math"/>
              </w:rPr>
              <m:t>λ</m:t>
            </m:r>
          </m:e>
          <m:sub>
            <m:r>
              <w:rPr>
                <w:rFonts w:ascii="Cambria Math" w:hAnsi="Cambria Math"/>
              </w:rPr>
              <m:t>max</m:t>
            </m:r>
          </m:sub>
        </m:sSub>
      </m:oMath>
      <w:r>
        <w:t xml:space="preserve"> </w:t>
      </w:r>
      <w:r>
        <w:rPr>
          <w:i/>
          <w:iCs/>
        </w:rPr>
        <w:t>decreases</w:t>
      </w:r>
      <w:r>
        <w:t xml:space="preserve"> as adult survival or age at first breeding increase – a counterintuitive relationship documented by Niel &amp; Lebreton (2005) and noted by Frick et al. themselves, arising from the life-history trade-off between survival and fecundity built into the demographic-invariant approximation. This is a decrease in absolute terms, not a sign change: for any survival probability in (0, 1), this formula’s </w:t>
      </w:r>
      <m:oMath>
        <m:sSub>
          <m:sSubPr>
            <m:ctrlPr>
              <w:rPr>
                <w:rFonts w:ascii="Cambria Math" w:hAnsi="Cambria Math"/>
              </w:rPr>
            </m:ctrlPr>
          </m:sSubPr>
          <m:e>
            <m:r>
              <w:rPr>
                <w:rFonts w:ascii="Cambria Math" w:hAnsi="Cambria Math"/>
              </w:rPr>
              <m:t>λ</m:t>
            </m:r>
          </m:e>
          <m:sub>
            <m:r>
              <w:rPr>
                <w:rFonts w:ascii="Cambria Math" w:hAnsi="Cambria Math"/>
              </w:rPr>
              <m:t>max</m:t>
            </m:r>
          </m:sub>
        </m:sSub>
      </m:oMath>
      <w:r>
        <w:t xml:space="preserve"> only approaches 1 (a stable population) in the limit as age at first breeding tends to infinity, and never actually reaches it for a realistic age at first breeding – the population is growing (</w:t>
      </w:r>
      <m:oMath>
        <m:sSub>
          <m:sSubPr>
            <m:ctrlPr>
              <w:rPr>
                <w:rFonts w:ascii="Cambria Math" w:hAnsi="Cambria Math"/>
              </w:rPr>
            </m:ctrlPr>
          </m:sSubPr>
          <m:e>
            <m:r>
              <w:rPr>
                <w:rFonts w:ascii="Cambria Math" w:hAnsi="Cambria Math"/>
              </w:rPr>
              <m:t>λ</m:t>
            </m:r>
          </m:e>
          <m:sub>
            <m:r>
              <w:rPr>
                <w:rFonts w:ascii="Cambria Math" w:hAnsi="Cambria Math"/>
              </w:rPr>
              <m:t>max</m:t>
            </m:r>
          </m:sub>
        </m:sSub>
        <m:r>
          <m:rPr>
            <m:sty m:val="p"/>
          </m:rPr>
          <w:rPr>
            <w:rFonts w:ascii="Cambria Math" w:hAnsi="Cambria Math"/>
          </w:rPr>
          <m:t>&gt;</m:t>
        </m:r>
        <m:r>
          <w:rPr>
            <w:rFonts w:ascii="Cambria Math" w:hAnsi="Cambria Math"/>
          </w:rPr>
          <m:t>1</m:t>
        </m:r>
      </m:oMath>
      <w:r>
        <w:t xml:space="preserve">) throughout the entire range explored here and well beyond it. The elasticity values below should be read with that in mind: a negative elasticity means </w:t>
      </w:r>
      <m:oMath>
        <m:sSub>
          <m:sSubPr>
            <m:ctrlPr>
              <w:rPr>
                <w:rFonts w:ascii="Cambria Math" w:hAnsi="Cambria Math"/>
              </w:rPr>
            </m:ctrlPr>
          </m:sSubPr>
          <m:e>
            <m:r>
              <w:rPr>
                <w:rFonts w:ascii="Cambria Math" w:hAnsi="Cambria Math"/>
              </w:rPr>
              <m:t>λ</m:t>
            </m:r>
          </m:e>
          <m:sub>
            <m:r>
              <w:rPr>
                <w:rFonts w:ascii="Cambria Math" w:hAnsi="Cambria Math"/>
              </w:rPr>
              <m:t>max</m:t>
            </m:r>
          </m:sub>
        </m:sSub>
      </m:oMath>
      <w:r>
        <w:t xml:space="preserve"> falls (while remaining well above 1) as the parameter increases, not that </w:t>
      </w:r>
      <m:oMath>
        <m:sSub>
          <m:sSubPr>
            <m:ctrlPr>
              <w:rPr>
                <w:rFonts w:ascii="Cambria Math" w:hAnsi="Cambria Math"/>
              </w:rPr>
            </m:ctrlPr>
          </m:sSubPr>
          <m:e>
            <m:r>
              <w:rPr>
                <w:rFonts w:ascii="Cambria Math" w:hAnsi="Cambria Math"/>
              </w:rPr>
              <m:t>λ</m:t>
            </m:r>
          </m:e>
          <m:sub>
            <m:r>
              <w:rPr>
                <w:rFonts w:ascii="Cambria Math" w:hAnsi="Cambria Math"/>
              </w:rPr>
              <m:t>max</m:t>
            </m:r>
          </m:sub>
        </m:sSub>
      </m:oMath>
      <w:r>
        <w:t xml:space="preserve"> itself becomes small or negative.</w:t>
      </w:r>
    </w:p>
    <w:p w14:paraId="1C996A4C" w14:textId="77777777" w:rsidR="006A30C6" w:rsidRDefault="00000000">
      <w:r>
        <w:t>Elasticity of lambda_max to each demographic parameter.</w:t>
      </w:r>
    </w:p>
    <w:tbl>
      <w:tblPr>
        <w:tblStyle w:val="Tabelacomgrade1"/>
        <w:tblW w:w="0" w:type="auto"/>
        <w:jc w:val="center"/>
        <w:tblLook w:val="0020" w:firstRow="1" w:lastRow="0" w:firstColumn="0" w:lastColumn="0" w:noHBand="0" w:noVBand="0"/>
        <w:tblCaption w:val="Elasticity of lambda_max to each demographic parameter."/>
      </w:tblPr>
      <w:tblGrid>
        <w:gridCol w:w="2637"/>
        <w:gridCol w:w="765"/>
        <w:gridCol w:w="765"/>
        <w:gridCol w:w="870"/>
      </w:tblGrid>
      <w:tr w:rsidR="006A30C6" w14:paraId="338DD760" w14:textId="77777777" w:rsidTr="00955D96">
        <w:trPr>
          <w:jc w:val="center"/>
        </w:trPr>
        <w:tc>
          <w:tcPr>
            <w:tcW w:w="0" w:type="auto"/>
          </w:tcPr>
          <w:p w14:paraId="448FAAB1" w14:textId="77777777" w:rsidR="006A30C6" w:rsidRDefault="00000000" w:rsidP="00955D96">
            <w:pPr>
              <w:pStyle w:val="BETabelaFonteMAIOR"/>
            </w:pPr>
            <w:r>
              <w:t>Parameter</w:t>
            </w:r>
          </w:p>
        </w:tc>
        <w:tc>
          <w:tcPr>
            <w:tcW w:w="0" w:type="auto"/>
          </w:tcPr>
          <w:p w14:paraId="56943445" w14:textId="77777777" w:rsidR="006A30C6" w:rsidRDefault="00000000" w:rsidP="00955D96">
            <w:pPr>
              <w:pStyle w:val="BETabelaFonteMAIOR"/>
            </w:pPr>
            <w:r>
              <w:t>min</w:t>
            </w:r>
          </w:p>
        </w:tc>
        <w:tc>
          <w:tcPr>
            <w:tcW w:w="0" w:type="auto"/>
          </w:tcPr>
          <w:p w14:paraId="0EA63175" w14:textId="77777777" w:rsidR="006A30C6" w:rsidRDefault="00000000" w:rsidP="00955D96">
            <w:pPr>
              <w:pStyle w:val="BETabelaFonteMAIOR"/>
            </w:pPr>
            <w:r>
              <w:t>max</w:t>
            </w:r>
          </w:p>
        </w:tc>
        <w:tc>
          <w:tcPr>
            <w:tcW w:w="0" w:type="auto"/>
          </w:tcPr>
          <w:p w14:paraId="18C408AF" w14:textId="77777777" w:rsidR="006A30C6" w:rsidRDefault="00000000" w:rsidP="00955D96">
            <w:pPr>
              <w:pStyle w:val="BETabelaFonteMAIOR"/>
            </w:pPr>
            <w:r>
              <w:t>median</w:t>
            </w:r>
          </w:p>
        </w:tc>
      </w:tr>
      <w:tr w:rsidR="006A30C6" w14:paraId="2057D824" w14:textId="77777777" w:rsidTr="00955D96">
        <w:trPr>
          <w:jc w:val="center"/>
        </w:trPr>
        <w:tc>
          <w:tcPr>
            <w:tcW w:w="0" w:type="auto"/>
          </w:tcPr>
          <w:p w14:paraId="638C4162" w14:textId="77777777" w:rsidR="006A30C6" w:rsidRDefault="00000000" w:rsidP="00955D96">
            <w:pPr>
              <w:pStyle w:val="BETabelaFonteMAIOR"/>
            </w:pPr>
            <w:r>
              <w:t>Adult survival (s)</w:t>
            </w:r>
          </w:p>
        </w:tc>
        <w:tc>
          <w:tcPr>
            <w:tcW w:w="0" w:type="auto"/>
          </w:tcPr>
          <w:p w14:paraId="16B53FB2" w14:textId="77777777" w:rsidR="006A30C6" w:rsidRDefault="00000000" w:rsidP="00955D96">
            <w:pPr>
              <w:pStyle w:val="BETabelaFonteMAIOR"/>
            </w:pPr>
            <w:r>
              <w:t>-1.347</w:t>
            </w:r>
          </w:p>
        </w:tc>
        <w:tc>
          <w:tcPr>
            <w:tcW w:w="0" w:type="auto"/>
          </w:tcPr>
          <w:p w14:paraId="42594324" w14:textId="77777777" w:rsidR="006A30C6" w:rsidRDefault="00000000" w:rsidP="00955D96">
            <w:pPr>
              <w:pStyle w:val="BETabelaFonteMAIOR"/>
            </w:pPr>
            <w:r>
              <w:t>-0.130</w:t>
            </w:r>
          </w:p>
        </w:tc>
        <w:tc>
          <w:tcPr>
            <w:tcW w:w="0" w:type="auto"/>
          </w:tcPr>
          <w:p w14:paraId="75718DBF" w14:textId="77777777" w:rsidR="006A30C6" w:rsidRDefault="00000000" w:rsidP="00955D96">
            <w:pPr>
              <w:pStyle w:val="BETabelaFonteMAIOR"/>
            </w:pPr>
            <w:r>
              <w:t>-0.356</w:t>
            </w:r>
          </w:p>
        </w:tc>
      </w:tr>
      <w:tr w:rsidR="006A30C6" w14:paraId="339BA2BB" w14:textId="77777777" w:rsidTr="00955D96">
        <w:trPr>
          <w:jc w:val="center"/>
        </w:trPr>
        <w:tc>
          <w:tcPr>
            <w:tcW w:w="0" w:type="auto"/>
          </w:tcPr>
          <w:p w14:paraId="650BAB60" w14:textId="77777777" w:rsidR="006A30C6" w:rsidRDefault="00000000" w:rsidP="00955D96">
            <w:pPr>
              <w:pStyle w:val="BETabelaFonteMAIOR"/>
            </w:pPr>
            <w:r>
              <w:t>Age at first breeding (alpha)</w:t>
            </w:r>
          </w:p>
        </w:tc>
        <w:tc>
          <w:tcPr>
            <w:tcW w:w="0" w:type="auto"/>
          </w:tcPr>
          <w:p w14:paraId="0BBA7AF6" w14:textId="77777777" w:rsidR="006A30C6" w:rsidRDefault="00000000" w:rsidP="00955D96">
            <w:pPr>
              <w:pStyle w:val="BETabelaFonteMAIOR"/>
            </w:pPr>
            <w:r>
              <w:t>-0.222</w:t>
            </w:r>
          </w:p>
        </w:tc>
        <w:tc>
          <w:tcPr>
            <w:tcW w:w="0" w:type="auto"/>
          </w:tcPr>
          <w:p w14:paraId="0C0BF73A" w14:textId="77777777" w:rsidR="006A30C6" w:rsidRDefault="00000000" w:rsidP="00955D96">
            <w:pPr>
              <w:pStyle w:val="BETabelaFonteMAIOR"/>
            </w:pPr>
            <w:r>
              <w:t>-0.059</w:t>
            </w:r>
          </w:p>
        </w:tc>
        <w:tc>
          <w:tcPr>
            <w:tcW w:w="0" w:type="auto"/>
          </w:tcPr>
          <w:p w14:paraId="421826F7" w14:textId="77777777" w:rsidR="006A30C6" w:rsidRDefault="00000000" w:rsidP="00955D96">
            <w:pPr>
              <w:pStyle w:val="BETabelaFonteMAIOR"/>
            </w:pPr>
            <w:r>
              <w:t>-0.129</w:t>
            </w:r>
          </w:p>
        </w:tc>
      </w:tr>
    </w:tbl>
    <w:p w14:paraId="74BEA0F8" w14:textId="77777777" w:rsidR="006A30C6" w:rsidRDefault="00000000">
      <w:pPr>
        <w:pStyle w:val="Corpodetexto"/>
      </w:pPr>
      <m:oMath>
        <m:sSub>
          <m:sSubPr>
            <m:ctrlPr>
              <w:rPr>
                <w:rFonts w:ascii="Cambria Math" w:hAnsi="Cambria Math"/>
              </w:rPr>
            </m:ctrlPr>
          </m:sSubPr>
          <m:e>
            <m:r>
              <w:rPr>
                <w:rFonts w:ascii="Cambria Math" w:hAnsi="Cambria Math"/>
              </w:rPr>
              <m:t>λ</m:t>
            </m:r>
          </m:e>
          <m:sub>
            <m:r>
              <w:rPr>
                <w:rFonts w:ascii="Cambria Math" w:hAnsi="Cambria Math"/>
              </w:rPr>
              <m:t>max</m:t>
            </m:r>
          </m:sub>
        </m:sSub>
      </m:oMath>
      <w:r>
        <w:t xml:space="preserve"> is substantially more sensitive to uncertainty in adult survival than to uncertainty in age at first breeding across the explored demographic space: a 1% variation in adult survival produces roughly 1.35-0.13% variation in </w:t>
      </w:r>
      <m:oMath>
        <m:sSub>
          <m:sSubPr>
            <m:ctrlPr>
              <w:rPr>
                <w:rFonts w:ascii="Cambria Math" w:hAnsi="Cambria Math"/>
              </w:rPr>
            </m:ctrlPr>
          </m:sSubPr>
          <m:e>
            <m:r>
              <w:rPr>
                <w:rFonts w:ascii="Cambria Math" w:hAnsi="Cambria Math"/>
              </w:rPr>
              <m:t>λ</m:t>
            </m:r>
          </m:e>
          <m:sub>
            <m:r>
              <w:rPr>
                <w:rFonts w:ascii="Cambria Math" w:hAnsi="Cambria Math"/>
              </w:rPr>
              <m:t>max</m:t>
            </m:r>
          </m:sub>
        </m:sSub>
      </m:oMath>
      <w:r>
        <w:t>, versus 0.22-0.06% for an equivalent variation in age at first breeding. Sensitivity is not spatially uniform: combinations of relatively high adult survival and earlier reproductive maturity produce the largest elastic responses, which is particularly relevant because adult survival is also among the least well-constrained demographic parameters for most bat species.</w:t>
      </w:r>
    </w:p>
    <w:p w14:paraId="50323D68" w14:textId="77777777" w:rsidR="006A30C6" w:rsidRDefault="00000000">
      <w:pPr>
        <w:pStyle w:val="Corpodetexto"/>
      </w:pPr>
      <w:r>
        <w:rPr>
          <w:noProof/>
        </w:rPr>
        <w:drawing>
          <wp:inline distT="0" distB="0" distL="0" distR="0" wp14:anchorId="03A5D8EC" wp14:editId="0C7F8817">
            <wp:extent cx="5753100" cy="3698421"/>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C:/Users/pcardoso/R/pbr_frick/outputs/figures/elasticity_survival.png"/>
                    <pic:cNvPicPr>
                      <a:picLocks noChangeAspect="1" noChangeArrowheads="1"/>
                    </pic:cNvPicPr>
                  </pic:nvPicPr>
                  <pic:blipFill>
                    <a:blip r:embed="rId8"/>
                    <a:stretch>
                      <a:fillRect/>
                    </a:stretch>
                  </pic:blipFill>
                  <pic:spPr bwMode="auto">
                    <a:xfrm>
                      <a:off x="0" y="0"/>
                      <a:ext cx="5753100" cy="3698421"/>
                    </a:xfrm>
                    <a:prstGeom prst="rect">
                      <a:avLst/>
                    </a:prstGeom>
                    <a:noFill/>
                    <a:ln w="9525">
                      <a:noFill/>
                      <a:headEnd/>
                      <a:tailEnd/>
                    </a:ln>
                  </pic:spPr>
                </pic:pic>
              </a:graphicData>
            </a:graphic>
          </wp:inline>
        </w:drawing>
      </w:r>
    </w:p>
    <w:p w14:paraId="326AAD9A" w14:textId="77777777" w:rsidR="006A30C6" w:rsidRDefault="00000000">
      <w:pPr>
        <w:pStyle w:val="Corpodetexto"/>
      </w:pPr>
      <w:r>
        <w:rPr>
          <w:noProof/>
        </w:rPr>
        <w:lastRenderedPageBreak/>
        <w:drawing>
          <wp:inline distT="0" distB="0" distL="0" distR="0" wp14:anchorId="1394903B" wp14:editId="456DF1EA">
            <wp:extent cx="5753100" cy="3698421"/>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C:/Users/pcardoso/R/pbr_frick/outputs/figures/elasticity_alpha.png"/>
                    <pic:cNvPicPr>
                      <a:picLocks noChangeAspect="1" noChangeArrowheads="1"/>
                    </pic:cNvPicPr>
                  </pic:nvPicPr>
                  <pic:blipFill>
                    <a:blip r:embed="rId9"/>
                    <a:stretch>
                      <a:fillRect/>
                    </a:stretch>
                  </pic:blipFill>
                  <pic:spPr bwMode="auto">
                    <a:xfrm>
                      <a:off x="0" y="0"/>
                      <a:ext cx="5753100" cy="3698421"/>
                    </a:xfrm>
                    <a:prstGeom prst="rect">
                      <a:avLst/>
                    </a:prstGeom>
                    <a:noFill/>
                    <a:ln w="9525">
                      <a:noFill/>
                      <a:headEnd/>
                      <a:tailEnd/>
                    </a:ln>
                  </pic:spPr>
                </pic:pic>
              </a:graphicData>
            </a:graphic>
          </wp:inline>
        </w:drawing>
      </w:r>
    </w:p>
    <w:p w14:paraId="4192B939" w14:textId="77777777" w:rsidR="006A30C6" w:rsidRDefault="00000000">
      <w:pPr>
        <w:pStyle w:val="Corpodetexto"/>
      </w:pPr>
      <w:r>
        <w:t>These results support the central rationale of the Frick adjusted framework: uncertainty in demographic parameterisation can materially influence resulting PBR values, and precautionary fixed-</w:t>
      </w:r>
      <m:oMath>
        <m:sSub>
          <m:sSubPr>
            <m:ctrlPr>
              <w:rPr>
                <w:rFonts w:ascii="Cambria Math" w:hAnsi="Cambria Math"/>
              </w:rPr>
            </m:ctrlPr>
          </m:sSubPr>
          <m:e>
            <m:r>
              <w:rPr>
                <w:rFonts w:ascii="Cambria Math" w:hAnsi="Cambria Math"/>
              </w:rPr>
              <m:t>λ</m:t>
            </m:r>
          </m:e>
          <m:sub>
            <m:r>
              <w:rPr>
                <w:rFonts w:ascii="Cambria Math" w:hAnsi="Cambria Math"/>
              </w:rPr>
              <m:t>max</m:t>
            </m:r>
          </m:sub>
        </m:sSub>
      </m:oMath>
      <w:r>
        <w:t xml:space="preserve"> assumptions reduce excessive sensitivity to uncertain demographic inputs. However, substantial uncertainty remains even under a fixed-</w:t>
      </w:r>
      <m:oMath>
        <m:sSub>
          <m:sSubPr>
            <m:ctrlPr>
              <w:rPr>
                <w:rFonts w:ascii="Cambria Math" w:hAnsi="Cambria Math"/>
              </w:rPr>
            </m:ctrlPr>
          </m:sSubPr>
          <m:e>
            <m:r>
              <w:rPr>
                <w:rFonts w:ascii="Cambria Math" w:hAnsi="Cambria Math"/>
              </w:rPr>
              <m:t>λ</m:t>
            </m:r>
          </m:e>
          <m:sub>
            <m:r>
              <w:rPr>
                <w:rFonts w:ascii="Cambria Math" w:hAnsi="Cambria Math"/>
              </w:rPr>
              <m:t>max</m:t>
            </m:r>
          </m:sub>
        </m:sSub>
      </m:oMath>
      <w:r>
        <w:t xml:space="preserve"> approach, through the interaction of demographic assumptions, local abundance estimation, and recovery-factor selection – the remainder of this note works through that interaction for the Parti-coloured bat at BSH &amp; DGY specifically.</w:t>
      </w:r>
    </w:p>
    <w:p w14:paraId="34D8961A" w14:textId="77777777" w:rsidR="006A30C6" w:rsidRDefault="00000000">
      <w:pPr>
        <w:pStyle w:val="Ttulo2"/>
      </w:pPr>
      <w:bookmarkStart w:id="8" w:name="evidence-base-for-age-at-first-breeding"/>
      <w:bookmarkStart w:id="9" w:name="_Toc240385945"/>
      <w:bookmarkEnd w:id="6"/>
      <w:r>
        <w:t>Evidence base for age at first breeding</w:t>
      </w:r>
      <w:bookmarkEnd w:id="9"/>
    </w:p>
    <w:p w14:paraId="7403277A" w14:textId="77777777" w:rsidR="006A30C6" w:rsidRDefault="00000000">
      <w:r>
        <w:t xml:space="preserve">For PBR, </w:t>
      </w:r>
      <m:oMath>
        <m:r>
          <w:rPr>
            <w:rFonts w:ascii="Cambria Math" w:hAnsi="Cambria Math"/>
          </w:rPr>
          <m:t>α</m:t>
        </m:r>
      </m:oMath>
      <w:r>
        <w:t xml:space="preserve"> should represent effective age at first reproduction – the age at which a female actually recruits offspring into the population – not merely physiological sexual maturity. A literature review for </w:t>
      </w:r>
      <w:r>
        <w:rPr>
          <w:i/>
          <w:iCs/>
        </w:rPr>
        <w:t>Vespertilio murinus</w:t>
      </w:r>
      <w:r>
        <w:t xml:space="preserve"> was undertaken on this basis.</w:t>
      </w:r>
    </w:p>
    <w:p w14:paraId="380E70D3" w14:textId="77777777" w:rsidR="006A30C6" w:rsidRDefault="00000000">
      <w:r>
        <w:t>Sources reviewed for age at first breeding in the Parti-coloured bat.</w:t>
      </w:r>
    </w:p>
    <w:tbl>
      <w:tblPr>
        <w:tblStyle w:val="Tabelacomgrade1"/>
        <w:tblW w:w="5000" w:type="pct"/>
        <w:tblLayout w:type="fixed"/>
        <w:tblLook w:val="0020" w:firstRow="1" w:lastRow="0" w:firstColumn="0" w:lastColumn="0" w:noHBand="0" w:noVBand="0"/>
        <w:tblCaption w:val="Sources reviewed for age at first breeding in the Parti-coloured bat."/>
      </w:tblPr>
      <w:tblGrid>
        <w:gridCol w:w="2266"/>
        <w:gridCol w:w="2265"/>
        <w:gridCol w:w="2265"/>
        <w:gridCol w:w="2265"/>
      </w:tblGrid>
      <w:tr w:rsidR="006A30C6" w14:paraId="42E6BECC" w14:textId="77777777" w:rsidTr="000F0499">
        <w:trPr>
          <w:tblHeader/>
        </w:trPr>
        <w:tc>
          <w:tcPr>
            <w:tcW w:w="1980" w:type="dxa"/>
          </w:tcPr>
          <w:p w14:paraId="1D0B3216" w14:textId="77777777" w:rsidR="006A30C6" w:rsidRDefault="00000000" w:rsidP="00955D96">
            <w:pPr>
              <w:pStyle w:val="BETabelaFonteMAIOR"/>
            </w:pPr>
            <w:r>
              <w:t>Source</w:t>
            </w:r>
          </w:p>
        </w:tc>
        <w:tc>
          <w:tcPr>
            <w:tcW w:w="1980" w:type="dxa"/>
          </w:tcPr>
          <w:p w14:paraId="518D2AE4" w14:textId="77777777" w:rsidR="006A30C6" w:rsidRDefault="00000000" w:rsidP="00955D96">
            <w:pPr>
              <w:pStyle w:val="BETabelaFonteMAIOR"/>
            </w:pPr>
            <w:r>
              <w:t>Species / group</w:t>
            </w:r>
          </w:p>
        </w:tc>
        <w:tc>
          <w:tcPr>
            <w:tcW w:w="1980" w:type="dxa"/>
          </w:tcPr>
          <w:p w14:paraId="2FB34FCF" w14:textId="77777777" w:rsidR="006A30C6" w:rsidRDefault="00000000" w:rsidP="00955D96">
            <w:pPr>
              <w:pStyle w:val="BETabelaFonteMAIOR"/>
            </w:pPr>
            <w:r>
              <w:t>Relevant information</w:t>
            </w:r>
          </w:p>
        </w:tc>
        <w:tc>
          <w:tcPr>
            <w:tcW w:w="1980" w:type="dxa"/>
          </w:tcPr>
          <w:p w14:paraId="0D099005" w14:textId="77777777" w:rsidR="006A30C6" w:rsidRDefault="00000000" w:rsidP="00955D96">
            <w:pPr>
              <w:pStyle w:val="BETabelaFonteMAIOR"/>
            </w:pPr>
            <w:r>
              <w:t>Implication for alpha</w:t>
            </w:r>
          </w:p>
        </w:tc>
      </w:tr>
      <w:tr w:rsidR="006A30C6" w14:paraId="146C270E" w14:textId="77777777" w:rsidTr="00955D96">
        <w:tc>
          <w:tcPr>
            <w:tcW w:w="1980" w:type="dxa"/>
          </w:tcPr>
          <w:p w14:paraId="29326DAE" w14:textId="77777777" w:rsidR="006A30C6" w:rsidRDefault="00000000" w:rsidP="00955D96">
            <w:pPr>
              <w:pStyle w:val="BETabelaFonteMAIOR"/>
            </w:pPr>
            <w:r>
              <w:t>AnAge database</w:t>
            </w:r>
          </w:p>
        </w:tc>
        <w:tc>
          <w:tcPr>
            <w:tcW w:w="1980" w:type="dxa"/>
          </w:tcPr>
          <w:p w14:paraId="0EA67053" w14:textId="77777777" w:rsidR="006A30C6" w:rsidRDefault="00000000" w:rsidP="00955D96">
            <w:pPr>
              <w:pStyle w:val="BETabelaFonteMAIOR"/>
            </w:pPr>
            <w:r>
              <w:rPr>
                <w:i/>
                <w:iCs/>
              </w:rPr>
              <w:t>Vespertilio murinus</w:t>
            </w:r>
          </w:p>
        </w:tc>
        <w:tc>
          <w:tcPr>
            <w:tcW w:w="1980" w:type="dxa"/>
          </w:tcPr>
          <w:p w14:paraId="222FD7E7" w14:textId="77777777" w:rsidR="006A30C6" w:rsidRDefault="00000000" w:rsidP="00955D96">
            <w:pPr>
              <w:pStyle w:val="BETabelaFonteMAIOR"/>
            </w:pPr>
            <w:r>
              <w:t>Female and male sexual maturity listed at 730 days (~2 years); litter size 2; one litter per year.</w:t>
            </w:r>
          </w:p>
        </w:tc>
        <w:tc>
          <w:tcPr>
            <w:tcW w:w="1980" w:type="dxa"/>
          </w:tcPr>
          <w:p w14:paraId="207A71CA" w14:textId="77777777" w:rsidR="006A30C6" w:rsidRDefault="00000000" w:rsidP="00955D96">
            <w:pPr>
              <w:pStyle w:val="BETabelaFonteMAIOR"/>
            </w:pPr>
            <w:r>
              <w:t>Supports alpha ~= 2 as a defensible value.</w:t>
            </w:r>
          </w:p>
        </w:tc>
      </w:tr>
      <w:tr w:rsidR="006A30C6" w14:paraId="3A28B961" w14:textId="77777777" w:rsidTr="00955D96">
        <w:tc>
          <w:tcPr>
            <w:tcW w:w="1980" w:type="dxa"/>
          </w:tcPr>
          <w:p w14:paraId="1423014E" w14:textId="77777777" w:rsidR="006A30C6" w:rsidRDefault="00000000" w:rsidP="00955D96">
            <w:pPr>
              <w:pStyle w:val="BETabelaFonteMAIOR"/>
            </w:pPr>
            <w:r>
              <w:t xml:space="preserve">Haensel 2010, </w:t>
            </w:r>
            <w:r>
              <w:rPr>
                <w:i/>
                <w:iCs/>
              </w:rPr>
              <w:t>Nyctalus</w:t>
            </w:r>
          </w:p>
        </w:tc>
        <w:tc>
          <w:tcPr>
            <w:tcW w:w="1980" w:type="dxa"/>
          </w:tcPr>
          <w:p w14:paraId="1DF5D02D" w14:textId="77777777" w:rsidR="006A30C6" w:rsidRDefault="00000000" w:rsidP="00955D96">
            <w:pPr>
              <w:pStyle w:val="BETabelaFonteMAIOR"/>
            </w:pPr>
            <w:r>
              <w:rPr>
                <w:i/>
                <w:iCs/>
              </w:rPr>
              <w:t>Vespertilio murinus</w:t>
            </w:r>
          </w:p>
        </w:tc>
        <w:tc>
          <w:tcPr>
            <w:tcW w:w="1980" w:type="dxa"/>
          </w:tcPr>
          <w:p w14:paraId="7A4002B8" w14:textId="77777777" w:rsidR="006A30C6" w:rsidRDefault="00000000" w:rsidP="00955D96">
            <w:pPr>
              <w:pStyle w:val="BETabelaFonteMAIOR"/>
            </w:pPr>
            <w:r>
              <w:t xml:space="preserve">Some females raise young in their first year </w:t>
            </w:r>
            <w:r>
              <w:lastRenderedPageBreak/>
              <w:t>of life; the author’s own data suggest most or all females may reach sexual maturity in the year of birth and raise young as one-year-olds, stated cautiously.</w:t>
            </w:r>
          </w:p>
        </w:tc>
        <w:tc>
          <w:tcPr>
            <w:tcW w:w="1980" w:type="dxa"/>
          </w:tcPr>
          <w:p w14:paraId="04B54BC7" w14:textId="77777777" w:rsidR="006A30C6" w:rsidRDefault="00000000" w:rsidP="00955D96">
            <w:pPr>
              <w:pStyle w:val="BETabelaFonteMAIOR"/>
            </w:pPr>
            <w:r>
              <w:lastRenderedPageBreak/>
              <w:t xml:space="preserve">Suggests alpha = 1-2 may be plausible; alpha </w:t>
            </w:r>
            <w:r>
              <w:lastRenderedPageBreak/>
              <w:t>= 2 is not an optimistic assumption.</w:t>
            </w:r>
          </w:p>
        </w:tc>
      </w:tr>
      <w:tr w:rsidR="006A30C6" w14:paraId="6BC9119A" w14:textId="77777777" w:rsidTr="00955D96">
        <w:tc>
          <w:tcPr>
            <w:tcW w:w="1980" w:type="dxa"/>
          </w:tcPr>
          <w:p w14:paraId="475C9EE5" w14:textId="77777777" w:rsidR="006A30C6" w:rsidRDefault="00000000" w:rsidP="00955D96">
            <w:pPr>
              <w:pStyle w:val="BETabelaFonteMAIOR"/>
            </w:pPr>
            <w:r>
              <w:lastRenderedPageBreak/>
              <w:t>Ratpenats species account</w:t>
            </w:r>
          </w:p>
        </w:tc>
        <w:tc>
          <w:tcPr>
            <w:tcW w:w="1980" w:type="dxa"/>
          </w:tcPr>
          <w:p w14:paraId="47489D2B" w14:textId="77777777" w:rsidR="006A30C6" w:rsidRDefault="00000000" w:rsidP="00955D96">
            <w:pPr>
              <w:pStyle w:val="BETabelaFonteMAIOR"/>
            </w:pPr>
            <w:r>
              <w:rPr>
                <w:i/>
                <w:iCs/>
              </w:rPr>
              <w:t>Vespertilio murinus</w:t>
            </w:r>
          </w:p>
        </w:tc>
        <w:tc>
          <w:tcPr>
            <w:tcW w:w="1980" w:type="dxa"/>
          </w:tcPr>
          <w:p w14:paraId="47C25CA1" w14:textId="77777777" w:rsidR="006A30C6" w:rsidRDefault="00000000" w:rsidP="00955D96">
            <w:pPr>
              <w:pStyle w:val="BETabelaFonteMAIOR"/>
            </w:pPr>
            <w:r>
              <w:t>Many females mate in their first autumn.</w:t>
            </w:r>
          </w:p>
        </w:tc>
        <w:tc>
          <w:tcPr>
            <w:tcW w:w="1980" w:type="dxa"/>
          </w:tcPr>
          <w:p w14:paraId="06685672" w14:textId="77777777" w:rsidR="006A30C6" w:rsidRDefault="00000000" w:rsidP="00955D96">
            <w:pPr>
              <w:pStyle w:val="BETabelaFonteMAIOR"/>
            </w:pPr>
            <w:r>
              <w:t>Supports early sexual maturity, but mating is not the same as confirmed breeding.</w:t>
            </w:r>
          </w:p>
        </w:tc>
      </w:tr>
      <w:tr w:rsidR="006A30C6" w14:paraId="4EEA75E8" w14:textId="77777777" w:rsidTr="00955D96">
        <w:tc>
          <w:tcPr>
            <w:tcW w:w="1980" w:type="dxa"/>
          </w:tcPr>
          <w:p w14:paraId="1BB53802" w14:textId="77777777" w:rsidR="006A30C6" w:rsidRDefault="00000000" w:rsidP="00955D96">
            <w:pPr>
              <w:pStyle w:val="BETabelaFonteMAIOR"/>
            </w:pPr>
            <w:r>
              <w:t>Racey &amp; Entwistle synthesis, cited in Frick et al.’s own discussion</w:t>
            </w:r>
          </w:p>
        </w:tc>
        <w:tc>
          <w:tcPr>
            <w:tcW w:w="1980" w:type="dxa"/>
          </w:tcPr>
          <w:p w14:paraId="12327055" w14:textId="77777777" w:rsidR="006A30C6" w:rsidRDefault="00000000" w:rsidP="00955D96">
            <w:pPr>
              <w:pStyle w:val="BETabelaFonteMAIOR"/>
            </w:pPr>
            <w:r>
              <w:t>Bats broadly</w:t>
            </w:r>
          </w:p>
        </w:tc>
        <w:tc>
          <w:tcPr>
            <w:tcW w:w="1980" w:type="dxa"/>
          </w:tcPr>
          <w:p w14:paraId="340C2AEC" w14:textId="77777777" w:rsidR="006A30C6" w:rsidRDefault="00000000" w:rsidP="00955D96">
            <w:pPr>
              <w:pStyle w:val="BETabelaFonteMAIOR"/>
            </w:pPr>
            <w:r>
              <w:t>The general view for most bats is that age at first breeding is around 1 year, though first-year breeding probability can be lower; Frick et al. use alpha = 1.5 as a general benchmark and suggest alpha = 2 for some families.</w:t>
            </w:r>
          </w:p>
        </w:tc>
        <w:tc>
          <w:tcPr>
            <w:tcW w:w="1980" w:type="dxa"/>
          </w:tcPr>
          <w:p w14:paraId="51D7627F" w14:textId="77777777" w:rsidR="006A30C6" w:rsidRDefault="00000000" w:rsidP="00955D96">
            <w:pPr>
              <w:pStyle w:val="BETabelaFonteMAIOR"/>
            </w:pPr>
            <w:r>
              <w:t>Supports alpha = 1.5-2 as plausible for many bat species.</w:t>
            </w:r>
          </w:p>
        </w:tc>
      </w:tr>
      <w:tr w:rsidR="006A30C6" w14:paraId="750D282D" w14:textId="77777777" w:rsidTr="00955D96">
        <w:tc>
          <w:tcPr>
            <w:tcW w:w="1980" w:type="dxa"/>
          </w:tcPr>
          <w:p w14:paraId="13BA21F8" w14:textId="77777777" w:rsidR="006A30C6" w:rsidRDefault="00000000" w:rsidP="00955D96">
            <w:pPr>
              <w:pStyle w:val="BETabelaFonteMAIOR"/>
            </w:pPr>
            <w:r>
              <w:t>Cryan et al. 2012</w:t>
            </w:r>
          </w:p>
        </w:tc>
        <w:tc>
          <w:tcPr>
            <w:tcW w:w="1980" w:type="dxa"/>
          </w:tcPr>
          <w:p w14:paraId="66B5F504" w14:textId="77777777" w:rsidR="006A30C6" w:rsidRDefault="00000000" w:rsidP="00955D96">
            <w:pPr>
              <w:pStyle w:val="BETabelaFonteMAIOR"/>
            </w:pPr>
            <w:r>
              <w:t>Migratory tree bats killed at wind turbines</w:t>
            </w:r>
          </w:p>
        </w:tc>
        <w:tc>
          <w:tcPr>
            <w:tcW w:w="1980" w:type="dxa"/>
          </w:tcPr>
          <w:p w14:paraId="6D85970E" w14:textId="77777777" w:rsidR="006A30C6" w:rsidRDefault="00000000" w:rsidP="00955D96">
            <w:pPr>
              <w:pStyle w:val="BETabelaFonteMAIOR"/>
            </w:pPr>
            <w:r>
              <w:t>Ovarian development indicating sexual maturity even in first-year females for several migratory tree-roosting species.</w:t>
            </w:r>
          </w:p>
        </w:tc>
        <w:tc>
          <w:tcPr>
            <w:tcW w:w="1980" w:type="dxa"/>
          </w:tcPr>
          <w:p w14:paraId="3900F6E9" w14:textId="77777777" w:rsidR="006A30C6" w:rsidRDefault="00000000" w:rsidP="00955D96">
            <w:pPr>
              <w:pStyle w:val="BETabelaFonteMAIOR"/>
            </w:pPr>
            <w:r>
              <w:t>Useful analogue: some wind-vulnerable migratory bats mature very early.</w:t>
            </w:r>
          </w:p>
        </w:tc>
      </w:tr>
      <w:tr w:rsidR="006A30C6" w14:paraId="51146F19" w14:textId="77777777" w:rsidTr="00955D96">
        <w:tc>
          <w:tcPr>
            <w:tcW w:w="1980" w:type="dxa"/>
          </w:tcPr>
          <w:p w14:paraId="14CB36E5" w14:textId="77777777" w:rsidR="006A30C6" w:rsidRDefault="00000000" w:rsidP="00955D96">
            <w:pPr>
              <w:pStyle w:val="BETabelaFonteMAIOR"/>
            </w:pPr>
            <w:r>
              <w:t>Komar et al. 2020</w:t>
            </w:r>
          </w:p>
        </w:tc>
        <w:tc>
          <w:tcPr>
            <w:tcW w:w="1980" w:type="dxa"/>
          </w:tcPr>
          <w:p w14:paraId="53059C13" w14:textId="77777777" w:rsidR="006A30C6" w:rsidRDefault="00000000" w:rsidP="00955D96">
            <w:pPr>
              <w:pStyle w:val="BETabelaFonteMAIOR"/>
            </w:pPr>
            <w:r>
              <w:t xml:space="preserve">Male </w:t>
            </w:r>
            <w:r>
              <w:rPr>
                <w:i/>
                <w:iCs/>
              </w:rPr>
              <w:t>Vespertilio murinus</w:t>
            </w:r>
          </w:p>
        </w:tc>
        <w:tc>
          <w:tcPr>
            <w:tcW w:w="1980" w:type="dxa"/>
          </w:tcPr>
          <w:p w14:paraId="1941572D" w14:textId="77777777" w:rsidR="006A30C6" w:rsidRDefault="00000000" w:rsidP="00955D96">
            <w:pPr>
              <w:pStyle w:val="BETabelaFonteMAIOR"/>
            </w:pPr>
            <w:r>
              <w:t>Food restriction delayed seasonal sexual maturation in males; well-fed males matured earlier.</w:t>
            </w:r>
          </w:p>
        </w:tc>
        <w:tc>
          <w:tcPr>
            <w:tcW w:w="1980" w:type="dxa"/>
          </w:tcPr>
          <w:p w14:paraId="7ABA1DC1" w14:textId="77777777" w:rsidR="006A30C6" w:rsidRDefault="00000000" w:rsidP="00955D96">
            <w:pPr>
              <w:pStyle w:val="BETabelaFonteMAIOR"/>
            </w:pPr>
            <w:r>
              <w:t>Maturation timing is condition-dependent; male data are less directly useful for PBR (which uses female recruitment).</w:t>
            </w:r>
          </w:p>
        </w:tc>
      </w:tr>
    </w:tbl>
    <w:p w14:paraId="6C73C18B" w14:textId="77777777" w:rsidR="000F0499" w:rsidRDefault="000F0499">
      <w:pPr>
        <w:pStyle w:val="Corpodetexto"/>
        <w:rPr>
          <w:rFonts w:cs="Pª«ª‘ˇ¯‡™"/>
        </w:rPr>
      </w:pPr>
    </w:p>
    <w:p w14:paraId="17F6E0D6" w14:textId="613C96D8" w:rsidR="006A30C6" w:rsidRDefault="00000000">
      <w:pPr>
        <w:pStyle w:val="Corpodetexto"/>
      </w:pPr>
      <m:oMath>
        <m:r>
          <w:rPr>
            <w:rFonts w:ascii="Cambria Math" w:hAnsi="Cambria Math"/>
          </w:rPr>
          <m:t>α</m:t>
        </m:r>
        <m:r>
          <m:rPr>
            <m:sty m:val="p"/>
          </m:rPr>
          <w:rPr>
            <w:rFonts w:ascii="Cambria Math" w:hAnsi="Cambria Math"/>
          </w:rPr>
          <m:t>=</m:t>
        </m:r>
        <m:r>
          <w:rPr>
            <w:rFonts w:ascii="Cambria Math" w:hAnsi="Cambria Math"/>
          </w:rPr>
          <m:t>2</m:t>
        </m:r>
      </m:oMath>
      <w:r>
        <w:t xml:space="preserve"> is a defensible, reasonably conservative central value for PBR purposes under the effective-recruitment reading of </w:t>
      </w:r>
      <m:oMath>
        <m:r>
          <w:rPr>
            <w:rFonts w:ascii="Cambria Math" w:hAnsi="Cambria Math"/>
          </w:rPr>
          <m:t>α</m:t>
        </m:r>
      </m:oMath>
      <w:r>
        <w:t xml:space="preserve">, and is directly supported by the AnAge sexual-maturity estimate. </w:t>
      </w:r>
      <m:oMath>
        <m:r>
          <w:rPr>
            <w:rFonts w:ascii="Cambria Math" w:hAnsi="Cambria Math"/>
          </w:rPr>
          <m:t>α</m:t>
        </m:r>
        <m:r>
          <m:rPr>
            <m:sty m:val="p"/>
          </m:rPr>
          <w:rPr>
            <w:rFonts w:ascii="Cambria Math" w:hAnsi="Cambria Math"/>
          </w:rPr>
          <m:t>=</m:t>
        </m:r>
        <m:r>
          <w:rPr>
            <w:rFonts w:ascii="Cambria Math" w:hAnsi="Cambria Math"/>
          </w:rPr>
          <m:t>1.5</m:t>
        </m:r>
      </m:oMath>
      <w:r>
        <w:t xml:space="preserve"> (the paper’s own general bat benchmark) is a plausible lower bound, though it rests on thinner, more cautiously stated species-specific evidence. </w:t>
      </w:r>
      <m:oMath>
        <m:r>
          <w:rPr>
            <w:rFonts w:ascii="Cambria Math" w:hAnsi="Cambria Math"/>
          </w:rPr>
          <m:t>α</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oMath>
      <w:r>
        <w:t xml:space="preserve"> has no direct empirical support for </w:t>
      </w:r>
      <w:r>
        <w:rPr>
          <w:i/>
          <w:iCs/>
        </w:rPr>
        <w:t>V. murinus</w:t>
      </w:r>
      <w:r>
        <w:t xml:space="preserve"> in the sources reviewed; it remains a useful precautionary sensitivity scenario for ecological constraints on effective recruitment (migration costs, poor juvenile survival, low first-year breeding probability), but is not the best-supported biological estimate. This review supports using </w:t>
      </w:r>
      <m:oMath>
        <m:r>
          <w:rPr>
            <w:rFonts w:ascii="Cambria Math" w:hAnsi="Cambria Math"/>
          </w:rPr>
          <m:t>α</m:t>
        </m:r>
        <m:r>
          <m:rPr>
            <m:sty m:val="p"/>
          </m:rPr>
          <w:rPr>
            <w:rFonts w:ascii="Cambria Math" w:hAnsi="Cambria Math"/>
          </w:rPr>
          <m:t>∈</m:t>
        </m:r>
      </m:oMath>
      <w:r>
        <w:t xml:space="preserve"> [1.5, 3.5] years as the working range throughout this note, in place of a single fixed value.</w:t>
      </w:r>
    </w:p>
    <w:p w14:paraId="751C218B" w14:textId="77777777" w:rsidR="006A30C6" w:rsidRDefault="00000000">
      <w:pPr>
        <w:pStyle w:val="Ttulo2"/>
      </w:pPr>
      <w:bookmarkStart w:id="10" w:name="X85d148eb513d35c72bfcccd5c2c75dd73ef803e"/>
      <w:bookmarkStart w:id="11" w:name="_Toc240385946"/>
      <w:bookmarkEnd w:id="8"/>
      <w:r>
        <w:lastRenderedPageBreak/>
        <w:t>Reverse-engineering the imposed thresholds</w:t>
      </w:r>
      <w:bookmarkEnd w:id="11"/>
    </w:p>
    <w:p w14:paraId="533FCD5A" w14:textId="77777777" w:rsidR="006A30C6" w:rsidRDefault="00000000">
      <w:r>
        <w:t>BSH &amp; DGY were given a fixed annual fatality threshold for the Parti-coloured bat – 144 bats/year at BSH and 120 bats/year at DGY – without a documented derivation. Since no independent local population estimate for the species exists for this region, plausibility is assessed by working backwards from the imposed thresholds under the Frick PBR equation.</w:t>
      </w:r>
    </w:p>
    <w:p w14:paraId="51B5D946" w14:textId="77777777" w:rsidR="006A30C6" w:rsidRDefault="00000000">
      <w:r>
        <w:t>Local population size (Nmin) required to reproduce each imposed threshold, under Fr = 0.3 (Near Threatened) and the paper’s fixed lambda_max benchmarks.</w:t>
      </w:r>
    </w:p>
    <w:tbl>
      <w:tblPr>
        <w:tblStyle w:val="Tabelacomgrade1"/>
        <w:tblW w:w="0" w:type="auto"/>
        <w:tblLook w:val="0020" w:firstRow="1" w:lastRow="0" w:firstColumn="0" w:lastColumn="0" w:noHBand="0" w:noVBand="0"/>
        <w:tblCaption w:val="Local population size (Nmin) required to reproduce each imposed threshold, under Fr = 0.3 (Near Threatened) and the paper’s fixed lambda_max benchmarks."/>
      </w:tblPr>
      <w:tblGrid>
        <w:gridCol w:w="833"/>
        <w:gridCol w:w="1899"/>
        <w:gridCol w:w="1861"/>
        <w:gridCol w:w="1518"/>
      </w:tblGrid>
      <w:tr w:rsidR="006A30C6" w14:paraId="2321ACAD" w14:textId="77777777" w:rsidTr="00955D96">
        <w:tc>
          <w:tcPr>
            <w:tcW w:w="0" w:type="auto"/>
          </w:tcPr>
          <w:p w14:paraId="485D3BA1" w14:textId="77777777" w:rsidR="006A30C6" w:rsidRDefault="00000000" w:rsidP="00955D96">
            <w:pPr>
              <w:pStyle w:val="BETabelaFonteMAIOR"/>
            </w:pPr>
            <w:r>
              <w:t>Facility</w:t>
            </w:r>
          </w:p>
        </w:tc>
        <w:tc>
          <w:tcPr>
            <w:tcW w:w="0" w:type="auto"/>
          </w:tcPr>
          <w:p w14:paraId="3BC56A3A" w14:textId="77777777" w:rsidR="006A30C6" w:rsidRDefault="00000000" w:rsidP="00955D96">
            <w:pPr>
              <w:pStyle w:val="BETabelaFonteMAIOR"/>
            </w:pPr>
            <w:r>
              <w:t>Threshold (bats/yr)</w:t>
            </w:r>
          </w:p>
        </w:tc>
        <w:tc>
          <w:tcPr>
            <w:tcW w:w="0" w:type="auto"/>
          </w:tcPr>
          <w:p w14:paraId="1F890BA3" w14:textId="77777777" w:rsidR="006A30C6" w:rsidRDefault="00000000" w:rsidP="00955D96">
            <w:pPr>
              <w:pStyle w:val="BETabelaFonteMAIOR"/>
            </w:pPr>
            <w:r>
              <w:t>Fixed lambda_max</w:t>
            </w:r>
          </w:p>
        </w:tc>
        <w:tc>
          <w:tcPr>
            <w:tcW w:w="0" w:type="auto"/>
          </w:tcPr>
          <w:p w14:paraId="67903A83" w14:textId="77777777" w:rsidR="006A30C6" w:rsidRDefault="00000000" w:rsidP="00955D96">
            <w:pPr>
              <w:pStyle w:val="BETabelaFonteMAIOR"/>
            </w:pPr>
            <w:r>
              <w:t>Required Nmin</w:t>
            </w:r>
          </w:p>
        </w:tc>
      </w:tr>
      <w:tr w:rsidR="006A30C6" w14:paraId="04A287B3" w14:textId="77777777" w:rsidTr="00955D96">
        <w:tc>
          <w:tcPr>
            <w:tcW w:w="0" w:type="auto"/>
          </w:tcPr>
          <w:p w14:paraId="5DEA30B4" w14:textId="77777777" w:rsidR="006A30C6" w:rsidRDefault="00000000" w:rsidP="00955D96">
            <w:pPr>
              <w:pStyle w:val="BETabelaFonteMAIOR"/>
            </w:pPr>
            <w:r>
              <w:t>BSH</w:t>
            </w:r>
          </w:p>
        </w:tc>
        <w:tc>
          <w:tcPr>
            <w:tcW w:w="0" w:type="auto"/>
          </w:tcPr>
          <w:p w14:paraId="7C5B4AA5" w14:textId="77777777" w:rsidR="006A30C6" w:rsidRDefault="00000000" w:rsidP="00955D96">
            <w:pPr>
              <w:pStyle w:val="BETabelaFonteMAIOR"/>
            </w:pPr>
            <w:r>
              <w:t>144</w:t>
            </w:r>
          </w:p>
        </w:tc>
        <w:tc>
          <w:tcPr>
            <w:tcW w:w="0" w:type="auto"/>
          </w:tcPr>
          <w:p w14:paraId="554B934D" w14:textId="77777777" w:rsidR="006A30C6" w:rsidRDefault="00000000" w:rsidP="00955D96">
            <w:pPr>
              <w:pStyle w:val="BETabelaFonteMAIOR"/>
            </w:pPr>
            <w:r>
              <w:t>1.24</w:t>
            </w:r>
          </w:p>
        </w:tc>
        <w:tc>
          <w:tcPr>
            <w:tcW w:w="0" w:type="auto"/>
          </w:tcPr>
          <w:p w14:paraId="4F5ED873" w14:textId="77777777" w:rsidR="006A30C6" w:rsidRDefault="00000000" w:rsidP="00955D96">
            <w:pPr>
              <w:pStyle w:val="BETabelaFonteMAIOR"/>
            </w:pPr>
            <w:r>
              <w:t>4000</w:t>
            </w:r>
          </w:p>
        </w:tc>
      </w:tr>
      <w:tr w:rsidR="006A30C6" w14:paraId="0FAE72AC" w14:textId="77777777" w:rsidTr="00955D96">
        <w:tc>
          <w:tcPr>
            <w:tcW w:w="0" w:type="auto"/>
          </w:tcPr>
          <w:p w14:paraId="6A3CA249" w14:textId="77777777" w:rsidR="006A30C6" w:rsidRDefault="00000000" w:rsidP="00955D96">
            <w:pPr>
              <w:pStyle w:val="BETabelaFonteMAIOR"/>
            </w:pPr>
            <w:r>
              <w:t>BSH</w:t>
            </w:r>
          </w:p>
        </w:tc>
        <w:tc>
          <w:tcPr>
            <w:tcW w:w="0" w:type="auto"/>
          </w:tcPr>
          <w:p w14:paraId="332AB691" w14:textId="77777777" w:rsidR="006A30C6" w:rsidRDefault="00000000" w:rsidP="00955D96">
            <w:pPr>
              <w:pStyle w:val="BETabelaFonteMAIOR"/>
            </w:pPr>
            <w:r>
              <w:t>144</w:t>
            </w:r>
          </w:p>
        </w:tc>
        <w:tc>
          <w:tcPr>
            <w:tcW w:w="0" w:type="auto"/>
          </w:tcPr>
          <w:p w14:paraId="08AAAFAC" w14:textId="77777777" w:rsidR="006A30C6" w:rsidRDefault="00000000" w:rsidP="00955D96">
            <w:pPr>
              <w:pStyle w:val="BETabelaFonteMAIOR"/>
            </w:pPr>
            <w:r>
              <w:t>1.20</w:t>
            </w:r>
          </w:p>
        </w:tc>
        <w:tc>
          <w:tcPr>
            <w:tcW w:w="0" w:type="auto"/>
          </w:tcPr>
          <w:p w14:paraId="1722088B" w14:textId="77777777" w:rsidR="006A30C6" w:rsidRDefault="00000000" w:rsidP="00955D96">
            <w:pPr>
              <w:pStyle w:val="BETabelaFonteMAIOR"/>
            </w:pPr>
            <w:r>
              <w:t>4800</w:t>
            </w:r>
          </w:p>
        </w:tc>
      </w:tr>
      <w:tr w:rsidR="006A30C6" w14:paraId="7EB3E327" w14:textId="77777777" w:rsidTr="00955D96">
        <w:tc>
          <w:tcPr>
            <w:tcW w:w="0" w:type="auto"/>
          </w:tcPr>
          <w:p w14:paraId="3271F079" w14:textId="77777777" w:rsidR="006A30C6" w:rsidRDefault="00000000" w:rsidP="00955D96">
            <w:pPr>
              <w:pStyle w:val="BETabelaFonteMAIOR"/>
            </w:pPr>
            <w:r>
              <w:t>DGY</w:t>
            </w:r>
          </w:p>
        </w:tc>
        <w:tc>
          <w:tcPr>
            <w:tcW w:w="0" w:type="auto"/>
          </w:tcPr>
          <w:p w14:paraId="58233071" w14:textId="77777777" w:rsidR="006A30C6" w:rsidRDefault="00000000" w:rsidP="00955D96">
            <w:pPr>
              <w:pStyle w:val="BETabelaFonteMAIOR"/>
            </w:pPr>
            <w:r>
              <w:t>120</w:t>
            </w:r>
          </w:p>
        </w:tc>
        <w:tc>
          <w:tcPr>
            <w:tcW w:w="0" w:type="auto"/>
          </w:tcPr>
          <w:p w14:paraId="59063AC3" w14:textId="77777777" w:rsidR="006A30C6" w:rsidRDefault="00000000" w:rsidP="00955D96">
            <w:pPr>
              <w:pStyle w:val="BETabelaFonteMAIOR"/>
            </w:pPr>
            <w:r>
              <w:t>1.24</w:t>
            </w:r>
          </w:p>
        </w:tc>
        <w:tc>
          <w:tcPr>
            <w:tcW w:w="0" w:type="auto"/>
          </w:tcPr>
          <w:p w14:paraId="5F093144" w14:textId="77777777" w:rsidR="006A30C6" w:rsidRDefault="00000000" w:rsidP="00955D96">
            <w:pPr>
              <w:pStyle w:val="BETabelaFonteMAIOR"/>
            </w:pPr>
            <w:r>
              <w:t>3333</w:t>
            </w:r>
          </w:p>
        </w:tc>
      </w:tr>
      <w:tr w:rsidR="006A30C6" w14:paraId="60D56776" w14:textId="77777777" w:rsidTr="00955D96">
        <w:tc>
          <w:tcPr>
            <w:tcW w:w="0" w:type="auto"/>
          </w:tcPr>
          <w:p w14:paraId="561E4D1F" w14:textId="77777777" w:rsidR="006A30C6" w:rsidRDefault="00000000" w:rsidP="00955D96">
            <w:pPr>
              <w:pStyle w:val="BETabelaFonteMAIOR"/>
            </w:pPr>
            <w:r>
              <w:t>DGY</w:t>
            </w:r>
          </w:p>
        </w:tc>
        <w:tc>
          <w:tcPr>
            <w:tcW w:w="0" w:type="auto"/>
          </w:tcPr>
          <w:p w14:paraId="63818523" w14:textId="77777777" w:rsidR="006A30C6" w:rsidRDefault="00000000" w:rsidP="00955D96">
            <w:pPr>
              <w:pStyle w:val="BETabelaFonteMAIOR"/>
            </w:pPr>
            <w:r>
              <w:t>120</w:t>
            </w:r>
          </w:p>
        </w:tc>
        <w:tc>
          <w:tcPr>
            <w:tcW w:w="0" w:type="auto"/>
          </w:tcPr>
          <w:p w14:paraId="7ADD789C" w14:textId="77777777" w:rsidR="006A30C6" w:rsidRDefault="00000000" w:rsidP="00955D96">
            <w:pPr>
              <w:pStyle w:val="BETabelaFonteMAIOR"/>
            </w:pPr>
            <w:r>
              <w:t>1.20</w:t>
            </w:r>
          </w:p>
        </w:tc>
        <w:tc>
          <w:tcPr>
            <w:tcW w:w="0" w:type="auto"/>
          </w:tcPr>
          <w:p w14:paraId="1D690444" w14:textId="77777777" w:rsidR="006A30C6" w:rsidRDefault="00000000" w:rsidP="00955D96">
            <w:pPr>
              <w:pStyle w:val="BETabelaFonteMAIOR"/>
            </w:pPr>
            <w:r>
              <w:t>4000</w:t>
            </w:r>
          </w:p>
        </w:tc>
      </w:tr>
    </w:tbl>
    <w:p w14:paraId="18CA53CA" w14:textId="77777777" w:rsidR="000F0499" w:rsidRDefault="000F0499">
      <w:pPr>
        <w:pStyle w:val="Corpodetexto"/>
      </w:pPr>
    </w:p>
    <w:p w14:paraId="75EF13FF" w14:textId="07F68EA0" w:rsidR="006A30C6" w:rsidRDefault="00000000">
      <w:pPr>
        <w:pStyle w:val="Corpodetexto"/>
      </w:pPr>
      <w:r>
        <w:t xml:space="preserve">This is the most parsimonious explanation available for how the imposed thresholds were obtained: local populations of ~4,000 individuals near each facility, combined with the paper’s </w:t>
      </w:r>
      <m:oMath>
        <m:sSub>
          <m:sSubPr>
            <m:ctrlPr>
              <w:rPr>
                <w:rFonts w:ascii="Cambria Math" w:hAnsi="Cambria Math"/>
              </w:rPr>
            </m:ctrlPr>
          </m:sSubPr>
          <m:e>
            <m:r>
              <w:rPr>
                <w:rFonts w:ascii="Cambria Math" w:hAnsi="Cambria Math"/>
              </w:rPr>
              <m:t>λ</m:t>
            </m:r>
          </m:e>
          <m:sub>
            <m:r>
              <w:rPr>
                <w:rFonts w:ascii="Cambria Math" w:hAnsi="Cambria Math"/>
              </w:rPr>
              <m:t>max</m:t>
            </m:r>
          </m:sub>
        </m:sSub>
      </m:oMath>
      <w:r>
        <w:t xml:space="preserve"> benchmarks applied per facility. BSH &amp; DGY are approximately 100 km apart, so this is better read as two similarly sized local populations rather than a single population shared between them (see below).</w:t>
      </w:r>
    </w:p>
    <w:p w14:paraId="6FDF20AF" w14:textId="77777777" w:rsidR="006A30C6" w:rsidRDefault="00000000">
      <w:pPr>
        <w:pStyle w:val="Corpodetexto"/>
      </w:pPr>
      <w:r>
        <w:t>Whether ~4,000 individuals is a plausible local population can be assessed against the real, known project geography, by asking what average bat density it would imply, rather than backing out a hypothetical area from a hypothetical density.</w:t>
      </w:r>
    </w:p>
    <w:p w14:paraId="5DF5CDF0" w14:textId="77777777" w:rsidR="006A30C6" w:rsidRDefault="00000000">
      <w:r>
        <w:t>Density that Nmin = 4,000 would imply, under the two real area readings, holding the density ratio fixed at the default proxy’s (5.5-18.2 bats/km</w:t>
      </w:r>
      <w:r w:rsidRPr="000F0499">
        <w:rPr>
          <w:vertAlign w:val="superscript"/>
        </w:rPr>
        <w:t>2</w:t>
      </w:r>
      <w:r>
        <w:t>).</w:t>
      </w:r>
    </w:p>
    <w:tbl>
      <w:tblPr>
        <w:tblStyle w:val="Tabelacomgrade1"/>
        <w:tblW w:w="4981" w:type="pct"/>
        <w:tblLayout w:type="fixed"/>
        <w:tblLook w:val="0020" w:firstRow="1" w:lastRow="0" w:firstColumn="0" w:lastColumn="0" w:noHBand="0" w:noVBand="0"/>
        <w:tblCaption w:val="Density that Nmin = 4,000 would imply, under the two real area readings, holding the density ratio fixed at the default proxy’s (5.5-18.2 bats/km2)."/>
      </w:tblPr>
      <w:tblGrid>
        <w:gridCol w:w="2831"/>
        <w:gridCol w:w="1276"/>
        <w:gridCol w:w="2421"/>
        <w:gridCol w:w="2499"/>
      </w:tblGrid>
      <w:tr w:rsidR="006A30C6" w14:paraId="49AD2255" w14:textId="77777777" w:rsidTr="00955D96">
        <w:tc>
          <w:tcPr>
            <w:tcW w:w="2830" w:type="dxa"/>
          </w:tcPr>
          <w:p w14:paraId="39EA4D79" w14:textId="77777777" w:rsidR="006A30C6" w:rsidRDefault="00000000" w:rsidP="00955D96">
            <w:pPr>
              <w:pStyle w:val="BETabelaFonteMAIOR"/>
            </w:pPr>
            <w:r>
              <w:t>Area scenario</w:t>
            </w:r>
          </w:p>
        </w:tc>
        <w:tc>
          <w:tcPr>
            <w:tcW w:w="1276" w:type="dxa"/>
          </w:tcPr>
          <w:p w14:paraId="6CAAFA43" w14:textId="77777777" w:rsidR="006A30C6" w:rsidRDefault="00000000" w:rsidP="00955D96">
            <w:pPr>
              <w:pStyle w:val="BETabelaFonteMAIOR"/>
            </w:pPr>
            <w:r>
              <w:t>Area (km</w:t>
            </w:r>
            <w:r w:rsidRPr="00955D96">
              <w:rPr>
                <w:vertAlign w:val="superscript"/>
              </w:rPr>
              <w:t>2</w:t>
            </w:r>
            <w:r>
              <w:t>)</w:t>
            </w:r>
          </w:p>
        </w:tc>
        <w:tc>
          <w:tcPr>
            <w:tcW w:w="2421" w:type="dxa"/>
          </w:tcPr>
          <w:p w14:paraId="764FDE56" w14:textId="77777777" w:rsidR="006A30C6" w:rsidRDefault="00000000" w:rsidP="00955D96">
            <w:pPr>
              <w:pStyle w:val="BETabelaFonteMAIOR"/>
            </w:pPr>
            <w:r>
              <w:t>Implied density low (bats/km</w:t>
            </w:r>
            <w:r w:rsidRPr="00955D96">
              <w:rPr>
                <w:vertAlign w:val="superscript"/>
              </w:rPr>
              <w:t>2</w:t>
            </w:r>
            <w:r>
              <w:t>)</w:t>
            </w:r>
          </w:p>
        </w:tc>
        <w:tc>
          <w:tcPr>
            <w:tcW w:w="2499" w:type="dxa"/>
          </w:tcPr>
          <w:p w14:paraId="71118F23" w14:textId="77777777" w:rsidR="006A30C6" w:rsidRDefault="00000000" w:rsidP="00955D96">
            <w:pPr>
              <w:pStyle w:val="BETabelaFonteMAIOR"/>
            </w:pPr>
            <w:r>
              <w:t>Implied density high (bats/km</w:t>
            </w:r>
            <w:r w:rsidRPr="00955D96">
              <w:rPr>
                <w:vertAlign w:val="superscript"/>
              </w:rPr>
              <w:t>2</w:t>
            </w:r>
            <w:r>
              <w:t>)</w:t>
            </w:r>
          </w:p>
        </w:tc>
      </w:tr>
      <w:tr w:rsidR="006A30C6" w14:paraId="0FA03A65" w14:textId="77777777" w:rsidTr="00955D96">
        <w:tc>
          <w:tcPr>
            <w:tcW w:w="2830" w:type="dxa"/>
          </w:tcPr>
          <w:p w14:paraId="120AF105" w14:textId="77777777" w:rsidR="006A30C6" w:rsidRDefault="00000000" w:rsidP="00955D96">
            <w:pPr>
              <w:pStyle w:val="BETabelaFonteMAIOR"/>
            </w:pPr>
            <w:r>
              <w:t>Single project footprint (370 km2)</w:t>
            </w:r>
          </w:p>
        </w:tc>
        <w:tc>
          <w:tcPr>
            <w:tcW w:w="1276" w:type="dxa"/>
          </w:tcPr>
          <w:p w14:paraId="48CD1400" w14:textId="77777777" w:rsidR="006A30C6" w:rsidRDefault="00000000" w:rsidP="00955D96">
            <w:pPr>
              <w:pStyle w:val="BETabelaFonteMAIOR"/>
            </w:pPr>
            <w:r>
              <w:t>370</w:t>
            </w:r>
          </w:p>
        </w:tc>
        <w:tc>
          <w:tcPr>
            <w:tcW w:w="2421" w:type="dxa"/>
          </w:tcPr>
          <w:p w14:paraId="7E850CE7" w14:textId="77777777" w:rsidR="006A30C6" w:rsidRDefault="00000000" w:rsidP="00955D96">
            <w:pPr>
              <w:pStyle w:val="BETabelaFonteMAIOR"/>
            </w:pPr>
            <w:r>
              <w:t>5.88</w:t>
            </w:r>
          </w:p>
        </w:tc>
        <w:tc>
          <w:tcPr>
            <w:tcW w:w="2499" w:type="dxa"/>
          </w:tcPr>
          <w:p w14:paraId="514CF001" w14:textId="77777777" w:rsidR="006A30C6" w:rsidRDefault="00000000" w:rsidP="00955D96">
            <w:pPr>
              <w:pStyle w:val="BETabelaFonteMAIOR"/>
            </w:pPr>
            <w:r>
              <w:t>19.46</w:t>
            </w:r>
          </w:p>
        </w:tc>
      </w:tr>
      <w:tr w:rsidR="006A30C6" w14:paraId="65BA506B" w14:textId="77777777" w:rsidTr="00955D96">
        <w:tc>
          <w:tcPr>
            <w:tcW w:w="2830" w:type="dxa"/>
          </w:tcPr>
          <w:p w14:paraId="10ECFAFA" w14:textId="77777777" w:rsidR="006A30C6" w:rsidRDefault="00000000" w:rsidP="00955D96">
            <w:pPr>
              <w:pStyle w:val="BETabelaFonteMAIOR"/>
            </w:pPr>
            <w:r>
              <w:t>Combined region, both projects (7000 km2)</w:t>
            </w:r>
          </w:p>
        </w:tc>
        <w:tc>
          <w:tcPr>
            <w:tcW w:w="1276" w:type="dxa"/>
          </w:tcPr>
          <w:p w14:paraId="6E650AD4" w14:textId="77777777" w:rsidR="006A30C6" w:rsidRDefault="00000000" w:rsidP="00955D96">
            <w:pPr>
              <w:pStyle w:val="BETabelaFonteMAIOR"/>
            </w:pPr>
            <w:r>
              <w:t>7000</w:t>
            </w:r>
          </w:p>
        </w:tc>
        <w:tc>
          <w:tcPr>
            <w:tcW w:w="2421" w:type="dxa"/>
          </w:tcPr>
          <w:p w14:paraId="355D6831" w14:textId="77777777" w:rsidR="006A30C6" w:rsidRDefault="00000000" w:rsidP="00955D96">
            <w:pPr>
              <w:pStyle w:val="BETabelaFonteMAIOR"/>
            </w:pPr>
            <w:r>
              <w:t>0.31</w:t>
            </w:r>
          </w:p>
        </w:tc>
        <w:tc>
          <w:tcPr>
            <w:tcW w:w="2499" w:type="dxa"/>
          </w:tcPr>
          <w:p w14:paraId="5B72FF55" w14:textId="77777777" w:rsidR="006A30C6" w:rsidRDefault="00000000" w:rsidP="00955D96">
            <w:pPr>
              <w:pStyle w:val="BETabelaFonteMAIOR"/>
            </w:pPr>
            <w:r>
              <w:t>1.03</w:t>
            </w:r>
          </w:p>
        </w:tc>
      </w:tr>
    </w:tbl>
    <w:p w14:paraId="177A0F81" w14:textId="77777777" w:rsidR="000F0499" w:rsidRDefault="000F0499">
      <w:pPr>
        <w:pStyle w:val="Corpodetexto"/>
      </w:pPr>
    </w:p>
    <w:p w14:paraId="37AC1255" w14:textId="2FD4F2F9" w:rsidR="006A30C6" w:rsidRDefault="00000000">
      <w:pPr>
        <w:pStyle w:val="Corpodetexto"/>
      </w:pPr>
      <w:r>
        <w:t>The single-project-footprint reading (370 km</w:t>
      </w:r>
      <m:oMath>
        <m:sSup>
          <m:sSupPr>
            <m:ctrlPr>
              <w:rPr>
                <w:rFonts w:ascii="Cambria Math" w:hAnsi="Cambria Math"/>
              </w:rPr>
            </m:ctrlPr>
          </m:sSupPr>
          <m:e>
            <m:r>
              <w:rPr>
                <w:rFonts w:ascii="Cambria Math" w:hAnsi="Cambria Math"/>
              </w:rPr>
              <m:t>​</m:t>
            </m:r>
          </m:e>
          <m:sup>
            <m:r>
              <w:rPr>
                <w:rFonts w:ascii="Cambria Math" w:hAnsi="Cambria Math"/>
              </w:rPr>
              <m:t>2</m:t>
            </m:r>
          </m:sup>
        </m:sSup>
      </m:oMath>
      <w:r>
        <w:t>) implies a density of 5.9-19.5 bats/km</w:t>
      </w:r>
      <m:oMath>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 closely matching the paper’s own default density proxy (5.5-18.2 bats/km</w:t>
      </w:r>
      <m:oMath>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based on </w:t>
      </w:r>
      <w:r>
        <w:rPr>
          <w:i/>
          <w:iCs/>
        </w:rPr>
        <w:t>Pipistrellus pipistrellus</w:t>
      </w:r>
      <w:r>
        <w:t xml:space="preserve">, used in the absence of species-specific density data) for a common bat species. Treating </w:t>
      </w:r>
      <m:oMath>
        <m:sSub>
          <m:sSubPr>
            <m:ctrlPr>
              <w:rPr>
                <w:rFonts w:ascii="Cambria Math" w:hAnsi="Cambria Math"/>
              </w:rPr>
            </m:ctrlPr>
          </m:sSubPr>
          <m:e>
            <m:r>
              <w:rPr>
                <w:rFonts w:ascii="Cambria Math" w:hAnsi="Cambria Math"/>
              </w:rPr>
              <m:t>N</m:t>
            </m:r>
          </m:e>
          <m:sub>
            <m:r>
              <w:rPr>
                <w:rFonts w:ascii="Cambria Math" w:hAnsi="Cambria Math"/>
              </w:rPr>
              <m:t>min</m:t>
            </m:r>
          </m:sub>
        </m:sSub>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000</m:t>
        </m:r>
      </m:oMath>
      <w:r>
        <w:t xml:space="preserve"> as the local population near each facility individually, rather than shared across both, is therefore consistent with typical bat density and with Frick et al.’s own project-scale definition of local population.</w:t>
      </w:r>
    </w:p>
    <w:p w14:paraId="5F480B36" w14:textId="77777777" w:rsidR="006A30C6" w:rsidRDefault="00000000">
      <w:pPr>
        <w:pStyle w:val="Corpodetexto"/>
      </w:pPr>
      <w:r>
        <w:t xml:space="preserve">By contrast, treating </w:t>
      </w:r>
      <m:oMath>
        <m:sSub>
          <m:sSubPr>
            <m:ctrlPr>
              <w:rPr>
                <w:rFonts w:ascii="Cambria Math" w:hAnsi="Cambria Math"/>
              </w:rPr>
            </m:ctrlPr>
          </m:sSubPr>
          <m:e>
            <m:r>
              <w:rPr>
                <w:rFonts w:ascii="Cambria Math" w:hAnsi="Cambria Math"/>
              </w:rPr>
              <m:t>N</m:t>
            </m:r>
          </m:e>
          <m:sub>
            <m:r>
              <w:rPr>
                <w:rFonts w:ascii="Cambria Math" w:hAnsi="Cambria Math"/>
              </w:rPr>
              <m:t>min</m:t>
            </m:r>
          </m:sub>
        </m:sSub>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000</m:t>
        </m:r>
      </m:oMath>
      <w:r>
        <w:t xml:space="preserve"> as a single population spread across the combined region spanning both projects (7000 km</w:t>
      </w:r>
      <m:oMath>
        <m:sSup>
          <m:sSupPr>
            <m:ctrlPr>
              <w:rPr>
                <w:rFonts w:ascii="Cambria Math" w:hAnsi="Cambria Math"/>
              </w:rPr>
            </m:ctrlPr>
          </m:sSupPr>
          <m:e>
            <m:r>
              <w:rPr>
                <w:rFonts w:ascii="Cambria Math" w:hAnsi="Cambria Math"/>
              </w:rPr>
              <m:t>​</m:t>
            </m:r>
          </m:e>
          <m:sup>
            <m:r>
              <w:rPr>
                <w:rFonts w:ascii="Cambria Math" w:hAnsi="Cambria Math"/>
              </w:rPr>
              <m:t>2</m:t>
            </m:r>
          </m:sup>
        </m:sSup>
      </m:oMath>
      <w:r>
        <w:t>) implies a density of only 0.31-1.03 bats/km</w:t>
      </w:r>
      <m:oMath>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 roughly an </w:t>
      </w:r>
      <w:r>
        <w:lastRenderedPageBreak/>
        <w:t>order of magnitude below the default proxy, an assumption that would need independent supporting evidence (e.g. that regional density for Parti-coloured bat here is genuinely that sparse) before being considered reasonable.</w:t>
      </w:r>
    </w:p>
    <w:p w14:paraId="69E309A1" w14:textId="77777777" w:rsidR="006A30C6" w:rsidRDefault="00000000">
      <w:pPr>
        <w:pStyle w:val="Corpodetexto"/>
      </w:pPr>
      <w:r>
        <w:t xml:space="preserve">The project-footprint reading is therefore both the more defensible order of magnitude and the one that matches Frick et al.’s own project-scale local-population concept. The working assumption throughout the rest of this note is accordingly that </w:t>
      </w:r>
      <m:oMath>
        <m:sSub>
          <m:sSubPr>
            <m:ctrlPr>
              <w:rPr>
                <w:rFonts w:ascii="Cambria Math" w:hAnsi="Cambria Math"/>
              </w:rPr>
            </m:ctrlPr>
          </m:sSubPr>
          <m:e>
            <m:r>
              <w:rPr>
                <w:rFonts w:ascii="Cambria Math" w:hAnsi="Cambria Math"/>
              </w:rPr>
              <m:t>N</m:t>
            </m:r>
          </m:e>
          <m:sub>
            <m:r>
              <w:rPr>
                <w:rFonts w:ascii="Cambria Math" w:hAnsi="Cambria Math"/>
              </w:rPr>
              <m:t>min</m:t>
            </m:r>
          </m:sub>
        </m:sSub>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000</m:t>
        </m:r>
      </m:oMath>
      <w:r>
        <w:t xml:space="preserve"> applies to each facility’s own local population, not to a single population shared across the 100 km separating BSH and DGY.</w:t>
      </w:r>
    </w:p>
    <w:p w14:paraId="45F55EB9" w14:textId="77777777" w:rsidR="006A30C6" w:rsidRDefault="00000000">
      <w:pPr>
        <w:pStyle w:val="Corpodetexto"/>
      </w:pPr>
      <m:oMath>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0.3</m:t>
        </m:r>
      </m:oMath>
      <w:r>
        <w:t xml:space="preserve"> corresponds to a Near Threatened status. The Parti-coloured bat is not a threatened category, so the defensible recovery factor is </w:t>
      </w:r>
      <m:oMath>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0.5</m:t>
        </m:r>
      </m:oMath>
      <w:r>
        <w:t xml:space="preserve"> (Least Concern). Holding </w:t>
      </w:r>
      <m:oMath>
        <m:sSub>
          <m:sSubPr>
            <m:ctrlPr>
              <w:rPr>
                <w:rFonts w:ascii="Cambria Math" w:hAnsi="Cambria Math"/>
              </w:rPr>
            </m:ctrlPr>
          </m:sSubPr>
          <m:e>
            <m:r>
              <w:rPr>
                <w:rFonts w:ascii="Cambria Math" w:hAnsi="Cambria Math"/>
              </w:rPr>
              <m:t>N</m:t>
            </m:r>
          </m:e>
          <m:sub>
            <m:r>
              <w:rPr>
                <w:rFonts w:ascii="Cambria Math" w:hAnsi="Cambria Math"/>
              </w:rPr>
              <m:t>min</m:t>
            </m:r>
          </m:sub>
        </m:sSub>
      </m:oMath>
      <w:r>
        <w:t xml:space="preserve"> at 4,000 and correcting only </w:t>
      </w:r>
      <m:oMath>
        <m:sSub>
          <m:sSubPr>
            <m:ctrlPr>
              <w:rPr>
                <w:rFonts w:ascii="Cambria Math" w:hAnsi="Cambria Math"/>
              </w:rPr>
            </m:ctrlPr>
          </m:sSubPr>
          <m:e>
            <m:r>
              <w:rPr>
                <w:rFonts w:ascii="Cambria Math" w:hAnsi="Cambria Math"/>
              </w:rPr>
              <m:t>F</m:t>
            </m:r>
          </m:e>
          <m:sub>
            <m:r>
              <w:rPr>
                <w:rFonts w:ascii="Cambria Math" w:hAnsi="Cambria Math"/>
              </w:rPr>
              <m:t>r</m:t>
            </m:r>
          </m:sub>
        </m:sSub>
      </m:oMath>
      <w:r>
        <w:t>:</w:t>
      </w:r>
    </w:p>
    <w:p w14:paraId="713FB4FF" w14:textId="77777777" w:rsidR="006A30C6" w:rsidRDefault="00000000">
      <w:r>
        <w:t>PBR at Nmin = 4,000, Fr = 0.5.</w:t>
      </w:r>
    </w:p>
    <w:tbl>
      <w:tblPr>
        <w:tblStyle w:val="Tabelacomgrade1"/>
        <w:tblW w:w="0" w:type="auto"/>
        <w:tblLook w:val="0020" w:firstRow="1" w:lastRow="0" w:firstColumn="0" w:lastColumn="0" w:noHBand="0" w:noVBand="0"/>
        <w:tblCaption w:val="PBR at Nmin = 4,000, Fr = 0.5."/>
      </w:tblPr>
      <w:tblGrid>
        <w:gridCol w:w="1861"/>
        <w:gridCol w:w="1393"/>
      </w:tblGrid>
      <w:tr w:rsidR="006A30C6" w14:paraId="37C84DE3" w14:textId="77777777" w:rsidTr="00955D96">
        <w:tc>
          <w:tcPr>
            <w:tcW w:w="0" w:type="auto"/>
          </w:tcPr>
          <w:p w14:paraId="340F9A04" w14:textId="77777777" w:rsidR="006A30C6" w:rsidRDefault="00000000" w:rsidP="00955D96">
            <w:pPr>
              <w:pStyle w:val="BETabelaFonteMAIOR"/>
            </w:pPr>
            <w:r>
              <w:t>Fixed lambda_max</w:t>
            </w:r>
          </w:p>
        </w:tc>
        <w:tc>
          <w:tcPr>
            <w:tcW w:w="0" w:type="auto"/>
          </w:tcPr>
          <w:p w14:paraId="55945D33" w14:textId="77777777" w:rsidR="006A30C6" w:rsidRDefault="00000000" w:rsidP="00955D96">
            <w:pPr>
              <w:pStyle w:val="BETabelaFonteMAIOR"/>
            </w:pPr>
            <w:r>
              <w:t>PBR (bats/yr)</w:t>
            </w:r>
          </w:p>
        </w:tc>
      </w:tr>
      <w:tr w:rsidR="006A30C6" w14:paraId="3E415214" w14:textId="77777777" w:rsidTr="00955D96">
        <w:tc>
          <w:tcPr>
            <w:tcW w:w="0" w:type="auto"/>
          </w:tcPr>
          <w:p w14:paraId="1A60C792" w14:textId="77777777" w:rsidR="006A30C6" w:rsidRDefault="00000000" w:rsidP="00955D96">
            <w:pPr>
              <w:pStyle w:val="BETabelaFonteMAIOR"/>
            </w:pPr>
            <w:r>
              <w:t>1.24</w:t>
            </w:r>
          </w:p>
        </w:tc>
        <w:tc>
          <w:tcPr>
            <w:tcW w:w="0" w:type="auto"/>
          </w:tcPr>
          <w:p w14:paraId="0DD4F82B" w14:textId="77777777" w:rsidR="006A30C6" w:rsidRDefault="00000000" w:rsidP="00955D96">
            <w:pPr>
              <w:pStyle w:val="BETabelaFonteMAIOR"/>
            </w:pPr>
            <w:r>
              <w:t>240</w:t>
            </w:r>
          </w:p>
        </w:tc>
      </w:tr>
      <w:tr w:rsidR="006A30C6" w14:paraId="2841ADF1" w14:textId="77777777" w:rsidTr="00955D96">
        <w:tc>
          <w:tcPr>
            <w:tcW w:w="0" w:type="auto"/>
          </w:tcPr>
          <w:p w14:paraId="6AF6958A" w14:textId="77777777" w:rsidR="006A30C6" w:rsidRDefault="00000000" w:rsidP="00955D96">
            <w:pPr>
              <w:pStyle w:val="BETabelaFonteMAIOR"/>
            </w:pPr>
            <w:r>
              <w:t>1.20</w:t>
            </w:r>
          </w:p>
        </w:tc>
        <w:tc>
          <w:tcPr>
            <w:tcW w:w="0" w:type="auto"/>
          </w:tcPr>
          <w:p w14:paraId="10D3CBE4" w14:textId="77777777" w:rsidR="006A30C6" w:rsidRDefault="00000000" w:rsidP="00955D96">
            <w:pPr>
              <w:pStyle w:val="BETabelaFonteMAIOR"/>
            </w:pPr>
            <w:r>
              <w:t>200</w:t>
            </w:r>
          </w:p>
        </w:tc>
      </w:tr>
    </w:tbl>
    <w:p w14:paraId="7ABAAE4B" w14:textId="77777777" w:rsidR="006A30C6" w:rsidRDefault="00000000">
      <w:pPr>
        <w:pStyle w:val="Corpodetexto"/>
      </w:pPr>
      <w:r>
        <w:t xml:space="preserve">The recovery-factor correction alone shifts PBR upward at every fixed </w:t>
      </w:r>
      <m:oMath>
        <m:sSub>
          <m:sSubPr>
            <m:ctrlPr>
              <w:rPr>
                <w:rFonts w:ascii="Cambria Math" w:hAnsi="Cambria Math"/>
              </w:rPr>
            </m:ctrlPr>
          </m:sSubPr>
          <m:e>
            <m:r>
              <w:rPr>
                <w:rFonts w:ascii="Cambria Math" w:hAnsi="Cambria Math"/>
              </w:rPr>
              <m:t>λ</m:t>
            </m:r>
          </m:e>
          <m:sub>
            <m:r>
              <w:rPr>
                <w:rFonts w:ascii="Cambria Math" w:hAnsi="Cambria Math"/>
              </w:rPr>
              <m:t>max</m:t>
            </m:r>
          </m:sub>
        </m:sSub>
      </m:oMath>
      <w:r>
        <w:t xml:space="preserve"> benchmark, before any change to </w:t>
      </w:r>
      <m:oMath>
        <m:sSub>
          <m:sSubPr>
            <m:ctrlPr>
              <w:rPr>
                <w:rFonts w:ascii="Cambria Math" w:hAnsi="Cambria Math"/>
              </w:rPr>
            </m:ctrlPr>
          </m:sSubPr>
          <m:e>
            <m:r>
              <w:rPr>
                <w:rFonts w:ascii="Cambria Math" w:hAnsi="Cambria Math"/>
              </w:rPr>
              <m:t>λ</m:t>
            </m:r>
          </m:e>
          <m:sub>
            <m:r>
              <w:rPr>
                <w:rFonts w:ascii="Cambria Math" w:hAnsi="Cambria Math"/>
              </w:rPr>
              <m:t>max</m:t>
            </m:r>
          </m:sub>
        </m:sSub>
      </m:oMath>
      <w:r>
        <w:t xml:space="preserve"> itself is considered.</w:t>
      </w:r>
    </w:p>
    <w:p w14:paraId="66BD78D7" w14:textId="77777777" w:rsidR="006A30C6" w:rsidRDefault="00000000">
      <w:pPr>
        <w:pStyle w:val="Ttulo2"/>
      </w:pPr>
      <w:bookmarkStart w:id="12" w:name="pbr-response-surfaces"/>
      <w:bookmarkStart w:id="13" w:name="_Toc240385947"/>
      <w:bookmarkEnd w:id="10"/>
      <w:r>
        <w:t>PBR response surfaces</w:t>
      </w:r>
      <w:bookmarkEnd w:id="13"/>
    </w:p>
    <w:p w14:paraId="0DD1CB37" w14:textId="77777777" w:rsidR="006A30C6" w:rsidRDefault="00000000">
      <w:r>
        <w:rPr>
          <w:noProof/>
        </w:rPr>
        <w:drawing>
          <wp:inline distT="0" distB="0" distL="0" distR="0" wp14:anchorId="25E6669E" wp14:editId="12FB6F40">
            <wp:extent cx="5753100" cy="2071116"/>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C:/Users/pcardoso/R/pbr_frick/outputs/figures/response_surfaces.png"/>
                    <pic:cNvPicPr>
                      <a:picLocks noChangeAspect="1" noChangeArrowheads="1"/>
                    </pic:cNvPicPr>
                  </pic:nvPicPr>
                  <pic:blipFill>
                    <a:blip r:embed="rId10"/>
                    <a:stretch>
                      <a:fillRect/>
                    </a:stretch>
                  </pic:blipFill>
                  <pic:spPr bwMode="auto">
                    <a:xfrm>
                      <a:off x="0" y="0"/>
                      <a:ext cx="5753100" cy="2071116"/>
                    </a:xfrm>
                    <a:prstGeom prst="rect">
                      <a:avLst/>
                    </a:prstGeom>
                    <a:noFill/>
                    <a:ln w="9525">
                      <a:noFill/>
                      <a:headEnd/>
                      <a:tailEnd/>
                    </a:ln>
                  </pic:spPr>
                </pic:pic>
              </a:graphicData>
            </a:graphic>
          </wp:inline>
        </w:drawing>
      </w:r>
    </w:p>
    <w:p w14:paraId="446DC12A" w14:textId="77777777" w:rsidR="006A30C6" w:rsidRDefault="00000000">
      <w:pPr>
        <w:pStyle w:val="Corpodetexto"/>
      </w:pPr>
      <w:r>
        <w:t xml:space="preserve">Across the plausible demographic range, the imposed-threshold contours only appear for a narrow combination of relatively high adult survival and low age at first breeding – outside that narrow band, PBR departs from the imposed thresholds even before changing </w:t>
      </w:r>
      <m:oMath>
        <m:sSub>
          <m:sSubPr>
            <m:ctrlPr>
              <w:rPr>
                <w:rFonts w:ascii="Cambria Math" w:hAnsi="Cambria Math"/>
              </w:rPr>
            </m:ctrlPr>
          </m:sSubPr>
          <m:e>
            <m:r>
              <w:rPr>
                <w:rFonts w:ascii="Cambria Math" w:hAnsi="Cambria Math"/>
              </w:rPr>
              <m:t>F</m:t>
            </m:r>
          </m:e>
          <m:sub>
            <m:r>
              <w:rPr>
                <w:rFonts w:ascii="Cambria Math" w:hAnsi="Cambria Math"/>
              </w:rPr>
              <m:t>r</m:t>
            </m:r>
          </m:sub>
        </m:sSub>
      </m:oMath>
      <w:r>
        <w:t>.</w:t>
      </w:r>
    </w:p>
    <w:p w14:paraId="41984D56" w14:textId="77777777" w:rsidR="006A30C6" w:rsidRDefault="00000000">
      <w:pPr>
        <w:pStyle w:val="Ttulo2"/>
      </w:pPr>
      <w:bookmarkStart w:id="14" w:name="monte-carlo-simulation-outputs"/>
      <w:bookmarkStart w:id="15" w:name="_Toc240385948"/>
      <w:bookmarkEnd w:id="12"/>
      <w:r>
        <w:t>Monte Carlo simulation outputs</w:t>
      </w:r>
      <w:bookmarkEnd w:id="15"/>
    </w:p>
    <w:p w14:paraId="0ADBB75C" w14:textId="77777777" w:rsidR="006A30C6" w:rsidRDefault="00000000">
      <w:r>
        <w:t xml:space="preserve">Uncertainty in adult survival and age at first breeding was propagated into </w:t>
      </w:r>
      <m:oMath>
        <m:sSub>
          <m:sSubPr>
            <m:ctrlPr>
              <w:rPr>
                <w:rFonts w:ascii="Cambria Math" w:hAnsi="Cambria Math"/>
              </w:rPr>
            </m:ctrlPr>
          </m:sSubPr>
          <m:e>
            <m:r>
              <w:rPr>
                <w:rFonts w:ascii="Cambria Math" w:hAnsi="Cambria Math"/>
              </w:rPr>
              <m:t>λ</m:t>
            </m:r>
          </m:e>
          <m:sub>
            <m:r>
              <w:rPr>
                <w:rFonts w:ascii="Cambria Math" w:hAnsi="Cambria Math"/>
              </w:rPr>
              <m:t>max</m:t>
            </m:r>
          </m:sub>
        </m:sSub>
      </m:oMath>
      <w:r>
        <w:t xml:space="preserve"> and PBR by simulation, holding </w:t>
      </w:r>
      <m:oMath>
        <m:sSub>
          <m:sSubPr>
            <m:ctrlPr>
              <w:rPr>
                <w:rFonts w:ascii="Cambria Math" w:hAnsi="Cambria Math"/>
              </w:rPr>
            </m:ctrlPr>
          </m:sSubPr>
          <m:e>
            <m:r>
              <w:rPr>
                <w:rFonts w:ascii="Cambria Math" w:hAnsi="Cambria Math"/>
              </w:rPr>
              <m:t>N</m:t>
            </m:r>
          </m:e>
          <m:sub>
            <m:r>
              <w:rPr>
                <w:rFonts w:ascii="Cambria Math" w:hAnsi="Cambria Math"/>
              </w:rPr>
              <m:t>min</m:t>
            </m:r>
          </m:sub>
        </m:sSub>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000</m:t>
        </m:r>
      </m:oMath>
      <w:r>
        <w:t xml:space="preserve"> and </w:t>
      </w:r>
      <m:oMath>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0.5</m:t>
        </m:r>
      </m:oMath>
      <w:r>
        <w:t xml:space="preserve"> fixed, with </w:t>
      </w:r>
      <m:oMath>
        <m:r>
          <w:rPr>
            <w:rFonts w:ascii="Cambria Math" w:hAnsi="Cambria Math"/>
          </w:rPr>
          <m:t>s</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0.7</m:t>
        </m:r>
        <m:r>
          <m:rPr>
            <m:sty m:val="p"/>
          </m:rPr>
          <w:rPr>
            <w:rFonts w:ascii="Cambria Math" w:hAnsi="Cambria Math"/>
          </w:rPr>
          <m:t>,</m:t>
        </m:r>
        <m:r>
          <w:rPr>
            <w:rFonts w:ascii="Cambria Math" w:hAnsi="Cambria Math"/>
          </w:rPr>
          <m:t>0.95</m:t>
        </m:r>
        <m:r>
          <m:rPr>
            <m:sty m:val="p"/>
          </m:rPr>
          <w:rPr>
            <w:rFonts w:ascii="Cambria Math" w:hAnsi="Cambria Math"/>
          </w:rPr>
          <m:t>)</m:t>
        </m:r>
      </m:oMath>
      <w:r>
        <w:t xml:space="preserve"> and </w:t>
      </w:r>
      <m:oMath>
        <m:r>
          <w:rPr>
            <w:rFonts w:ascii="Cambria Math" w:hAnsi="Cambria Math"/>
          </w:rPr>
          <m:t>α</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3.5</m:t>
        </m:r>
        <m:r>
          <m:rPr>
            <m:sty m:val="p"/>
          </m:rPr>
          <w:rPr>
            <w:rFonts w:ascii="Cambria Math" w:hAnsi="Cambria Math"/>
          </w:rPr>
          <m:t>)</m:t>
        </m:r>
      </m:oMath>
      <w:r>
        <w:t xml:space="preserve"> (20,000 draws).</w:t>
      </w:r>
    </w:p>
    <w:p w14:paraId="2A15F31B" w14:textId="77777777" w:rsidR="006A30C6" w:rsidRDefault="00000000">
      <w:r>
        <w:lastRenderedPageBreak/>
        <w:t>Simulated PBR distribution quantiles.</w:t>
      </w:r>
    </w:p>
    <w:tbl>
      <w:tblPr>
        <w:tblStyle w:val="Tabelacomgrade1"/>
        <w:tblW w:w="0" w:type="auto"/>
        <w:tblLook w:val="0020" w:firstRow="1" w:lastRow="0" w:firstColumn="0" w:lastColumn="0" w:noHBand="0" w:noVBand="0"/>
        <w:tblCaption w:val="Simulated PBR distribution quantiles."/>
      </w:tblPr>
      <w:tblGrid>
        <w:gridCol w:w="936"/>
        <w:gridCol w:w="1393"/>
      </w:tblGrid>
      <w:tr w:rsidR="006A30C6" w:rsidRPr="00955D96" w14:paraId="19C4B61E" w14:textId="77777777" w:rsidTr="00955D96">
        <w:tc>
          <w:tcPr>
            <w:tcW w:w="0" w:type="auto"/>
          </w:tcPr>
          <w:p w14:paraId="271C0C81" w14:textId="77777777" w:rsidR="006A30C6" w:rsidRPr="00955D96" w:rsidRDefault="00000000" w:rsidP="00955D96">
            <w:pPr>
              <w:pStyle w:val="BETabelaFonteMAIOR"/>
            </w:pPr>
            <w:r w:rsidRPr="00955D96">
              <w:t>Quantile</w:t>
            </w:r>
          </w:p>
        </w:tc>
        <w:tc>
          <w:tcPr>
            <w:tcW w:w="0" w:type="auto"/>
          </w:tcPr>
          <w:p w14:paraId="7A188574" w14:textId="77777777" w:rsidR="006A30C6" w:rsidRPr="00955D96" w:rsidRDefault="00000000" w:rsidP="00955D96">
            <w:pPr>
              <w:pStyle w:val="BETabelaFonteMAIOR"/>
            </w:pPr>
            <w:r w:rsidRPr="00955D96">
              <w:t>PBR (bats/yr)</w:t>
            </w:r>
          </w:p>
        </w:tc>
      </w:tr>
      <w:tr w:rsidR="006A30C6" w:rsidRPr="00955D96" w14:paraId="6EB113D2" w14:textId="77777777" w:rsidTr="00955D96">
        <w:tc>
          <w:tcPr>
            <w:tcW w:w="0" w:type="auto"/>
          </w:tcPr>
          <w:p w14:paraId="2A8B63DB" w14:textId="77777777" w:rsidR="006A30C6" w:rsidRPr="00955D96" w:rsidRDefault="00000000" w:rsidP="00955D96">
            <w:pPr>
              <w:pStyle w:val="BETabelaFonteMAIOR"/>
            </w:pPr>
            <w:r w:rsidRPr="00955D96">
              <w:t>5%</w:t>
            </w:r>
          </w:p>
        </w:tc>
        <w:tc>
          <w:tcPr>
            <w:tcW w:w="0" w:type="auto"/>
          </w:tcPr>
          <w:p w14:paraId="4082A2EC" w14:textId="77777777" w:rsidR="006A30C6" w:rsidRPr="00955D96" w:rsidRDefault="00000000" w:rsidP="00955D96">
            <w:pPr>
              <w:pStyle w:val="BETabelaFonteMAIOR"/>
            </w:pPr>
            <w:r w:rsidRPr="00955D96">
              <w:t>134.0</w:t>
            </w:r>
          </w:p>
        </w:tc>
      </w:tr>
      <w:tr w:rsidR="006A30C6" w:rsidRPr="00955D96" w14:paraId="1877D18F" w14:textId="77777777" w:rsidTr="00955D96">
        <w:tc>
          <w:tcPr>
            <w:tcW w:w="0" w:type="auto"/>
          </w:tcPr>
          <w:p w14:paraId="1A524232" w14:textId="77777777" w:rsidR="006A30C6" w:rsidRPr="00955D96" w:rsidRDefault="00000000" w:rsidP="00955D96">
            <w:pPr>
              <w:pStyle w:val="BETabelaFonteMAIOR"/>
            </w:pPr>
            <w:r w:rsidRPr="00955D96">
              <w:t>25%</w:t>
            </w:r>
          </w:p>
        </w:tc>
        <w:tc>
          <w:tcPr>
            <w:tcW w:w="0" w:type="auto"/>
          </w:tcPr>
          <w:p w14:paraId="60C24903" w14:textId="77777777" w:rsidR="006A30C6" w:rsidRPr="00955D96" w:rsidRDefault="00000000" w:rsidP="00955D96">
            <w:pPr>
              <w:pStyle w:val="BETabelaFonteMAIOR"/>
            </w:pPr>
            <w:r w:rsidRPr="00955D96">
              <w:t>177.0</w:t>
            </w:r>
          </w:p>
        </w:tc>
      </w:tr>
      <w:tr w:rsidR="006A30C6" w:rsidRPr="00955D96" w14:paraId="0B32B43D" w14:textId="77777777" w:rsidTr="00955D96">
        <w:tc>
          <w:tcPr>
            <w:tcW w:w="0" w:type="auto"/>
          </w:tcPr>
          <w:p w14:paraId="47AF09C7" w14:textId="77777777" w:rsidR="006A30C6" w:rsidRPr="00955D96" w:rsidRDefault="00000000" w:rsidP="00955D96">
            <w:pPr>
              <w:pStyle w:val="BETabelaFonteMAIOR"/>
            </w:pPr>
            <w:r w:rsidRPr="00955D96">
              <w:t>50%</w:t>
            </w:r>
          </w:p>
        </w:tc>
        <w:tc>
          <w:tcPr>
            <w:tcW w:w="0" w:type="auto"/>
          </w:tcPr>
          <w:p w14:paraId="2117054A" w14:textId="77777777" w:rsidR="006A30C6" w:rsidRPr="00955D96" w:rsidRDefault="00000000" w:rsidP="00955D96">
            <w:pPr>
              <w:pStyle w:val="BETabelaFonteMAIOR"/>
            </w:pPr>
            <w:r w:rsidRPr="00955D96">
              <w:t>211.3</w:t>
            </w:r>
          </w:p>
        </w:tc>
      </w:tr>
      <w:tr w:rsidR="006A30C6" w:rsidRPr="00955D96" w14:paraId="3B5627B7" w14:textId="77777777" w:rsidTr="00955D96">
        <w:tc>
          <w:tcPr>
            <w:tcW w:w="0" w:type="auto"/>
          </w:tcPr>
          <w:p w14:paraId="33393F29" w14:textId="77777777" w:rsidR="006A30C6" w:rsidRPr="00955D96" w:rsidRDefault="00000000" w:rsidP="00955D96">
            <w:pPr>
              <w:pStyle w:val="BETabelaFonteMAIOR"/>
            </w:pPr>
            <w:r w:rsidRPr="00955D96">
              <w:t>75%</w:t>
            </w:r>
          </w:p>
        </w:tc>
        <w:tc>
          <w:tcPr>
            <w:tcW w:w="0" w:type="auto"/>
          </w:tcPr>
          <w:p w14:paraId="3638C7CF" w14:textId="77777777" w:rsidR="006A30C6" w:rsidRPr="00955D96" w:rsidRDefault="00000000" w:rsidP="00955D96">
            <w:pPr>
              <w:pStyle w:val="BETabelaFonteMAIOR"/>
            </w:pPr>
            <w:r w:rsidRPr="00955D96">
              <w:t>255.0</w:t>
            </w:r>
          </w:p>
        </w:tc>
      </w:tr>
      <w:tr w:rsidR="006A30C6" w:rsidRPr="00955D96" w14:paraId="07B427AA" w14:textId="77777777" w:rsidTr="00955D96">
        <w:tc>
          <w:tcPr>
            <w:tcW w:w="0" w:type="auto"/>
          </w:tcPr>
          <w:p w14:paraId="733E7750" w14:textId="77777777" w:rsidR="006A30C6" w:rsidRPr="00955D96" w:rsidRDefault="00000000" w:rsidP="00955D96">
            <w:pPr>
              <w:pStyle w:val="BETabelaFonteMAIOR"/>
            </w:pPr>
            <w:r w:rsidRPr="00955D96">
              <w:t>95%</w:t>
            </w:r>
          </w:p>
        </w:tc>
        <w:tc>
          <w:tcPr>
            <w:tcW w:w="0" w:type="auto"/>
          </w:tcPr>
          <w:p w14:paraId="3E741E1E" w14:textId="77777777" w:rsidR="006A30C6" w:rsidRPr="00955D96" w:rsidRDefault="00000000" w:rsidP="00955D96">
            <w:pPr>
              <w:pStyle w:val="BETabelaFonteMAIOR"/>
            </w:pPr>
            <w:r w:rsidRPr="00955D96">
              <w:t>327.3</w:t>
            </w:r>
          </w:p>
        </w:tc>
      </w:tr>
    </w:tbl>
    <w:p w14:paraId="2562522B" w14:textId="77777777" w:rsidR="006A30C6" w:rsidRDefault="006A30C6"/>
    <w:p w14:paraId="47F6F1F2" w14:textId="77777777" w:rsidR="006A30C6" w:rsidRDefault="00000000">
      <w:r>
        <w:t>Where the imposed thresholds fall within the simulated PBR distribution.</w:t>
      </w:r>
    </w:p>
    <w:tbl>
      <w:tblPr>
        <w:tblStyle w:val="Tabelacomgrade1"/>
        <w:tblW w:w="5000" w:type="pct"/>
        <w:tblLayout w:type="fixed"/>
        <w:tblLook w:val="0020" w:firstRow="1" w:lastRow="0" w:firstColumn="0" w:lastColumn="0" w:noHBand="0" w:noVBand="0"/>
        <w:tblCaption w:val="Where the imposed thresholds fall within the simulated PBR distribution."/>
      </w:tblPr>
      <w:tblGrid>
        <w:gridCol w:w="959"/>
        <w:gridCol w:w="2132"/>
        <w:gridCol w:w="3518"/>
        <w:gridCol w:w="1386"/>
        <w:gridCol w:w="1066"/>
      </w:tblGrid>
      <w:tr w:rsidR="006A30C6" w14:paraId="3E46378F" w14:textId="77777777" w:rsidTr="00955D96">
        <w:tc>
          <w:tcPr>
            <w:tcW w:w="838" w:type="dxa"/>
          </w:tcPr>
          <w:p w14:paraId="67AC9ED6" w14:textId="77777777" w:rsidR="006A30C6" w:rsidRDefault="00000000" w:rsidP="00955D96">
            <w:pPr>
              <w:pStyle w:val="BETabelaFonteMAIOR"/>
            </w:pPr>
            <w:r>
              <w:t>Facility</w:t>
            </w:r>
          </w:p>
        </w:tc>
        <w:tc>
          <w:tcPr>
            <w:tcW w:w="1863" w:type="dxa"/>
          </w:tcPr>
          <w:p w14:paraId="64567459" w14:textId="77777777" w:rsidR="006A30C6" w:rsidRDefault="00000000" w:rsidP="00955D96">
            <w:pPr>
              <w:pStyle w:val="BETabelaFonteMAIOR"/>
            </w:pPr>
            <w:r>
              <w:t>Threshold (bats/yr)</w:t>
            </w:r>
          </w:p>
        </w:tc>
        <w:tc>
          <w:tcPr>
            <w:tcW w:w="3074" w:type="dxa"/>
          </w:tcPr>
          <w:p w14:paraId="63BA56CB" w14:textId="77777777" w:rsidR="006A30C6" w:rsidRDefault="00000000" w:rsidP="00955D96">
            <w:pPr>
              <w:pStyle w:val="BETabelaFonteMAIOR"/>
            </w:pPr>
            <w:r>
              <w:t>Percentile rank in simulated PBR</w:t>
            </w:r>
          </w:p>
        </w:tc>
        <w:tc>
          <w:tcPr>
            <w:tcW w:w="1211" w:type="dxa"/>
          </w:tcPr>
          <w:p w14:paraId="7EA08920" w14:textId="77777777" w:rsidR="006A30C6" w:rsidRDefault="00000000" w:rsidP="00955D96">
            <w:pPr>
              <w:pStyle w:val="BETabelaFonteMAIOR"/>
            </w:pPr>
            <w:r>
              <w:t>Median ratio</w:t>
            </w:r>
          </w:p>
        </w:tc>
        <w:tc>
          <w:tcPr>
            <w:tcW w:w="931" w:type="dxa"/>
          </w:tcPr>
          <w:p w14:paraId="6FB99997" w14:textId="77777777" w:rsidR="006A30C6" w:rsidRDefault="00000000" w:rsidP="00955D96">
            <w:pPr>
              <w:pStyle w:val="BETabelaFonteMAIOR"/>
            </w:pPr>
            <w:r>
              <w:t>P95 ratio</w:t>
            </w:r>
          </w:p>
        </w:tc>
      </w:tr>
      <w:tr w:rsidR="006A30C6" w14:paraId="3C6AC5C8" w14:textId="77777777" w:rsidTr="00955D96">
        <w:tc>
          <w:tcPr>
            <w:tcW w:w="838" w:type="dxa"/>
          </w:tcPr>
          <w:p w14:paraId="26CE2C9D" w14:textId="77777777" w:rsidR="006A30C6" w:rsidRDefault="00000000" w:rsidP="00955D96">
            <w:pPr>
              <w:pStyle w:val="BETabelaFonteMAIOR"/>
            </w:pPr>
            <w:r>
              <w:t>BSH</w:t>
            </w:r>
          </w:p>
        </w:tc>
        <w:tc>
          <w:tcPr>
            <w:tcW w:w="1863" w:type="dxa"/>
          </w:tcPr>
          <w:p w14:paraId="4E923756" w14:textId="77777777" w:rsidR="006A30C6" w:rsidRDefault="00000000" w:rsidP="00955D96">
            <w:pPr>
              <w:pStyle w:val="BETabelaFonteMAIOR"/>
            </w:pPr>
            <w:r>
              <w:t>144</w:t>
            </w:r>
          </w:p>
        </w:tc>
        <w:tc>
          <w:tcPr>
            <w:tcW w:w="3074" w:type="dxa"/>
          </w:tcPr>
          <w:p w14:paraId="5A61AFD6" w14:textId="77777777" w:rsidR="006A30C6" w:rsidRDefault="00000000" w:rsidP="00955D96">
            <w:pPr>
              <w:pStyle w:val="BETabelaFonteMAIOR"/>
            </w:pPr>
            <w:r>
              <w:t>8.43</w:t>
            </w:r>
          </w:p>
        </w:tc>
        <w:tc>
          <w:tcPr>
            <w:tcW w:w="1211" w:type="dxa"/>
          </w:tcPr>
          <w:p w14:paraId="70A39D86" w14:textId="77777777" w:rsidR="006A30C6" w:rsidRDefault="00000000" w:rsidP="00955D96">
            <w:pPr>
              <w:pStyle w:val="BETabelaFonteMAIOR"/>
            </w:pPr>
            <w:r>
              <w:t>1.47</w:t>
            </w:r>
          </w:p>
        </w:tc>
        <w:tc>
          <w:tcPr>
            <w:tcW w:w="931" w:type="dxa"/>
          </w:tcPr>
          <w:p w14:paraId="4FDF1663" w14:textId="77777777" w:rsidR="006A30C6" w:rsidRDefault="00000000" w:rsidP="00955D96">
            <w:pPr>
              <w:pStyle w:val="BETabelaFonteMAIOR"/>
            </w:pPr>
            <w:r>
              <w:t>2.27</w:t>
            </w:r>
          </w:p>
        </w:tc>
      </w:tr>
      <w:tr w:rsidR="006A30C6" w14:paraId="0D6B92CB" w14:textId="77777777" w:rsidTr="00955D96">
        <w:tc>
          <w:tcPr>
            <w:tcW w:w="838" w:type="dxa"/>
          </w:tcPr>
          <w:p w14:paraId="6732601F" w14:textId="77777777" w:rsidR="006A30C6" w:rsidRDefault="00000000" w:rsidP="00955D96">
            <w:pPr>
              <w:pStyle w:val="BETabelaFonteMAIOR"/>
            </w:pPr>
            <w:r>
              <w:t>DGY</w:t>
            </w:r>
          </w:p>
        </w:tc>
        <w:tc>
          <w:tcPr>
            <w:tcW w:w="1863" w:type="dxa"/>
          </w:tcPr>
          <w:p w14:paraId="129E76A2" w14:textId="77777777" w:rsidR="006A30C6" w:rsidRDefault="00000000" w:rsidP="00955D96">
            <w:pPr>
              <w:pStyle w:val="BETabelaFonteMAIOR"/>
            </w:pPr>
            <w:r>
              <w:t>120</w:t>
            </w:r>
          </w:p>
        </w:tc>
        <w:tc>
          <w:tcPr>
            <w:tcW w:w="3074" w:type="dxa"/>
          </w:tcPr>
          <w:p w14:paraId="6439D182" w14:textId="77777777" w:rsidR="006A30C6" w:rsidRDefault="00000000" w:rsidP="00955D96">
            <w:pPr>
              <w:pStyle w:val="BETabelaFonteMAIOR"/>
            </w:pPr>
            <w:r>
              <w:t>1.75</w:t>
            </w:r>
          </w:p>
        </w:tc>
        <w:tc>
          <w:tcPr>
            <w:tcW w:w="1211" w:type="dxa"/>
          </w:tcPr>
          <w:p w14:paraId="19274BF5" w14:textId="77777777" w:rsidR="006A30C6" w:rsidRDefault="00000000" w:rsidP="00955D96">
            <w:pPr>
              <w:pStyle w:val="BETabelaFonteMAIOR"/>
            </w:pPr>
            <w:r>
              <w:t>1.76</w:t>
            </w:r>
          </w:p>
        </w:tc>
        <w:tc>
          <w:tcPr>
            <w:tcW w:w="931" w:type="dxa"/>
          </w:tcPr>
          <w:p w14:paraId="1399C6C8" w14:textId="77777777" w:rsidR="006A30C6" w:rsidRDefault="00000000" w:rsidP="00955D96">
            <w:pPr>
              <w:pStyle w:val="BETabelaFonteMAIOR"/>
            </w:pPr>
            <w:r>
              <w:t>2.73</w:t>
            </w:r>
          </w:p>
        </w:tc>
      </w:tr>
    </w:tbl>
    <w:p w14:paraId="7AAE435B" w14:textId="77777777" w:rsidR="000F0499" w:rsidRDefault="000F0499">
      <w:pPr>
        <w:pStyle w:val="Corpodetexto"/>
      </w:pPr>
    </w:p>
    <w:p w14:paraId="72EB28B2" w14:textId="34F373CD" w:rsidR="006A30C6" w:rsidRDefault="00000000">
      <w:pPr>
        <w:pStyle w:val="Corpodetexto"/>
      </w:pPr>
      <w:r>
        <w:t>The imposed thresholds sit on the low, conservative side of the simulated distribution, not the permissive side: median simulated PBR is 1.47-1.76x the imposed thresholds, reaching 2.27-2.73x at the 95th percentile.</w:t>
      </w:r>
    </w:p>
    <w:p w14:paraId="42852249" w14:textId="77777777" w:rsidR="006A30C6" w:rsidRDefault="00000000">
      <w:r>
        <w:t>Effect of the alpha range on the simulated PBR distribution (Fr = 0.5, Nmin = 4,000).</w:t>
      </w:r>
    </w:p>
    <w:tbl>
      <w:tblPr>
        <w:tblStyle w:val="Tabelacomgrade1"/>
        <w:tblW w:w="5000" w:type="pct"/>
        <w:tblLayout w:type="fixed"/>
        <w:tblLook w:val="0020" w:firstRow="1" w:lastRow="0" w:firstColumn="0" w:lastColumn="0" w:noHBand="0" w:noVBand="0"/>
        <w:tblCaption w:val="Effect of the alpha range on the simulated PBR distribution (Fr = 0.5, Nmin = 4,000)."/>
      </w:tblPr>
      <w:tblGrid>
        <w:gridCol w:w="2417"/>
        <w:gridCol w:w="724"/>
        <w:gridCol w:w="965"/>
        <w:gridCol w:w="992"/>
        <w:gridCol w:w="1985"/>
        <w:gridCol w:w="1978"/>
      </w:tblGrid>
      <w:tr w:rsidR="006A30C6" w14:paraId="2B1620CA" w14:textId="77777777" w:rsidTr="00955D96">
        <w:tc>
          <w:tcPr>
            <w:tcW w:w="2417" w:type="dxa"/>
          </w:tcPr>
          <w:p w14:paraId="08811A79" w14:textId="77777777" w:rsidR="006A30C6" w:rsidRDefault="00000000" w:rsidP="00955D96">
            <w:pPr>
              <w:pStyle w:val="BETabelaFonteMAIOR"/>
            </w:pPr>
            <w:r>
              <w:t>Alpha range</w:t>
            </w:r>
          </w:p>
        </w:tc>
        <w:tc>
          <w:tcPr>
            <w:tcW w:w="724" w:type="dxa"/>
          </w:tcPr>
          <w:p w14:paraId="5BE1402A" w14:textId="77777777" w:rsidR="006A30C6" w:rsidRDefault="00000000" w:rsidP="00955D96">
            <w:pPr>
              <w:pStyle w:val="BETabelaFonteMAIOR"/>
            </w:pPr>
            <w:r>
              <w:t>Q05</w:t>
            </w:r>
          </w:p>
        </w:tc>
        <w:tc>
          <w:tcPr>
            <w:tcW w:w="965" w:type="dxa"/>
          </w:tcPr>
          <w:p w14:paraId="6B676B8A" w14:textId="77777777" w:rsidR="006A30C6" w:rsidRDefault="00000000" w:rsidP="00955D96">
            <w:pPr>
              <w:pStyle w:val="BETabelaFonteMAIOR"/>
            </w:pPr>
            <w:r>
              <w:t>Median</w:t>
            </w:r>
          </w:p>
        </w:tc>
        <w:tc>
          <w:tcPr>
            <w:tcW w:w="992" w:type="dxa"/>
          </w:tcPr>
          <w:p w14:paraId="799576A1" w14:textId="77777777" w:rsidR="006A30C6" w:rsidRDefault="00000000" w:rsidP="00955D96">
            <w:pPr>
              <w:pStyle w:val="BETabelaFonteMAIOR"/>
            </w:pPr>
            <w:r>
              <w:t>Q95</w:t>
            </w:r>
          </w:p>
        </w:tc>
        <w:tc>
          <w:tcPr>
            <w:tcW w:w="1985" w:type="dxa"/>
          </w:tcPr>
          <w:p w14:paraId="75F4F519" w14:textId="77777777" w:rsidR="006A30C6" w:rsidRDefault="00000000" w:rsidP="00955D96">
            <w:pPr>
              <w:pStyle w:val="BETabelaFonteMAIOR"/>
            </w:pPr>
            <w:r>
              <w:t>% below 144 (BSH)</w:t>
            </w:r>
          </w:p>
        </w:tc>
        <w:tc>
          <w:tcPr>
            <w:tcW w:w="1978" w:type="dxa"/>
          </w:tcPr>
          <w:p w14:paraId="516BAE9A" w14:textId="77777777" w:rsidR="006A30C6" w:rsidRDefault="00000000" w:rsidP="00955D96">
            <w:pPr>
              <w:pStyle w:val="BETabelaFonteMAIOR"/>
            </w:pPr>
            <w:r>
              <w:t>% below 120 (DGY)</w:t>
            </w:r>
          </w:p>
        </w:tc>
      </w:tr>
      <w:tr w:rsidR="006A30C6" w14:paraId="12D91EF9" w14:textId="77777777" w:rsidTr="00955D96">
        <w:tc>
          <w:tcPr>
            <w:tcW w:w="2417" w:type="dxa"/>
          </w:tcPr>
          <w:p w14:paraId="0AF4ACDE" w14:textId="77777777" w:rsidR="006A30C6" w:rsidRDefault="00000000" w:rsidP="00955D96">
            <w:pPr>
              <w:pStyle w:val="BETabelaFonteMAIOR"/>
            </w:pPr>
            <w:r>
              <w:t>2 - 4 (prior)</w:t>
            </w:r>
          </w:p>
        </w:tc>
        <w:tc>
          <w:tcPr>
            <w:tcW w:w="724" w:type="dxa"/>
          </w:tcPr>
          <w:p w14:paraId="67987F10" w14:textId="77777777" w:rsidR="006A30C6" w:rsidRDefault="00000000" w:rsidP="00955D96">
            <w:pPr>
              <w:pStyle w:val="BETabelaFonteMAIOR"/>
            </w:pPr>
            <w:r>
              <w:t>120.5</w:t>
            </w:r>
          </w:p>
        </w:tc>
        <w:tc>
          <w:tcPr>
            <w:tcW w:w="965" w:type="dxa"/>
          </w:tcPr>
          <w:p w14:paraId="604F6E6A" w14:textId="77777777" w:rsidR="006A30C6" w:rsidRDefault="00000000" w:rsidP="00955D96">
            <w:pPr>
              <w:pStyle w:val="BETabelaFonteMAIOR"/>
            </w:pPr>
            <w:r>
              <w:t>185.6</w:t>
            </w:r>
          </w:p>
        </w:tc>
        <w:tc>
          <w:tcPr>
            <w:tcW w:w="992" w:type="dxa"/>
          </w:tcPr>
          <w:p w14:paraId="624BBE09" w14:textId="77777777" w:rsidR="006A30C6" w:rsidRDefault="00000000" w:rsidP="00955D96">
            <w:pPr>
              <w:pStyle w:val="BETabelaFonteMAIOR"/>
            </w:pPr>
            <w:r>
              <w:t>270.3</w:t>
            </w:r>
          </w:p>
        </w:tc>
        <w:tc>
          <w:tcPr>
            <w:tcW w:w="1985" w:type="dxa"/>
          </w:tcPr>
          <w:p w14:paraId="0EC63DD5" w14:textId="77777777" w:rsidR="006A30C6" w:rsidRDefault="00000000" w:rsidP="00955D96">
            <w:pPr>
              <w:pStyle w:val="BETabelaFonteMAIOR"/>
            </w:pPr>
            <w:r>
              <w:t>16.8</w:t>
            </w:r>
          </w:p>
        </w:tc>
        <w:tc>
          <w:tcPr>
            <w:tcW w:w="1978" w:type="dxa"/>
          </w:tcPr>
          <w:p w14:paraId="663ED0B2" w14:textId="77777777" w:rsidR="006A30C6" w:rsidRDefault="00000000" w:rsidP="00955D96">
            <w:pPr>
              <w:pStyle w:val="BETabelaFonteMAIOR"/>
            </w:pPr>
            <w:r>
              <w:t>4.9</w:t>
            </w:r>
          </w:p>
        </w:tc>
      </w:tr>
      <w:tr w:rsidR="006A30C6" w14:paraId="6F1F092B" w14:textId="77777777" w:rsidTr="00955D96">
        <w:tc>
          <w:tcPr>
            <w:tcW w:w="2417" w:type="dxa"/>
          </w:tcPr>
          <w:p w14:paraId="2E85F5EC" w14:textId="77777777" w:rsidR="006A30C6" w:rsidRDefault="00000000" w:rsidP="00955D96">
            <w:pPr>
              <w:pStyle w:val="BETabelaFonteMAIOR"/>
            </w:pPr>
            <w:r>
              <w:t>1.5 - 3.5 (updated)</w:t>
            </w:r>
          </w:p>
        </w:tc>
        <w:tc>
          <w:tcPr>
            <w:tcW w:w="724" w:type="dxa"/>
          </w:tcPr>
          <w:p w14:paraId="643832CD" w14:textId="77777777" w:rsidR="006A30C6" w:rsidRDefault="00000000" w:rsidP="00955D96">
            <w:pPr>
              <w:pStyle w:val="BETabelaFonteMAIOR"/>
            </w:pPr>
            <w:r>
              <w:t>134.0</w:t>
            </w:r>
          </w:p>
        </w:tc>
        <w:tc>
          <w:tcPr>
            <w:tcW w:w="965" w:type="dxa"/>
          </w:tcPr>
          <w:p w14:paraId="5B01DB08" w14:textId="77777777" w:rsidR="006A30C6" w:rsidRDefault="00000000" w:rsidP="00955D96">
            <w:pPr>
              <w:pStyle w:val="BETabelaFonteMAIOR"/>
            </w:pPr>
            <w:r>
              <w:t>211.3</w:t>
            </w:r>
          </w:p>
        </w:tc>
        <w:tc>
          <w:tcPr>
            <w:tcW w:w="992" w:type="dxa"/>
          </w:tcPr>
          <w:p w14:paraId="713CA5B5" w14:textId="77777777" w:rsidR="006A30C6" w:rsidRDefault="00000000" w:rsidP="00955D96">
            <w:pPr>
              <w:pStyle w:val="BETabelaFonteMAIOR"/>
            </w:pPr>
            <w:r>
              <w:t>327.3</w:t>
            </w:r>
          </w:p>
        </w:tc>
        <w:tc>
          <w:tcPr>
            <w:tcW w:w="1985" w:type="dxa"/>
          </w:tcPr>
          <w:p w14:paraId="3EAE0EDC" w14:textId="77777777" w:rsidR="006A30C6" w:rsidRDefault="00000000" w:rsidP="00955D96">
            <w:pPr>
              <w:pStyle w:val="BETabelaFonteMAIOR"/>
            </w:pPr>
            <w:r>
              <w:t>8.4</w:t>
            </w:r>
          </w:p>
        </w:tc>
        <w:tc>
          <w:tcPr>
            <w:tcW w:w="1978" w:type="dxa"/>
          </w:tcPr>
          <w:p w14:paraId="367CDC5F" w14:textId="77777777" w:rsidR="006A30C6" w:rsidRDefault="00000000" w:rsidP="00955D96">
            <w:pPr>
              <w:pStyle w:val="BETabelaFonteMAIOR"/>
            </w:pPr>
            <w:r>
              <w:t>1.8</w:t>
            </w:r>
          </w:p>
        </w:tc>
      </w:tr>
    </w:tbl>
    <w:p w14:paraId="5CC18ACC" w14:textId="77777777" w:rsidR="000F0499" w:rsidRDefault="000F0499">
      <w:pPr>
        <w:pStyle w:val="Corpodetexto"/>
      </w:pPr>
    </w:p>
    <w:p w14:paraId="14AF9C9A" w14:textId="0A5AE9A1" w:rsidR="006A30C6" w:rsidRDefault="00000000">
      <w:pPr>
        <w:pStyle w:val="Corpodetexto"/>
      </w:pPr>
      <w:r>
        <w:t>Moving from the wider, less literature-grounded alpha range (2-4) to the range the evidence review supports (1.5-3.5) shifts the simulated PBR distribution further up, not down: the literature review therefore reinforces, rather than weakens, the conclusion below.</w:t>
      </w:r>
    </w:p>
    <w:p w14:paraId="30177BAA" w14:textId="77777777" w:rsidR="006A30C6" w:rsidRDefault="00000000">
      <w:pPr>
        <w:pStyle w:val="Corpodetexto"/>
      </w:pPr>
      <w:r>
        <w:rPr>
          <w:noProof/>
        </w:rPr>
        <w:lastRenderedPageBreak/>
        <w:drawing>
          <wp:inline distT="0" distB="0" distL="0" distR="0" wp14:anchorId="52E7B866" wp14:editId="1E9A0C34">
            <wp:extent cx="5753100" cy="3287485"/>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C:/Users/pcardoso/R/pbr_frick/outputs/figures/pbr_density.png"/>
                    <pic:cNvPicPr>
                      <a:picLocks noChangeAspect="1" noChangeArrowheads="1"/>
                    </pic:cNvPicPr>
                  </pic:nvPicPr>
                  <pic:blipFill>
                    <a:blip r:embed="rId11"/>
                    <a:stretch>
                      <a:fillRect/>
                    </a:stretch>
                  </pic:blipFill>
                  <pic:spPr bwMode="auto">
                    <a:xfrm>
                      <a:off x="0" y="0"/>
                      <a:ext cx="5753100" cy="3287485"/>
                    </a:xfrm>
                    <a:prstGeom prst="rect">
                      <a:avLst/>
                    </a:prstGeom>
                    <a:noFill/>
                    <a:ln w="9525">
                      <a:noFill/>
                      <a:headEnd/>
                      <a:tailEnd/>
                    </a:ln>
                  </pic:spPr>
                </pic:pic>
              </a:graphicData>
            </a:graphic>
          </wp:inline>
        </w:drawing>
      </w:r>
    </w:p>
    <w:p w14:paraId="0FEFF9AF" w14:textId="77777777" w:rsidR="006A30C6" w:rsidRDefault="00000000">
      <w:pPr>
        <w:pStyle w:val="Ttulo2"/>
      </w:pPr>
      <w:bookmarkStart w:id="16" w:name="X04f600d072be3d264f40ad7c366617044f88dc2"/>
      <w:bookmarkStart w:id="17" w:name="_Toc240385949"/>
      <w:bookmarkEnd w:id="14"/>
      <w:r>
        <w:t>Preliminary interpretation and implications</w:t>
      </w:r>
      <w:bookmarkEnd w:id="17"/>
    </w:p>
    <w:p w14:paraId="044A68A6" w14:textId="77777777" w:rsidR="006A30C6" w:rsidRDefault="00000000">
      <w:r>
        <w:t>Under a defensible, non-optimistic parametrisation – recovery factor corrected to the species’ actual (non-threatened) status, and demographic parameters treated as a literature-supported range rather than a single fixed point – the currently imposed thresholds sit near the conservative end of the resulting PBR distribution rather than at its centre. This indicates the current thresholds are not unreasonably permissive; if anything, a flexible parametrisation would support materially higher values, approaching double the current figures at the upper end of the plausible range.</w:t>
      </w:r>
    </w:p>
    <w:p w14:paraId="359D5304" w14:textId="77777777" w:rsidR="006A30C6" w:rsidRDefault="00000000">
      <w:pPr>
        <w:pStyle w:val="Corpodetexto"/>
      </w:pPr>
      <w:r>
        <w:t>These results reinforce that any operational threshold derived from PBR should be accompanied by transparent documentation of the underlying calculations, demographic assumptions, local population estimates, and uncertainty analysis. A nominal threshold can still serve as a precautionary reference point, but mitigation decisions should additionally consider:</w:t>
      </w:r>
    </w:p>
    <w:p w14:paraId="6F868875" w14:textId="77777777" w:rsidR="006A30C6" w:rsidRDefault="00000000">
      <w:pPr>
        <w:numPr>
          <w:ilvl w:val="0"/>
          <w:numId w:val="13"/>
        </w:numPr>
      </w:pPr>
      <w:r>
        <w:t>the plausible uncertainty interval surrounding the threshold;</w:t>
      </w:r>
    </w:p>
    <w:p w14:paraId="172DDFB3" w14:textId="77777777" w:rsidR="006A30C6" w:rsidRDefault="00000000">
      <w:pPr>
        <w:numPr>
          <w:ilvl w:val="0"/>
          <w:numId w:val="13"/>
        </w:numPr>
      </w:pPr>
      <w:r>
        <w:t>temporal trends in fatality estimates;</w:t>
      </w:r>
    </w:p>
    <w:p w14:paraId="55EB9EC8" w14:textId="77777777" w:rsidR="006A30C6" w:rsidRDefault="00000000">
      <w:pPr>
        <w:numPr>
          <w:ilvl w:val="0"/>
          <w:numId w:val="13"/>
        </w:numPr>
      </w:pPr>
      <w:r>
        <w:t>uncertainty associated with PCFM-derived mortality estimates;</w:t>
      </w:r>
    </w:p>
    <w:p w14:paraId="4B3746CE" w14:textId="77777777" w:rsidR="006A30C6" w:rsidRDefault="00000000">
      <w:pPr>
        <w:numPr>
          <w:ilvl w:val="0"/>
          <w:numId w:val="13"/>
        </w:numPr>
      </w:pPr>
      <w:r>
        <w:t>the conservation relevance and demographic sensitivity of the affected species;</w:t>
      </w:r>
    </w:p>
    <w:p w14:paraId="22A4391C" w14:textId="77777777" w:rsidR="006A30C6" w:rsidRDefault="00000000">
      <w:pPr>
        <w:numPr>
          <w:ilvl w:val="0"/>
          <w:numId w:val="13"/>
        </w:numPr>
      </w:pPr>
      <w:r>
        <w:t>the spatial concentration and recurrence of fatalities;</w:t>
      </w:r>
    </w:p>
    <w:p w14:paraId="112FACB5" w14:textId="77777777" w:rsidR="006A30C6" w:rsidRDefault="00000000">
      <w:pPr>
        <w:numPr>
          <w:ilvl w:val="0"/>
          <w:numId w:val="13"/>
        </w:numPr>
      </w:pPr>
      <w:r>
        <w:t>the expected effectiveness and proportionality of mitigation measures;</w:t>
      </w:r>
    </w:p>
    <w:p w14:paraId="6D0164CE" w14:textId="77777777" w:rsidR="006A30C6" w:rsidRDefault="00000000">
      <w:pPr>
        <w:numPr>
          <w:ilvl w:val="0"/>
          <w:numId w:val="13"/>
        </w:numPr>
      </w:pPr>
      <w:r>
        <w:lastRenderedPageBreak/>
        <w:t>and the broader adaptive-management context in which the threshold is applied.</w:t>
      </w:r>
    </w:p>
    <w:p w14:paraId="698536DB" w14:textId="77777777" w:rsidR="006A30C6" w:rsidRDefault="00000000">
      <w:r>
        <w:t>Presenting PBR as a range rather than a single fixed number provides a more robust and defensible basis for adaptive management decisions where demographic parameters, local population structure, and abundance estimates remain incompletely resolved – as is the case for the Parti-coloured bat in this region.</w:t>
      </w:r>
      <w:bookmarkEnd w:id="2"/>
      <w:bookmarkEnd w:id="16"/>
    </w:p>
    <w:sectPr w:rsidR="006A30C6" w:rsidSect="00113266">
      <w:headerReference w:type="default" r:id="rId12"/>
      <w:footerReference w:type="default" r:id="rId13"/>
      <w:headerReference w:type="first" r:id="rId14"/>
      <w:pgSz w:w="11907" w:h="16840" w:code="9"/>
      <w:pgMar w:top="2964" w:right="1418" w:bottom="1276" w:left="1418" w:header="737" w:footer="41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51CAF" w14:textId="77777777" w:rsidR="008D7046" w:rsidRDefault="008D7046">
      <w:pPr>
        <w:spacing w:after="0"/>
      </w:pPr>
      <w:r>
        <w:separator/>
      </w:r>
    </w:p>
  </w:endnote>
  <w:endnote w:type="continuationSeparator" w:id="0">
    <w:p w14:paraId="7B312305" w14:textId="77777777" w:rsidR="008D7046" w:rsidRDefault="008D704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Roboto Light">
    <w:panose1 w:val="02000000000000000000"/>
    <w:charset w:val="00"/>
    <w:family w:val="auto"/>
    <w:pitch w:val="variable"/>
    <w:sig w:usb0="E0000AFF" w:usb1="5000217F" w:usb2="00000021" w:usb3="00000000" w:csb0="0000019F" w:csb1="00000000"/>
  </w:font>
  <w:font w:name="Pª«ª‘ˇ¯‡™">
    <w:altName w:val="Calibri"/>
    <w:panose1 w:val="00000000000000000000"/>
    <w:charset w:val="4D"/>
    <w:family w:val="auto"/>
    <w:notTrueType/>
    <w:pitch w:val="default"/>
    <w:sig w:usb0="00000003" w:usb1="00000000" w:usb2="00000000" w:usb3="00000000" w:csb0="00000001" w:csb1="00000000"/>
  </w:font>
  <w:font w:name="Roboto Black">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egrito">
    <w:panose1 w:val="020B0704020202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Kozuka Gothic Pro R">
    <w:panose1 w:val="00000000000000000000"/>
    <w:charset w:val="80"/>
    <w:family w:val="swiss"/>
    <w:notTrueType/>
    <w:pitch w:val="variable"/>
    <w:sig w:usb0="E00002FF" w:usb1="6AC7FCFF" w:usb2="00000012" w:usb3="00000000" w:csb0="00020005"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3D932" w14:textId="77777777" w:rsidR="00113266" w:rsidRDefault="00113266" w:rsidP="00113266">
    <w:pPr>
      <w:pStyle w:val="BEndice"/>
      <w:jc w:val="center"/>
    </w:pPr>
  </w:p>
  <w:p w14:paraId="7E80566F" w14:textId="77777777" w:rsidR="00113266" w:rsidRDefault="00113266" w:rsidP="00113266">
    <w:pPr>
      <w:pStyle w:val="BEndice"/>
      <w:jc w:val="center"/>
    </w:pPr>
    <w:r>
      <w:fldChar w:fldCharType="begin"/>
    </w:r>
    <w:r>
      <w:instrText xml:space="preserve"> PAGE  \* ArabicDash  \* MERGEFORMAT </w:instrText>
    </w:r>
    <w:r>
      <w:fldChar w:fldCharType="separate"/>
    </w:r>
    <w:r>
      <w:t>- 2 -</w:t>
    </w:r>
    <w:r>
      <w:fldChar w:fldCharType="end"/>
    </w:r>
  </w:p>
  <w:p w14:paraId="1C80E985" w14:textId="77777777" w:rsidR="00F4117D" w:rsidRPr="00B02F41" w:rsidRDefault="00F4117D" w:rsidP="00113266">
    <w:pPr>
      <w:pStyle w:val="Rodap"/>
      <w:jc w:val="center"/>
    </w:pPr>
    <w:r w:rsidRPr="00972C63">
      <w:rPr>
        <w:noProof/>
      </w:rPr>
      <w:drawing>
        <wp:inline distT="0" distB="0" distL="0" distR="0" wp14:anchorId="091636FB" wp14:editId="3447FE05">
          <wp:extent cx="5743575" cy="457200"/>
          <wp:effectExtent l="0" t="0" r="9525" b="0"/>
          <wp:docPr id="18306247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9"/>
                  <pic:cNvPicPr>
                    <a:picLocks noChangeAspect="1" noChangeArrowheads="1"/>
                  </pic:cNvPicPr>
                </pic:nvPicPr>
                <pic:blipFill rotWithShape="1">
                  <a:blip r:embed="rId1">
                    <a:extLst>
                      <a:ext uri="{28A0092B-C50C-407E-A947-70E740481C1C}">
                        <a14:useLocalDpi xmlns:a14="http://schemas.microsoft.com/office/drawing/2010/main" val="0"/>
                      </a:ext>
                    </a:extLst>
                  </a:blip>
                  <a:srcRect t="20238" b="22619"/>
                  <a:stretch/>
                </pic:blipFill>
                <pic:spPr bwMode="auto">
                  <a:xfrm>
                    <a:off x="0" y="0"/>
                    <a:ext cx="5743575" cy="457200"/>
                  </a:xfrm>
                  <a:prstGeom prst="rect">
                    <a:avLst/>
                  </a:prstGeom>
                  <a:noFill/>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038E0" w14:textId="77777777" w:rsidR="008D7046" w:rsidRDefault="008D7046">
      <w:pPr>
        <w:spacing w:after="0"/>
      </w:pPr>
      <w:r>
        <w:separator/>
      </w:r>
    </w:p>
  </w:footnote>
  <w:footnote w:type="continuationSeparator" w:id="0">
    <w:p w14:paraId="372F1FDC" w14:textId="77777777" w:rsidR="008D7046" w:rsidRDefault="008D704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2" w:type="dxa"/>
      <w:tblLook w:val="04A0" w:firstRow="1" w:lastRow="0" w:firstColumn="1" w:lastColumn="0" w:noHBand="0" w:noVBand="1"/>
    </w:tblPr>
    <w:tblGrid>
      <w:gridCol w:w="2316"/>
      <w:gridCol w:w="1681"/>
      <w:gridCol w:w="1957"/>
      <w:gridCol w:w="3118"/>
    </w:tblGrid>
    <w:tr w:rsidR="00F4117D" w14:paraId="0E31C20B" w14:textId="77777777" w:rsidTr="00D5679A">
      <w:trPr>
        <w:trHeight w:val="848"/>
      </w:trPr>
      <w:tc>
        <w:tcPr>
          <w:tcW w:w="2316" w:type="dxa"/>
          <w:vAlign w:val="center"/>
        </w:tcPr>
        <w:p w14:paraId="1D3FE22F" w14:textId="77777777" w:rsidR="00F4117D" w:rsidRDefault="00F4117D" w:rsidP="001154D5">
          <w:pPr>
            <w:pStyle w:val="Cabealho"/>
          </w:pPr>
        </w:p>
      </w:tc>
      <w:tc>
        <w:tcPr>
          <w:tcW w:w="1681" w:type="dxa"/>
          <w:vAlign w:val="center"/>
        </w:tcPr>
        <w:p w14:paraId="36D4E5BD" w14:textId="77777777" w:rsidR="00F4117D" w:rsidRDefault="00F4117D" w:rsidP="001154D5">
          <w:pPr>
            <w:pStyle w:val="Cabealho"/>
          </w:pPr>
        </w:p>
      </w:tc>
      <w:tc>
        <w:tcPr>
          <w:tcW w:w="1957" w:type="dxa"/>
          <w:vAlign w:val="center"/>
        </w:tcPr>
        <w:p w14:paraId="207E5423" w14:textId="77777777" w:rsidR="00F4117D" w:rsidRDefault="00F4117D" w:rsidP="001154D5">
          <w:pPr>
            <w:pStyle w:val="Cabealho"/>
          </w:pPr>
        </w:p>
      </w:tc>
      <w:tc>
        <w:tcPr>
          <w:tcW w:w="3118" w:type="dxa"/>
        </w:tcPr>
        <w:p w14:paraId="296E7957" w14:textId="77777777" w:rsidR="00F4117D" w:rsidRDefault="00F4117D" w:rsidP="00D5679A">
          <w:pPr>
            <w:pStyle w:val="Cabealho"/>
            <w:jc w:val="right"/>
          </w:pPr>
          <w:r>
            <w:rPr>
              <w:noProof/>
            </w:rPr>
            <w:drawing>
              <wp:anchor distT="0" distB="0" distL="114300" distR="114300" simplePos="0" relativeHeight="251658240" behindDoc="0" locked="0" layoutInCell="1" allowOverlap="1" wp14:anchorId="2C079953" wp14:editId="3A91DE9E">
                <wp:simplePos x="0" y="0"/>
                <wp:positionH relativeFrom="column">
                  <wp:posOffset>690245</wp:posOffset>
                </wp:positionH>
                <wp:positionV relativeFrom="paragraph">
                  <wp:posOffset>-283210</wp:posOffset>
                </wp:positionV>
                <wp:extent cx="1222375" cy="541020"/>
                <wp:effectExtent l="0" t="0" r="0" b="0"/>
                <wp:wrapThrough wrapText="bothSides">
                  <wp:wrapPolygon edited="0">
                    <wp:start x="2356" y="0"/>
                    <wp:lineTo x="0" y="3803"/>
                    <wp:lineTo x="0" y="16732"/>
                    <wp:lineTo x="2356" y="20535"/>
                    <wp:lineTo x="7069" y="20535"/>
                    <wp:lineTo x="10099" y="20535"/>
                    <wp:lineTo x="18514" y="14451"/>
                    <wp:lineTo x="21207" y="10648"/>
                    <wp:lineTo x="21207" y="6085"/>
                    <wp:lineTo x="7069" y="0"/>
                    <wp:lineTo x="2356" y="0"/>
                  </wp:wrapPolygon>
                </wp:wrapThrough>
                <wp:docPr id="785347971" name="Picture 10" descr="Graphical user interfac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Graphical user interfac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2375" cy="54102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25EDE5C2" w14:textId="77777777" w:rsidR="00F4117D" w:rsidRDefault="00F4117D" w:rsidP="0008155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6049F" w14:textId="77777777" w:rsidR="00F4117D" w:rsidRDefault="00F4117D">
    <w:pPr>
      <w:pStyle w:val="Cabealho"/>
    </w:pPr>
    <w:r>
      <w:rPr>
        <w:noProof/>
      </w:rPr>
      <w:drawing>
        <wp:anchor distT="0" distB="0" distL="114300" distR="114300" simplePos="0" relativeHeight="251658241" behindDoc="1" locked="0" layoutInCell="1" allowOverlap="1" wp14:anchorId="48E8E08E" wp14:editId="28FB8027">
          <wp:simplePos x="0" y="0"/>
          <wp:positionH relativeFrom="column">
            <wp:posOffset>-248285</wp:posOffset>
          </wp:positionH>
          <wp:positionV relativeFrom="paragraph">
            <wp:posOffset>-9525</wp:posOffset>
          </wp:positionV>
          <wp:extent cx="2724150" cy="1171575"/>
          <wp:effectExtent l="0" t="0" r="0" b="0"/>
          <wp:wrapTight wrapText="bothSides">
            <wp:wrapPolygon edited="0">
              <wp:start x="0" y="0"/>
              <wp:lineTo x="0" y="21424"/>
              <wp:lineTo x="21449" y="21424"/>
              <wp:lineTo x="21449" y="0"/>
              <wp:lineTo x="0" y="0"/>
            </wp:wrapPolygon>
          </wp:wrapTight>
          <wp:docPr id="19676850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r="43729"/>
                  <a:stretch>
                    <a:fillRect/>
                  </a:stretch>
                </pic:blipFill>
                <pic:spPr bwMode="auto">
                  <a:xfrm>
                    <a:off x="0" y="0"/>
                    <a:ext cx="2724150" cy="11715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name w:val="WW8Num3"/>
    <w:lvl w:ilvl="0">
      <w:start w:val="5"/>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418"/>
        </w:tabs>
        <w:ind w:left="1418" w:hanging="964"/>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 w15:restartNumberingAfterBreak="0">
    <w:nsid w:val="00000004"/>
    <w:multiLevelType w:val="singleLevel"/>
    <w:tmpl w:val="00000004"/>
    <w:name w:val="WW8Num4"/>
    <w:lvl w:ilvl="0">
      <w:start w:val="1"/>
      <w:numFmt w:val="upperLetter"/>
      <w:lvlText w:val="(%1)"/>
      <w:lvlJc w:val="left"/>
      <w:pPr>
        <w:tabs>
          <w:tab w:val="num" w:pos="870"/>
        </w:tabs>
        <w:ind w:left="870" w:hanging="360"/>
      </w:pPr>
    </w:lvl>
  </w:abstractNum>
  <w:abstractNum w:abstractNumId="2" w15:restartNumberingAfterBreak="0">
    <w:nsid w:val="00000011"/>
    <w:multiLevelType w:val="singleLevel"/>
    <w:tmpl w:val="00000011"/>
    <w:name w:val="WW8Num17"/>
    <w:lvl w:ilvl="0">
      <w:start w:val="1"/>
      <w:numFmt w:val="decimal"/>
      <w:lvlText w:val="%1."/>
      <w:lvlJc w:val="left"/>
      <w:pPr>
        <w:tabs>
          <w:tab w:val="num" w:pos="720"/>
        </w:tabs>
        <w:ind w:left="720" w:hanging="360"/>
      </w:pPr>
    </w:lvl>
  </w:abstractNum>
  <w:abstractNum w:abstractNumId="3" w15:restartNumberingAfterBreak="0">
    <w:nsid w:val="00000012"/>
    <w:multiLevelType w:val="multilevel"/>
    <w:tmpl w:val="00000012"/>
    <w:name w:val="WW8Num18"/>
    <w:lvl w:ilvl="0">
      <w:start w:val="10"/>
      <w:numFmt w:val="decimal"/>
      <w:lvlText w:val="%1."/>
      <w:lvlJc w:val="left"/>
      <w:pPr>
        <w:tabs>
          <w:tab w:val="num" w:pos="360"/>
        </w:tabs>
        <w:ind w:left="170" w:hanging="170"/>
      </w:pPr>
      <w:rPr>
        <w:rFonts w:ascii="Arial" w:hAnsi="Arial"/>
        <w:b/>
        <w:i w:val="0"/>
        <w:sz w:val="22"/>
      </w:rPr>
    </w:lvl>
    <w:lvl w:ilvl="1">
      <w:start w:val="1"/>
      <w:numFmt w:val="decimal"/>
      <w:lvlText w:val="18.%2."/>
      <w:lvlJc w:val="left"/>
      <w:pPr>
        <w:tabs>
          <w:tab w:val="num" w:pos="510"/>
        </w:tabs>
        <w:ind w:left="510" w:hanging="453"/>
      </w:pPr>
      <w:rPr>
        <w:rFonts w:ascii="Arial" w:hAnsi="Arial"/>
        <w:b w:val="0"/>
        <w:i w:val="0"/>
        <w:sz w:val="20"/>
      </w:rPr>
    </w:lvl>
    <w:lvl w:ilvl="2">
      <w:start w:val="1"/>
      <w:numFmt w:val="decimal"/>
      <w:lvlText w:val="%1.%2.%3."/>
      <w:lvlJc w:val="left"/>
      <w:pPr>
        <w:tabs>
          <w:tab w:val="num" w:pos="720"/>
        </w:tabs>
        <w:ind w:left="720" w:hanging="720"/>
      </w:pPr>
      <w:rPr>
        <w:rFonts w:ascii="Times New Roman" w:hAnsi="Times New Roman"/>
        <w:b/>
        <w:i w:val="0"/>
      </w:r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080"/>
        </w:tabs>
        <w:ind w:left="1080" w:hanging="108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440"/>
        </w:tabs>
        <w:ind w:left="1440" w:hanging="1440"/>
      </w:pPr>
    </w:lvl>
  </w:abstractNum>
  <w:abstractNum w:abstractNumId="4" w15:restartNumberingAfterBreak="0">
    <w:nsid w:val="0000A990"/>
    <w:multiLevelType w:val="multilevel"/>
    <w:tmpl w:val="4AB8E42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5" w15:restartNumberingAfterBreak="0">
    <w:nsid w:val="0000A991"/>
    <w:multiLevelType w:val="multilevel"/>
    <w:tmpl w:val="5192A0E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 w15:restartNumberingAfterBreak="0">
    <w:nsid w:val="11040786"/>
    <w:multiLevelType w:val="multilevel"/>
    <w:tmpl w:val="B0E8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96219"/>
    <w:multiLevelType w:val="hybridMultilevel"/>
    <w:tmpl w:val="E756885A"/>
    <w:lvl w:ilvl="0" w:tplc="5C848FCA">
      <w:start w:val="1"/>
      <w:numFmt w:val="bullet"/>
      <w:pStyle w:val="BEBullets"/>
      <w:lvlText w:val=""/>
      <w:lvlJc w:val="left"/>
      <w:pPr>
        <w:ind w:left="567" w:hanging="227"/>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00C4898"/>
    <w:multiLevelType w:val="multilevel"/>
    <w:tmpl w:val="43B04B1E"/>
    <w:styleLink w:val="CurrentList1"/>
    <w:lvl w:ilvl="0">
      <w:start w:val="1"/>
      <w:numFmt w:val="bullet"/>
      <w:lvlText w:val=""/>
      <w:lvlJc w:val="left"/>
      <w:pPr>
        <w:ind w:left="567" w:hanging="227"/>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42311382"/>
    <w:multiLevelType w:val="multilevel"/>
    <w:tmpl w:val="43D6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700362"/>
    <w:multiLevelType w:val="multilevel"/>
    <w:tmpl w:val="F152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1A500C"/>
    <w:multiLevelType w:val="multilevel"/>
    <w:tmpl w:val="7098EDF8"/>
    <w:lvl w:ilvl="0">
      <w:start w:val="1"/>
      <w:numFmt w:val="decimal"/>
      <w:pStyle w:val="Ttulo1"/>
      <w:lvlText w:val="%1."/>
      <w:lvlJc w:val="left"/>
      <w:pPr>
        <w:ind w:left="720" w:hanging="360"/>
      </w:pPr>
    </w:lvl>
    <w:lvl w:ilvl="1">
      <w:start w:val="1"/>
      <w:numFmt w:val="decimal"/>
      <w:pStyle w:val="Ttulo2"/>
      <w:isLgl/>
      <w:lvlText w:val="%1.%2."/>
      <w:lvlJc w:val="left"/>
      <w:pPr>
        <w:ind w:left="1287" w:hanging="720"/>
      </w:pPr>
      <w:rPr>
        <w:rFonts w:hint="default"/>
      </w:rPr>
    </w:lvl>
    <w:lvl w:ilvl="2">
      <w:start w:val="1"/>
      <w:numFmt w:val="decimal"/>
      <w:pStyle w:val="Ttulo3"/>
      <w:isLgl/>
      <w:lvlText w:val="%1.%2.%3."/>
      <w:lvlJc w:val="left"/>
      <w:pPr>
        <w:ind w:left="1494" w:hanging="720"/>
      </w:pPr>
      <w:rPr>
        <w:rFonts w:hint="default"/>
      </w:rPr>
    </w:lvl>
    <w:lvl w:ilvl="3">
      <w:start w:val="1"/>
      <w:numFmt w:val="decimal"/>
      <w:pStyle w:val="Ttulo4"/>
      <w:isLgl/>
      <w:lvlText w:val="%1.%2.%3.%4."/>
      <w:lvlJc w:val="left"/>
      <w:pPr>
        <w:ind w:left="3065" w:hanging="1080"/>
      </w:pPr>
      <w:rPr>
        <w:rFonts w:hint="default"/>
      </w:rPr>
    </w:lvl>
    <w:lvl w:ilvl="4">
      <w:start w:val="1"/>
      <w:numFmt w:val="decimal"/>
      <w:pStyle w:val="Ttulo5"/>
      <w:isLgl/>
      <w:lvlText w:val="%1.%2.%3.%4.%5."/>
      <w:lvlJc w:val="left"/>
      <w:pPr>
        <w:ind w:left="1364" w:hanging="1080"/>
      </w:pPr>
      <w:rPr>
        <w:rFonts w:ascii="Montserrat" w:hAnsi="Montserrat" w:hint="default"/>
        <w:b/>
        <w:bCs/>
        <w:i w:val="0"/>
        <w:iCs w:val="0"/>
      </w:rPr>
    </w:lvl>
    <w:lvl w:ilvl="5">
      <w:start w:val="1"/>
      <w:numFmt w:val="decimal"/>
      <w:pStyle w:val="Ttulo6"/>
      <w:isLgl/>
      <w:lvlText w:val="%1.%2.%3.%4.%5.%6."/>
      <w:lvlJc w:val="left"/>
      <w:pPr>
        <w:ind w:left="2835" w:hanging="1440"/>
      </w:pPr>
      <w:rPr>
        <w:rFonts w:hint="default"/>
      </w:rPr>
    </w:lvl>
    <w:lvl w:ilvl="6">
      <w:start w:val="1"/>
      <w:numFmt w:val="decimal"/>
      <w:pStyle w:val="Ttulo7"/>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4176" w:hanging="2160"/>
      </w:pPr>
      <w:rPr>
        <w:rFonts w:hint="default"/>
      </w:rPr>
    </w:lvl>
  </w:abstractNum>
  <w:abstractNum w:abstractNumId="12" w15:restartNumberingAfterBreak="0">
    <w:nsid w:val="51976020"/>
    <w:multiLevelType w:val="hybridMultilevel"/>
    <w:tmpl w:val="CD548908"/>
    <w:lvl w:ilvl="0" w:tplc="04160001">
      <w:start w:val="1"/>
      <w:numFmt w:val="bullet"/>
      <w:pStyle w:val="TextoexplicativodeSubttulo"/>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3" w15:restartNumberingAfterBreak="0">
    <w:nsid w:val="52206A4D"/>
    <w:multiLevelType w:val="hybridMultilevel"/>
    <w:tmpl w:val="64E2D03E"/>
    <w:lvl w:ilvl="0" w:tplc="C7A823FA">
      <w:start w:val="1"/>
      <w:numFmt w:val="bullet"/>
      <w:pStyle w:val="Pargrafo-PROFILL"/>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14" w15:restartNumberingAfterBreak="0">
    <w:nsid w:val="54284158"/>
    <w:multiLevelType w:val="multilevel"/>
    <w:tmpl w:val="38DA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5C3527"/>
    <w:multiLevelType w:val="multilevel"/>
    <w:tmpl w:val="8A14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685C50"/>
    <w:multiLevelType w:val="multilevel"/>
    <w:tmpl w:val="84BA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2513363">
    <w:abstractNumId w:val="11"/>
  </w:num>
  <w:num w:numId="2" w16cid:durableId="1428429646">
    <w:abstractNumId w:val="12"/>
  </w:num>
  <w:num w:numId="3" w16cid:durableId="1663194154">
    <w:abstractNumId w:val="13"/>
  </w:num>
  <w:num w:numId="4" w16cid:durableId="374157198">
    <w:abstractNumId w:val="7"/>
  </w:num>
  <w:num w:numId="5" w16cid:durableId="183903983">
    <w:abstractNumId w:val="8"/>
  </w:num>
  <w:num w:numId="6" w16cid:durableId="865022978">
    <w:abstractNumId w:val="10"/>
  </w:num>
  <w:num w:numId="7" w16cid:durableId="694117167">
    <w:abstractNumId w:val="15"/>
  </w:num>
  <w:num w:numId="8" w16cid:durableId="1205484204">
    <w:abstractNumId w:val="14"/>
  </w:num>
  <w:num w:numId="9" w16cid:durableId="821505645">
    <w:abstractNumId w:val="16"/>
  </w:num>
  <w:num w:numId="10" w16cid:durableId="575748042">
    <w:abstractNumId w:val="6"/>
  </w:num>
  <w:num w:numId="11" w16cid:durableId="229704158">
    <w:abstractNumId w:val="9"/>
  </w:num>
  <w:num w:numId="12" w16cid:durableId="74520949">
    <w:abstractNumId w:val="4"/>
  </w:num>
  <w:num w:numId="13" w16cid:durableId="21107391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activeWritingStyle w:appName="MSWord" w:lang="pt-PT" w:vendorID="64" w:dllVersion="0" w:nlCheck="1" w:checkStyle="0"/>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FB8"/>
    <w:rsid w:val="000006DC"/>
    <w:rsid w:val="00000FCE"/>
    <w:rsid w:val="0000120E"/>
    <w:rsid w:val="0000196C"/>
    <w:rsid w:val="00003461"/>
    <w:rsid w:val="000039F0"/>
    <w:rsid w:val="00003B3A"/>
    <w:rsid w:val="00003F52"/>
    <w:rsid w:val="00004382"/>
    <w:rsid w:val="00004B01"/>
    <w:rsid w:val="00005333"/>
    <w:rsid w:val="000058FB"/>
    <w:rsid w:val="00006C68"/>
    <w:rsid w:val="00007BC1"/>
    <w:rsid w:val="00007BE1"/>
    <w:rsid w:val="00007C3A"/>
    <w:rsid w:val="0001005C"/>
    <w:rsid w:val="0001010B"/>
    <w:rsid w:val="00010AF9"/>
    <w:rsid w:val="00010C9F"/>
    <w:rsid w:val="000114C6"/>
    <w:rsid w:val="0001245D"/>
    <w:rsid w:val="000128A1"/>
    <w:rsid w:val="000130BC"/>
    <w:rsid w:val="000133D1"/>
    <w:rsid w:val="0001345A"/>
    <w:rsid w:val="000134FB"/>
    <w:rsid w:val="00013605"/>
    <w:rsid w:val="0001487E"/>
    <w:rsid w:val="00015ED0"/>
    <w:rsid w:val="00020489"/>
    <w:rsid w:val="0002068B"/>
    <w:rsid w:val="00020A9D"/>
    <w:rsid w:val="00020F39"/>
    <w:rsid w:val="00021510"/>
    <w:rsid w:val="0002241E"/>
    <w:rsid w:val="00022692"/>
    <w:rsid w:val="00022EF4"/>
    <w:rsid w:val="0002315E"/>
    <w:rsid w:val="0002321F"/>
    <w:rsid w:val="0002449E"/>
    <w:rsid w:val="000246FB"/>
    <w:rsid w:val="00024BE6"/>
    <w:rsid w:val="00025208"/>
    <w:rsid w:val="0002643A"/>
    <w:rsid w:val="00026679"/>
    <w:rsid w:val="000266E8"/>
    <w:rsid w:val="00027040"/>
    <w:rsid w:val="00030C3D"/>
    <w:rsid w:val="00031371"/>
    <w:rsid w:val="00031ADF"/>
    <w:rsid w:val="0003319B"/>
    <w:rsid w:val="00034165"/>
    <w:rsid w:val="00034957"/>
    <w:rsid w:val="000358DD"/>
    <w:rsid w:val="00035A1B"/>
    <w:rsid w:val="000361CF"/>
    <w:rsid w:val="000362B2"/>
    <w:rsid w:val="0003674C"/>
    <w:rsid w:val="00036CD3"/>
    <w:rsid w:val="00037872"/>
    <w:rsid w:val="000379BC"/>
    <w:rsid w:val="0004123C"/>
    <w:rsid w:val="00041DCC"/>
    <w:rsid w:val="00042D15"/>
    <w:rsid w:val="00043676"/>
    <w:rsid w:val="000439FE"/>
    <w:rsid w:val="00043A6E"/>
    <w:rsid w:val="0004438C"/>
    <w:rsid w:val="000444B5"/>
    <w:rsid w:val="000446FB"/>
    <w:rsid w:val="000452B2"/>
    <w:rsid w:val="00045660"/>
    <w:rsid w:val="00045855"/>
    <w:rsid w:val="000458DE"/>
    <w:rsid w:val="000459A9"/>
    <w:rsid w:val="00045FE0"/>
    <w:rsid w:val="000473F0"/>
    <w:rsid w:val="000476EB"/>
    <w:rsid w:val="00050129"/>
    <w:rsid w:val="00050433"/>
    <w:rsid w:val="000509EE"/>
    <w:rsid w:val="00051C36"/>
    <w:rsid w:val="000522A1"/>
    <w:rsid w:val="00052544"/>
    <w:rsid w:val="00052A8C"/>
    <w:rsid w:val="00053082"/>
    <w:rsid w:val="00053CC3"/>
    <w:rsid w:val="000553C6"/>
    <w:rsid w:val="00055C8C"/>
    <w:rsid w:val="00055E04"/>
    <w:rsid w:val="0005699B"/>
    <w:rsid w:val="00057640"/>
    <w:rsid w:val="0006093C"/>
    <w:rsid w:val="0006105B"/>
    <w:rsid w:val="00061070"/>
    <w:rsid w:val="0006117B"/>
    <w:rsid w:val="00062007"/>
    <w:rsid w:val="00063B7E"/>
    <w:rsid w:val="000642AC"/>
    <w:rsid w:val="00064417"/>
    <w:rsid w:val="00064EC2"/>
    <w:rsid w:val="00065353"/>
    <w:rsid w:val="00065AAB"/>
    <w:rsid w:val="0006647E"/>
    <w:rsid w:val="00066EB8"/>
    <w:rsid w:val="00066FF8"/>
    <w:rsid w:val="00067126"/>
    <w:rsid w:val="00067390"/>
    <w:rsid w:val="000676F6"/>
    <w:rsid w:val="000679C9"/>
    <w:rsid w:val="000703A7"/>
    <w:rsid w:val="0007092F"/>
    <w:rsid w:val="00070935"/>
    <w:rsid w:val="00070951"/>
    <w:rsid w:val="000709BB"/>
    <w:rsid w:val="00070A80"/>
    <w:rsid w:val="00070EA9"/>
    <w:rsid w:val="0007166B"/>
    <w:rsid w:val="00071D66"/>
    <w:rsid w:val="00072528"/>
    <w:rsid w:val="00072A1F"/>
    <w:rsid w:val="00072BB5"/>
    <w:rsid w:val="00073DCE"/>
    <w:rsid w:val="00074A3A"/>
    <w:rsid w:val="000750CA"/>
    <w:rsid w:val="0007600B"/>
    <w:rsid w:val="00077B77"/>
    <w:rsid w:val="0008155C"/>
    <w:rsid w:val="00082D5D"/>
    <w:rsid w:val="00082D7E"/>
    <w:rsid w:val="0008328A"/>
    <w:rsid w:val="000832D1"/>
    <w:rsid w:val="00083665"/>
    <w:rsid w:val="00083C97"/>
    <w:rsid w:val="00083FCB"/>
    <w:rsid w:val="000857C2"/>
    <w:rsid w:val="000913D3"/>
    <w:rsid w:val="000919FB"/>
    <w:rsid w:val="00092AAB"/>
    <w:rsid w:val="00093A66"/>
    <w:rsid w:val="00093AB0"/>
    <w:rsid w:val="00094B8D"/>
    <w:rsid w:val="00094ECF"/>
    <w:rsid w:val="00095199"/>
    <w:rsid w:val="00095867"/>
    <w:rsid w:val="00095C49"/>
    <w:rsid w:val="000967A2"/>
    <w:rsid w:val="00096B62"/>
    <w:rsid w:val="00096C8A"/>
    <w:rsid w:val="000977AC"/>
    <w:rsid w:val="00097C02"/>
    <w:rsid w:val="000A00BE"/>
    <w:rsid w:val="000A05D4"/>
    <w:rsid w:val="000A1227"/>
    <w:rsid w:val="000A15D5"/>
    <w:rsid w:val="000A2690"/>
    <w:rsid w:val="000A29A7"/>
    <w:rsid w:val="000A33B8"/>
    <w:rsid w:val="000A3D55"/>
    <w:rsid w:val="000A42BD"/>
    <w:rsid w:val="000A4B05"/>
    <w:rsid w:val="000A533C"/>
    <w:rsid w:val="000A6453"/>
    <w:rsid w:val="000A6884"/>
    <w:rsid w:val="000A6BEE"/>
    <w:rsid w:val="000A6C48"/>
    <w:rsid w:val="000A6E43"/>
    <w:rsid w:val="000A72BB"/>
    <w:rsid w:val="000A74D0"/>
    <w:rsid w:val="000A788F"/>
    <w:rsid w:val="000A7BF7"/>
    <w:rsid w:val="000B1CA9"/>
    <w:rsid w:val="000B2091"/>
    <w:rsid w:val="000B22D2"/>
    <w:rsid w:val="000B2EA2"/>
    <w:rsid w:val="000B32D1"/>
    <w:rsid w:val="000B4005"/>
    <w:rsid w:val="000B4420"/>
    <w:rsid w:val="000B44F0"/>
    <w:rsid w:val="000B4B90"/>
    <w:rsid w:val="000B5A75"/>
    <w:rsid w:val="000B5B45"/>
    <w:rsid w:val="000B5CAB"/>
    <w:rsid w:val="000B6196"/>
    <w:rsid w:val="000B68D1"/>
    <w:rsid w:val="000B69B1"/>
    <w:rsid w:val="000B7247"/>
    <w:rsid w:val="000B787A"/>
    <w:rsid w:val="000B7B70"/>
    <w:rsid w:val="000C0392"/>
    <w:rsid w:val="000C1854"/>
    <w:rsid w:val="000C1C37"/>
    <w:rsid w:val="000C27E6"/>
    <w:rsid w:val="000C2A46"/>
    <w:rsid w:val="000C2DFD"/>
    <w:rsid w:val="000C38D6"/>
    <w:rsid w:val="000C3957"/>
    <w:rsid w:val="000C4EEE"/>
    <w:rsid w:val="000C5634"/>
    <w:rsid w:val="000C5AF0"/>
    <w:rsid w:val="000C6202"/>
    <w:rsid w:val="000C68C9"/>
    <w:rsid w:val="000C6BCC"/>
    <w:rsid w:val="000C71EB"/>
    <w:rsid w:val="000C77EF"/>
    <w:rsid w:val="000C7DA5"/>
    <w:rsid w:val="000C7E32"/>
    <w:rsid w:val="000C7E8A"/>
    <w:rsid w:val="000D0D83"/>
    <w:rsid w:val="000D0F5D"/>
    <w:rsid w:val="000D1BBA"/>
    <w:rsid w:val="000D29DD"/>
    <w:rsid w:val="000D36B9"/>
    <w:rsid w:val="000D5002"/>
    <w:rsid w:val="000D7051"/>
    <w:rsid w:val="000D76DB"/>
    <w:rsid w:val="000D7C05"/>
    <w:rsid w:val="000D7D70"/>
    <w:rsid w:val="000E0F65"/>
    <w:rsid w:val="000E11D9"/>
    <w:rsid w:val="000E1613"/>
    <w:rsid w:val="000E16B3"/>
    <w:rsid w:val="000E1719"/>
    <w:rsid w:val="000E2C6A"/>
    <w:rsid w:val="000E2EC7"/>
    <w:rsid w:val="000E3F8B"/>
    <w:rsid w:val="000E406A"/>
    <w:rsid w:val="000E482B"/>
    <w:rsid w:val="000E4F35"/>
    <w:rsid w:val="000E4F73"/>
    <w:rsid w:val="000E5218"/>
    <w:rsid w:val="000E5C25"/>
    <w:rsid w:val="000E6D24"/>
    <w:rsid w:val="000E79AC"/>
    <w:rsid w:val="000E7E94"/>
    <w:rsid w:val="000F0172"/>
    <w:rsid w:val="000F037D"/>
    <w:rsid w:val="000F0499"/>
    <w:rsid w:val="000F0B22"/>
    <w:rsid w:val="000F1C26"/>
    <w:rsid w:val="000F2C67"/>
    <w:rsid w:val="000F3063"/>
    <w:rsid w:val="000F3187"/>
    <w:rsid w:val="000F48B5"/>
    <w:rsid w:val="000F4D91"/>
    <w:rsid w:val="000F53F2"/>
    <w:rsid w:val="000F606D"/>
    <w:rsid w:val="000F6212"/>
    <w:rsid w:val="000F67A0"/>
    <w:rsid w:val="000F6828"/>
    <w:rsid w:val="000F6FA4"/>
    <w:rsid w:val="000F704B"/>
    <w:rsid w:val="000F72CF"/>
    <w:rsid w:val="000F7FCD"/>
    <w:rsid w:val="0010067D"/>
    <w:rsid w:val="00100934"/>
    <w:rsid w:val="001018EF"/>
    <w:rsid w:val="00102150"/>
    <w:rsid w:val="00102254"/>
    <w:rsid w:val="0010262B"/>
    <w:rsid w:val="00102F50"/>
    <w:rsid w:val="0010326D"/>
    <w:rsid w:val="00103F06"/>
    <w:rsid w:val="00104265"/>
    <w:rsid w:val="0010428B"/>
    <w:rsid w:val="00105C0D"/>
    <w:rsid w:val="00105C90"/>
    <w:rsid w:val="00106222"/>
    <w:rsid w:val="001065A1"/>
    <w:rsid w:val="00106898"/>
    <w:rsid w:val="00107F40"/>
    <w:rsid w:val="00110EEC"/>
    <w:rsid w:val="0011128B"/>
    <w:rsid w:val="00111965"/>
    <w:rsid w:val="001119F3"/>
    <w:rsid w:val="00112A51"/>
    <w:rsid w:val="00112D79"/>
    <w:rsid w:val="00113266"/>
    <w:rsid w:val="00113336"/>
    <w:rsid w:val="001135CE"/>
    <w:rsid w:val="001138C3"/>
    <w:rsid w:val="0011466B"/>
    <w:rsid w:val="0011485C"/>
    <w:rsid w:val="001154D5"/>
    <w:rsid w:val="001154FE"/>
    <w:rsid w:val="00115CC5"/>
    <w:rsid w:val="00116971"/>
    <w:rsid w:val="001169BA"/>
    <w:rsid w:val="00116DCD"/>
    <w:rsid w:val="001171E9"/>
    <w:rsid w:val="001179BB"/>
    <w:rsid w:val="00117F3A"/>
    <w:rsid w:val="00120286"/>
    <w:rsid w:val="001202B2"/>
    <w:rsid w:val="001209AE"/>
    <w:rsid w:val="001213A0"/>
    <w:rsid w:val="00122F33"/>
    <w:rsid w:val="00123081"/>
    <w:rsid w:val="00123366"/>
    <w:rsid w:val="001238FD"/>
    <w:rsid w:val="00123A91"/>
    <w:rsid w:val="00123E43"/>
    <w:rsid w:val="0012516E"/>
    <w:rsid w:val="00125E61"/>
    <w:rsid w:val="001275C8"/>
    <w:rsid w:val="00127B9F"/>
    <w:rsid w:val="00127CEF"/>
    <w:rsid w:val="001300B0"/>
    <w:rsid w:val="00130303"/>
    <w:rsid w:val="00131A69"/>
    <w:rsid w:val="00131E98"/>
    <w:rsid w:val="00132188"/>
    <w:rsid w:val="00132340"/>
    <w:rsid w:val="001325C1"/>
    <w:rsid w:val="001330AA"/>
    <w:rsid w:val="00133764"/>
    <w:rsid w:val="001338B8"/>
    <w:rsid w:val="00133B55"/>
    <w:rsid w:val="00134A85"/>
    <w:rsid w:val="001352FB"/>
    <w:rsid w:val="001353FD"/>
    <w:rsid w:val="00135EF3"/>
    <w:rsid w:val="001368CE"/>
    <w:rsid w:val="00136F52"/>
    <w:rsid w:val="00137644"/>
    <w:rsid w:val="00137C1A"/>
    <w:rsid w:val="00137F6A"/>
    <w:rsid w:val="00140B04"/>
    <w:rsid w:val="00140B1D"/>
    <w:rsid w:val="0014107A"/>
    <w:rsid w:val="00143777"/>
    <w:rsid w:val="0014426E"/>
    <w:rsid w:val="0014679D"/>
    <w:rsid w:val="00146F07"/>
    <w:rsid w:val="00146FC4"/>
    <w:rsid w:val="001470C6"/>
    <w:rsid w:val="001472EF"/>
    <w:rsid w:val="00147B48"/>
    <w:rsid w:val="00147C2E"/>
    <w:rsid w:val="001508E1"/>
    <w:rsid w:val="00150B84"/>
    <w:rsid w:val="00150E60"/>
    <w:rsid w:val="001512C3"/>
    <w:rsid w:val="0015220F"/>
    <w:rsid w:val="00153BB8"/>
    <w:rsid w:val="00154C57"/>
    <w:rsid w:val="00154CD7"/>
    <w:rsid w:val="00154EEE"/>
    <w:rsid w:val="00156086"/>
    <w:rsid w:val="00156E49"/>
    <w:rsid w:val="00157BC8"/>
    <w:rsid w:val="00157EF2"/>
    <w:rsid w:val="00160761"/>
    <w:rsid w:val="00160DBF"/>
    <w:rsid w:val="001612A9"/>
    <w:rsid w:val="00161EB0"/>
    <w:rsid w:val="0016256B"/>
    <w:rsid w:val="0016281B"/>
    <w:rsid w:val="00164854"/>
    <w:rsid w:val="001648B1"/>
    <w:rsid w:val="00165CC8"/>
    <w:rsid w:val="00165F76"/>
    <w:rsid w:val="001700AC"/>
    <w:rsid w:val="00170606"/>
    <w:rsid w:val="0017100B"/>
    <w:rsid w:val="00171323"/>
    <w:rsid w:val="001715D4"/>
    <w:rsid w:val="00171693"/>
    <w:rsid w:val="001724FE"/>
    <w:rsid w:val="00172B88"/>
    <w:rsid w:val="001730F8"/>
    <w:rsid w:val="00173D82"/>
    <w:rsid w:val="0017496D"/>
    <w:rsid w:val="0017504D"/>
    <w:rsid w:val="0017635D"/>
    <w:rsid w:val="001774B5"/>
    <w:rsid w:val="001777FA"/>
    <w:rsid w:val="00177D6F"/>
    <w:rsid w:val="00181BC5"/>
    <w:rsid w:val="00181D6F"/>
    <w:rsid w:val="001820A5"/>
    <w:rsid w:val="00183666"/>
    <w:rsid w:val="00183DD0"/>
    <w:rsid w:val="00183EAA"/>
    <w:rsid w:val="00184080"/>
    <w:rsid w:val="00184F7C"/>
    <w:rsid w:val="0018515F"/>
    <w:rsid w:val="0018584A"/>
    <w:rsid w:val="00185BE7"/>
    <w:rsid w:val="00185C4A"/>
    <w:rsid w:val="00186328"/>
    <w:rsid w:val="0018658A"/>
    <w:rsid w:val="001867CC"/>
    <w:rsid w:val="001869F5"/>
    <w:rsid w:val="001878C1"/>
    <w:rsid w:val="00187B85"/>
    <w:rsid w:val="00187E7C"/>
    <w:rsid w:val="001912B2"/>
    <w:rsid w:val="001918DB"/>
    <w:rsid w:val="001919E6"/>
    <w:rsid w:val="001924A6"/>
    <w:rsid w:val="00192C70"/>
    <w:rsid w:val="0019317C"/>
    <w:rsid w:val="001931C3"/>
    <w:rsid w:val="00194FE2"/>
    <w:rsid w:val="001958CA"/>
    <w:rsid w:val="00196DB4"/>
    <w:rsid w:val="001974FC"/>
    <w:rsid w:val="00197CCD"/>
    <w:rsid w:val="001A00DE"/>
    <w:rsid w:val="001A06D9"/>
    <w:rsid w:val="001A32E4"/>
    <w:rsid w:val="001A33D7"/>
    <w:rsid w:val="001A3A32"/>
    <w:rsid w:val="001A408B"/>
    <w:rsid w:val="001A56E7"/>
    <w:rsid w:val="001A591A"/>
    <w:rsid w:val="001A729F"/>
    <w:rsid w:val="001A79D4"/>
    <w:rsid w:val="001A7BD4"/>
    <w:rsid w:val="001A7C4E"/>
    <w:rsid w:val="001A7E47"/>
    <w:rsid w:val="001B01F4"/>
    <w:rsid w:val="001B023B"/>
    <w:rsid w:val="001B15AD"/>
    <w:rsid w:val="001B18B6"/>
    <w:rsid w:val="001B213D"/>
    <w:rsid w:val="001B2206"/>
    <w:rsid w:val="001B331F"/>
    <w:rsid w:val="001B35AE"/>
    <w:rsid w:val="001B3607"/>
    <w:rsid w:val="001B37EA"/>
    <w:rsid w:val="001B3EE2"/>
    <w:rsid w:val="001B3F72"/>
    <w:rsid w:val="001B4742"/>
    <w:rsid w:val="001B4D02"/>
    <w:rsid w:val="001B5269"/>
    <w:rsid w:val="001B5CAB"/>
    <w:rsid w:val="001B5E09"/>
    <w:rsid w:val="001B5F6E"/>
    <w:rsid w:val="001B61D5"/>
    <w:rsid w:val="001C085A"/>
    <w:rsid w:val="001C0B96"/>
    <w:rsid w:val="001C1EF2"/>
    <w:rsid w:val="001C23A3"/>
    <w:rsid w:val="001C26BA"/>
    <w:rsid w:val="001C2701"/>
    <w:rsid w:val="001C3E6E"/>
    <w:rsid w:val="001C5738"/>
    <w:rsid w:val="001C57A5"/>
    <w:rsid w:val="001C58DA"/>
    <w:rsid w:val="001C7F77"/>
    <w:rsid w:val="001D0883"/>
    <w:rsid w:val="001D12C5"/>
    <w:rsid w:val="001D18CD"/>
    <w:rsid w:val="001D1DB3"/>
    <w:rsid w:val="001D1E6E"/>
    <w:rsid w:val="001D2669"/>
    <w:rsid w:val="001D46C6"/>
    <w:rsid w:val="001D4E57"/>
    <w:rsid w:val="001D6A11"/>
    <w:rsid w:val="001D6A96"/>
    <w:rsid w:val="001D6C7A"/>
    <w:rsid w:val="001D6F18"/>
    <w:rsid w:val="001D725A"/>
    <w:rsid w:val="001E114B"/>
    <w:rsid w:val="001E19FA"/>
    <w:rsid w:val="001E1C2D"/>
    <w:rsid w:val="001E1D46"/>
    <w:rsid w:val="001E23CD"/>
    <w:rsid w:val="001E270B"/>
    <w:rsid w:val="001E406F"/>
    <w:rsid w:val="001E40B9"/>
    <w:rsid w:val="001E4D95"/>
    <w:rsid w:val="001E6837"/>
    <w:rsid w:val="001E6C6D"/>
    <w:rsid w:val="001E6D77"/>
    <w:rsid w:val="001E794A"/>
    <w:rsid w:val="001E7D9A"/>
    <w:rsid w:val="001F014F"/>
    <w:rsid w:val="001F02AF"/>
    <w:rsid w:val="001F088D"/>
    <w:rsid w:val="001F2551"/>
    <w:rsid w:val="001F2628"/>
    <w:rsid w:val="001F27E9"/>
    <w:rsid w:val="001F2868"/>
    <w:rsid w:val="001F3144"/>
    <w:rsid w:val="001F337C"/>
    <w:rsid w:val="001F33FB"/>
    <w:rsid w:val="001F34C8"/>
    <w:rsid w:val="001F350B"/>
    <w:rsid w:val="001F358E"/>
    <w:rsid w:val="001F50B6"/>
    <w:rsid w:val="001F55AF"/>
    <w:rsid w:val="001F5D8B"/>
    <w:rsid w:val="001F6671"/>
    <w:rsid w:val="001F6DD4"/>
    <w:rsid w:val="001F7073"/>
    <w:rsid w:val="001F71E0"/>
    <w:rsid w:val="001F7A01"/>
    <w:rsid w:val="00200246"/>
    <w:rsid w:val="00200ACF"/>
    <w:rsid w:val="002013C0"/>
    <w:rsid w:val="00201700"/>
    <w:rsid w:val="00201BBE"/>
    <w:rsid w:val="00201C0C"/>
    <w:rsid w:val="00202037"/>
    <w:rsid w:val="0020226A"/>
    <w:rsid w:val="002029FA"/>
    <w:rsid w:val="00202B73"/>
    <w:rsid w:val="00203026"/>
    <w:rsid w:val="00203FC4"/>
    <w:rsid w:val="00205696"/>
    <w:rsid w:val="00206E19"/>
    <w:rsid w:val="002072EF"/>
    <w:rsid w:val="00210D07"/>
    <w:rsid w:val="0021147D"/>
    <w:rsid w:val="0021196C"/>
    <w:rsid w:val="00212303"/>
    <w:rsid w:val="00212C59"/>
    <w:rsid w:val="0021316E"/>
    <w:rsid w:val="00213575"/>
    <w:rsid w:val="002141B2"/>
    <w:rsid w:val="00215094"/>
    <w:rsid w:val="002150E9"/>
    <w:rsid w:val="00215602"/>
    <w:rsid w:val="00215824"/>
    <w:rsid w:val="00215C61"/>
    <w:rsid w:val="00216B1E"/>
    <w:rsid w:val="00220952"/>
    <w:rsid w:val="0022231A"/>
    <w:rsid w:val="00222BAE"/>
    <w:rsid w:val="002231CB"/>
    <w:rsid w:val="00223BE5"/>
    <w:rsid w:val="00224449"/>
    <w:rsid w:val="002248F2"/>
    <w:rsid w:val="00224FE4"/>
    <w:rsid w:val="00225690"/>
    <w:rsid w:val="00225991"/>
    <w:rsid w:val="00225A91"/>
    <w:rsid w:val="002262FC"/>
    <w:rsid w:val="00226B3D"/>
    <w:rsid w:val="002300A5"/>
    <w:rsid w:val="002305A2"/>
    <w:rsid w:val="0023128B"/>
    <w:rsid w:val="00231942"/>
    <w:rsid w:val="002319DE"/>
    <w:rsid w:val="0023252E"/>
    <w:rsid w:val="00232A65"/>
    <w:rsid w:val="00232C42"/>
    <w:rsid w:val="0023391F"/>
    <w:rsid w:val="002341AA"/>
    <w:rsid w:val="002345C0"/>
    <w:rsid w:val="00234CD2"/>
    <w:rsid w:val="0023514D"/>
    <w:rsid w:val="00235476"/>
    <w:rsid w:val="00235E5D"/>
    <w:rsid w:val="00235E6C"/>
    <w:rsid w:val="00236199"/>
    <w:rsid w:val="00236694"/>
    <w:rsid w:val="00237E80"/>
    <w:rsid w:val="00240A6E"/>
    <w:rsid w:val="00240F8A"/>
    <w:rsid w:val="002410C9"/>
    <w:rsid w:val="00241448"/>
    <w:rsid w:val="00241470"/>
    <w:rsid w:val="002418BD"/>
    <w:rsid w:val="002424C3"/>
    <w:rsid w:val="00242CD0"/>
    <w:rsid w:val="002431A8"/>
    <w:rsid w:val="00243296"/>
    <w:rsid w:val="002436A1"/>
    <w:rsid w:val="00243A3D"/>
    <w:rsid w:val="00243BDF"/>
    <w:rsid w:val="00244170"/>
    <w:rsid w:val="00245067"/>
    <w:rsid w:val="00245420"/>
    <w:rsid w:val="002459AB"/>
    <w:rsid w:val="002460B3"/>
    <w:rsid w:val="00246497"/>
    <w:rsid w:val="002479EF"/>
    <w:rsid w:val="002479F5"/>
    <w:rsid w:val="002511A7"/>
    <w:rsid w:val="0025192D"/>
    <w:rsid w:val="00253055"/>
    <w:rsid w:val="0025305D"/>
    <w:rsid w:val="00254459"/>
    <w:rsid w:val="00255497"/>
    <w:rsid w:val="00256522"/>
    <w:rsid w:val="0025657E"/>
    <w:rsid w:val="00256C91"/>
    <w:rsid w:val="0025707E"/>
    <w:rsid w:val="00257394"/>
    <w:rsid w:val="00257CB5"/>
    <w:rsid w:val="00260591"/>
    <w:rsid w:val="002605D7"/>
    <w:rsid w:val="00260F3A"/>
    <w:rsid w:val="00261633"/>
    <w:rsid w:val="0026226E"/>
    <w:rsid w:val="00262D6F"/>
    <w:rsid w:val="00264263"/>
    <w:rsid w:val="002645C6"/>
    <w:rsid w:val="00265047"/>
    <w:rsid w:val="0026511D"/>
    <w:rsid w:val="0026656D"/>
    <w:rsid w:val="0026662B"/>
    <w:rsid w:val="00266E66"/>
    <w:rsid w:val="00267112"/>
    <w:rsid w:val="0026752A"/>
    <w:rsid w:val="002676DF"/>
    <w:rsid w:val="00270B0A"/>
    <w:rsid w:val="00270F4A"/>
    <w:rsid w:val="002717C3"/>
    <w:rsid w:val="00271EED"/>
    <w:rsid w:val="002721D0"/>
    <w:rsid w:val="00272CE7"/>
    <w:rsid w:val="00272FF8"/>
    <w:rsid w:val="002740DD"/>
    <w:rsid w:val="002753B4"/>
    <w:rsid w:val="002755B6"/>
    <w:rsid w:val="00276785"/>
    <w:rsid w:val="00277896"/>
    <w:rsid w:val="00277B3A"/>
    <w:rsid w:val="00277CAD"/>
    <w:rsid w:val="00277F6F"/>
    <w:rsid w:val="00280A27"/>
    <w:rsid w:val="00280D04"/>
    <w:rsid w:val="00281E3A"/>
    <w:rsid w:val="002822C2"/>
    <w:rsid w:val="00283028"/>
    <w:rsid w:val="0028319B"/>
    <w:rsid w:val="00283771"/>
    <w:rsid w:val="00284000"/>
    <w:rsid w:val="002842C1"/>
    <w:rsid w:val="002843CD"/>
    <w:rsid w:val="00284801"/>
    <w:rsid w:val="0028483D"/>
    <w:rsid w:val="00285A39"/>
    <w:rsid w:val="00285D07"/>
    <w:rsid w:val="0028664F"/>
    <w:rsid w:val="00286A11"/>
    <w:rsid w:val="00286BA5"/>
    <w:rsid w:val="00290497"/>
    <w:rsid w:val="0029063E"/>
    <w:rsid w:val="00290D23"/>
    <w:rsid w:val="002917E8"/>
    <w:rsid w:val="00291A2A"/>
    <w:rsid w:val="00291A50"/>
    <w:rsid w:val="00292121"/>
    <w:rsid w:val="00292C0F"/>
    <w:rsid w:val="002938DC"/>
    <w:rsid w:val="00293B66"/>
    <w:rsid w:val="00293D70"/>
    <w:rsid w:val="002943F7"/>
    <w:rsid w:val="00294CEA"/>
    <w:rsid w:val="00294EF4"/>
    <w:rsid w:val="00294FE2"/>
    <w:rsid w:val="00295899"/>
    <w:rsid w:val="00296785"/>
    <w:rsid w:val="002969FB"/>
    <w:rsid w:val="00297B22"/>
    <w:rsid w:val="002A00CD"/>
    <w:rsid w:val="002A05E6"/>
    <w:rsid w:val="002A0C1F"/>
    <w:rsid w:val="002A298E"/>
    <w:rsid w:val="002A2BF4"/>
    <w:rsid w:val="002A3137"/>
    <w:rsid w:val="002A319E"/>
    <w:rsid w:val="002A3F1F"/>
    <w:rsid w:val="002A3FB5"/>
    <w:rsid w:val="002A4717"/>
    <w:rsid w:val="002A59E8"/>
    <w:rsid w:val="002A5A0C"/>
    <w:rsid w:val="002A5A10"/>
    <w:rsid w:val="002A6BAB"/>
    <w:rsid w:val="002A70F4"/>
    <w:rsid w:val="002A75FF"/>
    <w:rsid w:val="002A7F5D"/>
    <w:rsid w:val="002B06F8"/>
    <w:rsid w:val="002B0CFB"/>
    <w:rsid w:val="002B2024"/>
    <w:rsid w:val="002B2A03"/>
    <w:rsid w:val="002B2EC5"/>
    <w:rsid w:val="002B3E34"/>
    <w:rsid w:val="002B3F54"/>
    <w:rsid w:val="002B45B9"/>
    <w:rsid w:val="002B51BE"/>
    <w:rsid w:val="002B5304"/>
    <w:rsid w:val="002B5FDB"/>
    <w:rsid w:val="002B666C"/>
    <w:rsid w:val="002B6BB1"/>
    <w:rsid w:val="002B7CCD"/>
    <w:rsid w:val="002B7ED4"/>
    <w:rsid w:val="002C0702"/>
    <w:rsid w:val="002C0AC0"/>
    <w:rsid w:val="002C22FD"/>
    <w:rsid w:val="002C2D63"/>
    <w:rsid w:val="002C3371"/>
    <w:rsid w:val="002C48CD"/>
    <w:rsid w:val="002C507B"/>
    <w:rsid w:val="002C5BBA"/>
    <w:rsid w:val="002C5D11"/>
    <w:rsid w:val="002C610E"/>
    <w:rsid w:val="002C63A1"/>
    <w:rsid w:val="002C6B81"/>
    <w:rsid w:val="002C6BEB"/>
    <w:rsid w:val="002C6DC5"/>
    <w:rsid w:val="002C6ECC"/>
    <w:rsid w:val="002C7961"/>
    <w:rsid w:val="002D186A"/>
    <w:rsid w:val="002D2166"/>
    <w:rsid w:val="002D2254"/>
    <w:rsid w:val="002D23D5"/>
    <w:rsid w:val="002D27E6"/>
    <w:rsid w:val="002D2C06"/>
    <w:rsid w:val="002D339B"/>
    <w:rsid w:val="002D39B5"/>
    <w:rsid w:val="002D4204"/>
    <w:rsid w:val="002D561D"/>
    <w:rsid w:val="002D6A40"/>
    <w:rsid w:val="002D70D6"/>
    <w:rsid w:val="002D76E8"/>
    <w:rsid w:val="002D7F12"/>
    <w:rsid w:val="002D7FC4"/>
    <w:rsid w:val="002E0AED"/>
    <w:rsid w:val="002E0E93"/>
    <w:rsid w:val="002E185F"/>
    <w:rsid w:val="002E1967"/>
    <w:rsid w:val="002E2272"/>
    <w:rsid w:val="002E3C4B"/>
    <w:rsid w:val="002E495D"/>
    <w:rsid w:val="002E6D2F"/>
    <w:rsid w:val="002E6DB5"/>
    <w:rsid w:val="002E6EEE"/>
    <w:rsid w:val="002E7076"/>
    <w:rsid w:val="002E71E3"/>
    <w:rsid w:val="002E721C"/>
    <w:rsid w:val="002E74B6"/>
    <w:rsid w:val="002E7728"/>
    <w:rsid w:val="002E7FF4"/>
    <w:rsid w:val="002F1475"/>
    <w:rsid w:val="002F1BE1"/>
    <w:rsid w:val="002F1D6F"/>
    <w:rsid w:val="002F206E"/>
    <w:rsid w:val="002F3354"/>
    <w:rsid w:val="002F46F9"/>
    <w:rsid w:val="002F4F52"/>
    <w:rsid w:val="002F68B8"/>
    <w:rsid w:val="002F776C"/>
    <w:rsid w:val="002F779C"/>
    <w:rsid w:val="002F7AD2"/>
    <w:rsid w:val="00300B29"/>
    <w:rsid w:val="00300C77"/>
    <w:rsid w:val="00301770"/>
    <w:rsid w:val="00301D8F"/>
    <w:rsid w:val="00302AA2"/>
    <w:rsid w:val="00302C2E"/>
    <w:rsid w:val="003030E6"/>
    <w:rsid w:val="00303101"/>
    <w:rsid w:val="00303C62"/>
    <w:rsid w:val="00304C9D"/>
    <w:rsid w:val="00304EBA"/>
    <w:rsid w:val="00306C8E"/>
    <w:rsid w:val="00307059"/>
    <w:rsid w:val="00307473"/>
    <w:rsid w:val="003074F1"/>
    <w:rsid w:val="00310ABC"/>
    <w:rsid w:val="003111ED"/>
    <w:rsid w:val="00311E54"/>
    <w:rsid w:val="003128C5"/>
    <w:rsid w:val="00313378"/>
    <w:rsid w:val="003136FA"/>
    <w:rsid w:val="00313D1F"/>
    <w:rsid w:val="00314B72"/>
    <w:rsid w:val="00314DF8"/>
    <w:rsid w:val="0031535D"/>
    <w:rsid w:val="003154EC"/>
    <w:rsid w:val="003155E4"/>
    <w:rsid w:val="003155FA"/>
    <w:rsid w:val="00315B30"/>
    <w:rsid w:val="0031781C"/>
    <w:rsid w:val="00317A82"/>
    <w:rsid w:val="00317F20"/>
    <w:rsid w:val="00317F8E"/>
    <w:rsid w:val="0032093A"/>
    <w:rsid w:val="0032137D"/>
    <w:rsid w:val="00321625"/>
    <w:rsid w:val="00321C4B"/>
    <w:rsid w:val="00321F17"/>
    <w:rsid w:val="00321FDF"/>
    <w:rsid w:val="00322261"/>
    <w:rsid w:val="003231E6"/>
    <w:rsid w:val="003239BC"/>
    <w:rsid w:val="00325843"/>
    <w:rsid w:val="0032597C"/>
    <w:rsid w:val="003259A2"/>
    <w:rsid w:val="00325ED5"/>
    <w:rsid w:val="003261DA"/>
    <w:rsid w:val="003270B5"/>
    <w:rsid w:val="003273EE"/>
    <w:rsid w:val="00327639"/>
    <w:rsid w:val="00327B10"/>
    <w:rsid w:val="00327D8D"/>
    <w:rsid w:val="003302A5"/>
    <w:rsid w:val="00330F19"/>
    <w:rsid w:val="00331A1A"/>
    <w:rsid w:val="00332368"/>
    <w:rsid w:val="003327CF"/>
    <w:rsid w:val="00332BC4"/>
    <w:rsid w:val="0033301E"/>
    <w:rsid w:val="00333114"/>
    <w:rsid w:val="003333E0"/>
    <w:rsid w:val="00333475"/>
    <w:rsid w:val="0033381F"/>
    <w:rsid w:val="003338F8"/>
    <w:rsid w:val="00333D6F"/>
    <w:rsid w:val="00334544"/>
    <w:rsid w:val="00334B9A"/>
    <w:rsid w:val="0033519A"/>
    <w:rsid w:val="003356EC"/>
    <w:rsid w:val="00336100"/>
    <w:rsid w:val="003367A1"/>
    <w:rsid w:val="00337DCB"/>
    <w:rsid w:val="0034026A"/>
    <w:rsid w:val="003402AC"/>
    <w:rsid w:val="00340DA9"/>
    <w:rsid w:val="00341175"/>
    <w:rsid w:val="00341964"/>
    <w:rsid w:val="00341D47"/>
    <w:rsid w:val="00342130"/>
    <w:rsid w:val="00342AA9"/>
    <w:rsid w:val="00342D44"/>
    <w:rsid w:val="00343054"/>
    <w:rsid w:val="00343555"/>
    <w:rsid w:val="0034452A"/>
    <w:rsid w:val="0034455B"/>
    <w:rsid w:val="003446D4"/>
    <w:rsid w:val="0034497C"/>
    <w:rsid w:val="00344FA4"/>
    <w:rsid w:val="00345310"/>
    <w:rsid w:val="00345573"/>
    <w:rsid w:val="00345C93"/>
    <w:rsid w:val="00351FB5"/>
    <w:rsid w:val="00351FBB"/>
    <w:rsid w:val="00352152"/>
    <w:rsid w:val="0035335D"/>
    <w:rsid w:val="00353368"/>
    <w:rsid w:val="0035432A"/>
    <w:rsid w:val="00354337"/>
    <w:rsid w:val="00354CC3"/>
    <w:rsid w:val="00354EAE"/>
    <w:rsid w:val="00354F3B"/>
    <w:rsid w:val="003554CC"/>
    <w:rsid w:val="003557BD"/>
    <w:rsid w:val="00355C4C"/>
    <w:rsid w:val="00355DB0"/>
    <w:rsid w:val="003561FB"/>
    <w:rsid w:val="00356363"/>
    <w:rsid w:val="00356B09"/>
    <w:rsid w:val="003571CB"/>
    <w:rsid w:val="003571F0"/>
    <w:rsid w:val="00357694"/>
    <w:rsid w:val="00357A9F"/>
    <w:rsid w:val="00357BB8"/>
    <w:rsid w:val="00360035"/>
    <w:rsid w:val="003603DB"/>
    <w:rsid w:val="00360861"/>
    <w:rsid w:val="0036117F"/>
    <w:rsid w:val="003616B4"/>
    <w:rsid w:val="00362C2B"/>
    <w:rsid w:val="003630E4"/>
    <w:rsid w:val="003636C1"/>
    <w:rsid w:val="00363A6B"/>
    <w:rsid w:val="00363DFC"/>
    <w:rsid w:val="00363FEE"/>
    <w:rsid w:val="00364696"/>
    <w:rsid w:val="00364CF2"/>
    <w:rsid w:val="003650AA"/>
    <w:rsid w:val="00365572"/>
    <w:rsid w:val="00365885"/>
    <w:rsid w:val="00365D84"/>
    <w:rsid w:val="00367C32"/>
    <w:rsid w:val="00367F27"/>
    <w:rsid w:val="00370FE1"/>
    <w:rsid w:val="003713F1"/>
    <w:rsid w:val="00371524"/>
    <w:rsid w:val="0037159E"/>
    <w:rsid w:val="00371FE6"/>
    <w:rsid w:val="00372207"/>
    <w:rsid w:val="00373910"/>
    <w:rsid w:val="003739E0"/>
    <w:rsid w:val="00373B38"/>
    <w:rsid w:val="00374046"/>
    <w:rsid w:val="00374F70"/>
    <w:rsid w:val="00375507"/>
    <w:rsid w:val="00375778"/>
    <w:rsid w:val="00375E3F"/>
    <w:rsid w:val="0037669A"/>
    <w:rsid w:val="00376A02"/>
    <w:rsid w:val="00376E7B"/>
    <w:rsid w:val="003770F4"/>
    <w:rsid w:val="00380817"/>
    <w:rsid w:val="00380F4C"/>
    <w:rsid w:val="00381202"/>
    <w:rsid w:val="003822A5"/>
    <w:rsid w:val="003828E8"/>
    <w:rsid w:val="003838B7"/>
    <w:rsid w:val="00383FA2"/>
    <w:rsid w:val="00384EB3"/>
    <w:rsid w:val="00385307"/>
    <w:rsid w:val="00385892"/>
    <w:rsid w:val="00385DCA"/>
    <w:rsid w:val="003860D2"/>
    <w:rsid w:val="0038686B"/>
    <w:rsid w:val="00386BA4"/>
    <w:rsid w:val="00386DB6"/>
    <w:rsid w:val="003871A3"/>
    <w:rsid w:val="00387D64"/>
    <w:rsid w:val="003904EE"/>
    <w:rsid w:val="00390C03"/>
    <w:rsid w:val="00390E67"/>
    <w:rsid w:val="00391CBC"/>
    <w:rsid w:val="00391D67"/>
    <w:rsid w:val="003920FF"/>
    <w:rsid w:val="00392389"/>
    <w:rsid w:val="00392A0D"/>
    <w:rsid w:val="00392B1F"/>
    <w:rsid w:val="0039325B"/>
    <w:rsid w:val="0039391E"/>
    <w:rsid w:val="003939A9"/>
    <w:rsid w:val="00393EAE"/>
    <w:rsid w:val="003945A2"/>
    <w:rsid w:val="00394BFC"/>
    <w:rsid w:val="00395F3A"/>
    <w:rsid w:val="003960BB"/>
    <w:rsid w:val="00396D8B"/>
    <w:rsid w:val="0039749B"/>
    <w:rsid w:val="0039757E"/>
    <w:rsid w:val="003A0976"/>
    <w:rsid w:val="003A136F"/>
    <w:rsid w:val="003A13F3"/>
    <w:rsid w:val="003A2327"/>
    <w:rsid w:val="003A2A25"/>
    <w:rsid w:val="003A348B"/>
    <w:rsid w:val="003A53E1"/>
    <w:rsid w:val="003A62C3"/>
    <w:rsid w:val="003A6335"/>
    <w:rsid w:val="003A7A59"/>
    <w:rsid w:val="003B07D0"/>
    <w:rsid w:val="003B0E3C"/>
    <w:rsid w:val="003B0EB3"/>
    <w:rsid w:val="003B1A29"/>
    <w:rsid w:val="003B1C7C"/>
    <w:rsid w:val="003B2C72"/>
    <w:rsid w:val="003B372F"/>
    <w:rsid w:val="003B3FE7"/>
    <w:rsid w:val="003B40EB"/>
    <w:rsid w:val="003B4BF4"/>
    <w:rsid w:val="003B4DB1"/>
    <w:rsid w:val="003B5180"/>
    <w:rsid w:val="003B67BC"/>
    <w:rsid w:val="003B6AFF"/>
    <w:rsid w:val="003B7153"/>
    <w:rsid w:val="003B72B5"/>
    <w:rsid w:val="003B7441"/>
    <w:rsid w:val="003B75E6"/>
    <w:rsid w:val="003B7803"/>
    <w:rsid w:val="003B7B7C"/>
    <w:rsid w:val="003C0517"/>
    <w:rsid w:val="003C17A1"/>
    <w:rsid w:val="003C2227"/>
    <w:rsid w:val="003C22F6"/>
    <w:rsid w:val="003C2BC4"/>
    <w:rsid w:val="003C2F89"/>
    <w:rsid w:val="003C46A6"/>
    <w:rsid w:val="003C4946"/>
    <w:rsid w:val="003C4B57"/>
    <w:rsid w:val="003C5C37"/>
    <w:rsid w:val="003C5C3E"/>
    <w:rsid w:val="003C7BC2"/>
    <w:rsid w:val="003D0098"/>
    <w:rsid w:val="003D0B50"/>
    <w:rsid w:val="003D1147"/>
    <w:rsid w:val="003D1692"/>
    <w:rsid w:val="003D1789"/>
    <w:rsid w:val="003D25B5"/>
    <w:rsid w:val="003D2DD3"/>
    <w:rsid w:val="003D39D9"/>
    <w:rsid w:val="003D3F7A"/>
    <w:rsid w:val="003D6056"/>
    <w:rsid w:val="003D607D"/>
    <w:rsid w:val="003D67D1"/>
    <w:rsid w:val="003D7530"/>
    <w:rsid w:val="003D75E1"/>
    <w:rsid w:val="003E0367"/>
    <w:rsid w:val="003E172F"/>
    <w:rsid w:val="003E3963"/>
    <w:rsid w:val="003E48CB"/>
    <w:rsid w:val="003E5DED"/>
    <w:rsid w:val="003E5F00"/>
    <w:rsid w:val="003E699D"/>
    <w:rsid w:val="003E6AE8"/>
    <w:rsid w:val="003E6D26"/>
    <w:rsid w:val="003E6DBE"/>
    <w:rsid w:val="003E6F16"/>
    <w:rsid w:val="003E7709"/>
    <w:rsid w:val="003E7CCE"/>
    <w:rsid w:val="003F0664"/>
    <w:rsid w:val="003F0CD2"/>
    <w:rsid w:val="003F0DD1"/>
    <w:rsid w:val="003F1262"/>
    <w:rsid w:val="003F1705"/>
    <w:rsid w:val="003F1CD6"/>
    <w:rsid w:val="003F1EBD"/>
    <w:rsid w:val="003F2768"/>
    <w:rsid w:val="003F352D"/>
    <w:rsid w:val="003F47E1"/>
    <w:rsid w:val="003F519B"/>
    <w:rsid w:val="003F5369"/>
    <w:rsid w:val="003F6647"/>
    <w:rsid w:val="003F682F"/>
    <w:rsid w:val="003F6C35"/>
    <w:rsid w:val="003F701A"/>
    <w:rsid w:val="003F720D"/>
    <w:rsid w:val="003F751D"/>
    <w:rsid w:val="003F7661"/>
    <w:rsid w:val="003F7A99"/>
    <w:rsid w:val="003F7B01"/>
    <w:rsid w:val="00400084"/>
    <w:rsid w:val="0040010D"/>
    <w:rsid w:val="00400F2B"/>
    <w:rsid w:val="004011E2"/>
    <w:rsid w:val="00401F9E"/>
    <w:rsid w:val="00402B6F"/>
    <w:rsid w:val="00403907"/>
    <w:rsid w:val="00403FB0"/>
    <w:rsid w:val="00404044"/>
    <w:rsid w:val="00405266"/>
    <w:rsid w:val="00405606"/>
    <w:rsid w:val="00405A6E"/>
    <w:rsid w:val="00407646"/>
    <w:rsid w:val="004103AF"/>
    <w:rsid w:val="00410542"/>
    <w:rsid w:val="00410E5A"/>
    <w:rsid w:val="00411534"/>
    <w:rsid w:val="00411E59"/>
    <w:rsid w:val="00412343"/>
    <w:rsid w:val="004124C4"/>
    <w:rsid w:val="00413047"/>
    <w:rsid w:val="00413760"/>
    <w:rsid w:val="00413BB7"/>
    <w:rsid w:val="00414DA2"/>
    <w:rsid w:val="00415A53"/>
    <w:rsid w:val="00415C75"/>
    <w:rsid w:val="00417ED1"/>
    <w:rsid w:val="004208A7"/>
    <w:rsid w:val="00421A02"/>
    <w:rsid w:val="00422C90"/>
    <w:rsid w:val="0042382C"/>
    <w:rsid w:val="00423AB7"/>
    <w:rsid w:val="00425510"/>
    <w:rsid w:val="0042587D"/>
    <w:rsid w:val="00425B61"/>
    <w:rsid w:val="004263E4"/>
    <w:rsid w:val="00426C78"/>
    <w:rsid w:val="00426FC2"/>
    <w:rsid w:val="004272BC"/>
    <w:rsid w:val="0042771C"/>
    <w:rsid w:val="00427F3E"/>
    <w:rsid w:val="00431A94"/>
    <w:rsid w:val="0043292F"/>
    <w:rsid w:val="00432D0B"/>
    <w:rsid w:val="00433B3F"/>
    <w:rsid w:val="00434230"/>
    <w:rsid w:val="004347A1"/>
    <w:rsid w:val="004350A8"/>
    <w:rsid w:val="004359BF"/>
    <w:rsid w:val="0043644C"/>
    <w:rsid w:val="00436629"/>
    <w:rsid w:val="004372EF"/>
    <w:rsid w:val="0043770A"/>
    <w:rsid w:val="00437CAC"/>
    <w:rsid w:val="0044086F"/>
    <w:rsid w:val="00442258"/>
    <w:rsid w:val="0044327A"/>
    <w:rsid w:val="004438E3"/>
    <w:rsid w:val="00444594"/>
    <w:rsid w:val="00444689"/>
    <w:rsid w:val="00444ABE"/>
    <w:rsid w:val="0044564F"/>
    <w:rsid w:val="00446DED"/>
    <w:rsid w:val="0044751C"/>
    <w:rsid w:val="00447AAE"/>
    <w:rsid w:val="0045120A"/>
    <w:rsid w:val="00451A04"/>
    <w:rsid w:val="0045235C"/>
    <w:rsid w:val="004532C8"/>
    <w:rsid w:val="004535D2"/>
    <w:rsid w:val="00453845"/>
    <w:rsid w:val="00453E0C"/>
    <w:rsid w:val="00454752"/>
    <w:rsid w:val="00455280"/>
    <w:rsid w:val="0045533E"/>
    <w:rsid w:val="00455EAA"/>
    <w:rsid w:val="00456386"/>
    <w:rsid w:val="00456D8C"/>
    <w:rsid w:val="00457DB4"/>
    <w:rsid w:val="00457E0B"/>
    <w:rsid w:val="004603D8"/>
    <w:rsid w:val="004618A0"/>
    <w:rsid w:val="0046214D"/>
    <w:rsid w:val="00462D85"/>
    <w:rsid w:val="004635BC"/>
    <w:rsid w:val="00463A35"/>
    <w:rsid w:val="00464278"/>
    <w:rsid w:val="00465C8C"/>
    <w:rsid w:val="0046687C"/>
    <w:rsid w:val="00467E23"/>
    <w:rsid w:val="00467F82"/>
    <w:rsid w:val="004705C6"/>
    <w:rsid w:val="00470A5A"/>
    <w:rsid w:val="00470DDA"/>
    <w:rsid w:val="00470FA7"/>
    <w:rsid w:val="004716DE"/>
    <w:rsid w:val="00471F65"/>
    <w:rsid w:val="00472488"/>
    <w:rsid w:val="00472C0D"/>
    <w:rsid w:val="00472D23"/>
    <w:rsid w:val="00472DCD"/>
    <w:rsid w:val="00473381"/>
    <w:rsid w:val="0047401C"/>
    <w:rsid w:val="00475887"/>
    <w:rsid w:val="00476B06"/>
    <w:rsid w:val="004770BB"/>
    <w:rsid w:val="0047791F"/>
    <w:rsid w:val="00477AD9"/>
    <w:rsid w:val="004805AE"/>
    <w:rsid w:val="00480EC5"/>
    <w:rsid w:val="0048160B"/>
    <w:rsid w:val="00481E5B"/>
    <w:rsid w:val="0048266A"/>
    <w:rsid w:val="00482FDC"/>
    <w:rsid w:val="00483846"/>
    <w:rsid w:val="00483F62"/>
    <w:rsid w:val="004840FF"/>
    <w:rsid w:val="00484877"/>
    <w:rsid w:val="00485473"/>
    <w:rsid w:val="00485C52"/>
    <w:rsid w:val="0048607A"/>
    <w:rsid w:val="004860C2"/>
    <w:rsid w:val="004861C3"/>
    <w:rsid w:val="0048654C"/>
    <w:rsid w:val="004865C6"/>
    <w:rsid w:val="004871BC"/>
    <w:rsid w:val="00487902"/>
    <w:rsid w:val="00491062"/>
    <w:rsid w:val="00491250"/>
    <w:rsid w:val="00491CE2"/>
    <w:rsid w:val="0049225A"/>
    <w:rsid w:val="004925D7"/>
    <w:rsid w:val="00492655"/>
    <w:rsid w:val="004928F9"/>
    <w:rsid w:val="004936BA"/>
    <w:rsid w:val="00493AA9"/>
    <w:rsid w:val="00494D05"/>
    <w:rsid w:val="00495962"/>
    <w:rsid w:val="00495B61"/>
    <w:rsid w:val="00496300"/>
    <w:rsid w:val="0049738D"/>
    <w:rsid w:val="00497A37"/>
    <w:rsid w:val="00497CDC"/>
    <w:rsid w:val="00497DE0"/>
    <w:rsid w:val="004A18AC"/>
    <w:rsid w:val="004A1B12"/>
    <w:rsid w:val="004A2990"/>
    <w:rsid w:val="004A2C8E"/>
    <w:rsid w:val="004A30B5"/>
    <w:rsid w:val="004A4023"/>
    <w:rsid w:val="004A448A"/>
    <w:rsid w:val="004A45F3"/>
    <w:rsid w:val="004A4619"/>
    <w:rsid w:val="004A4FDC"/>
    <w:rsid w:val="004A56AA"/>
    <w:rsid w:val="004A5D51"/>
    <w:rsid w:val="004A66B5"/>
    <w:rsid w:val="004A6726"/>
    <w:rsid w:val="004A7691"/>
    <w:rsid w:val="004A7F12"/>
    <w:rsid w:val="004B0480"/>
    <w:rsid w:val="004B1981"/>
    <w:rsid w:val="004B19CE"/>
    <w:rsid w:val="004B1A2C"/>
    <w:rsid w:val="004B1C1A"/>
    <w:rsid w:val="004B1F6F"/>
    <w:rsid w:val="004B21D3"/>
    <w:rsid w:val="004B3806"/>
    <w:rsid w:val="004B38C7"/>
    <w:rsid w:val="004B3EFE"/>
    <w:rsid w:val="004B44A9"/>
    <w:rsid w:val="004B5211"/>
    <w:rsid w:val="004B65EA"/>
    <w:rsid w:val="004B6AC9"/>
    <w:rsid w:val="004B6EC6"/>
    <w:rsid w:val="004B6F79"/>
    <w:rsid w:val="004B7686"/>
    <w:rsid w:val="004C0623"/>
    <w:rsid w:val="004C080E"/>
    <w:rsid w:val="004C1063"/>
    <w:rsid w:val="004C1158"/>
    <w:rsid w:val="004C119D"/>
    <w:rsid w:val="004C137F"/>
    <w:rsid w:val="004C167C"/>
    <w:rsid w:val="004C28F5"/>
    <w:rsid w:val="004C2E4F"/>
    <w:rsid w:val="004C3266"/>
    <w:rsid w:val="004C3FDE"/>
    <w:rsid w:val="004C420D"/>
    <w:rsid w:val="004C42E1"/>
    <w:rsid w:val="004C4408"/>
    <w:rsid w:val="004C4906"/>
    <w:rsid w:val="004C56FB"/>
    <w:rsid w:val="004C5B2F"/>
    <w:rsid w:val="004C5BA3"/>
    <w:rsid w:val="004C5BAA"/>
    <w:rsid w:val="004C6852"/>
    <w:rsid w:val="004C68AB"/>
    <w:rsid w:val="004C6A87"/>
    <w:rsid w:val="004C7C2C"/>
    <w:rsid w:val="004C7C85"/>
    <w:rsid w:val="004D05B8"/>
    <w:rsid w:val="004D0D3F"/>
    <w:rsid w:val="004D0F7A"/>
    <w:rsid w:val="004D1BB5"/>
    <w:rsid w:val="004D28E6"/>
    <w:rsid w:val="004D2B32"/>
    <w:rsid w:val="004D2C4F"/>
    <w:rsid w:val="004D2C9C"/>
    <w:rsid w:val="004D2F7D"/>
    <w:rsid w:val="004D3289"/>
    <w:rsid w:val="004D330C"/>
    <w:rsid w:val="004D4289"/>
    <w:rsid w:val="004D479B"/>
    <w:rsid w:val="004D4DD4"/>
    <w:rsid w:val="004D5097"/>
    <w:rsid w:val="004D5514"/>
    <w:rsid w:val="004D55AD"/>
    <w:rsid w:val="004D6A3F"/>
    <w:rsid w:val="004D6FB4"/>
    <w:rsid w:val="004D704C"/>
    <w:rsid w:val="004D7778"/>
    <w:rsid w:val="004D7DD7"/>
    <w:rsid w:val="004E07DF"/>
    <w:rsid w:val="004E15FD"/>
    <w:rsid w:val="004E18BA"/>
    <w:rsid w:val="004E2428"/>
    <w:rsid w:val="004E2E3E"/>
    <w:rsid w:val="004E2FFF"/>
    <w:rsid w:val="004E31DF"/>
    <w:rsid w:val="004E3926"/>
    <w:rsid w:val="004E3A54"/>
    <w:rsid w:val="004E53F2"/>
    <w:rsid w:val="004E587E"/>
    <w:rsid w:val="004E59F1"/>
    <w:rsid w:val="004E5E01"/>
    <w:rsid w:val="004E6080"/>
    <w:rsid w:val="004E65BA"/>
    <w:rsid w:val="004E679B"/>
    <w:rsid w:val="004E7017"/>
    <w:rsid w:val="004E75DE"/>
    <w:rsid w:val="004E7AFC"/>
    <w:rsid w:val="004F0043"/>
    <w:rsid w:val="004F0F72"/>
    <w:rsid w:val="004F0FDC"/>
    <w:rsid w:val="004F1037"/>
    <w:rsid w:val="004F1E10"/>
    <w:rsid w:val="004F2711"/>
    <w:rsid w:val="004F28EB"/>
    <w:rsid w:val="004F3BD3"/>
    <w:rsid w:val="004F420C"/>
    <w:rsid w:val="004F52ED"/>
    <w:rsid w:val="004F6836"/>
    <w:rsid w:val="004F6FBE"/>
    <w:rsid w:val="004F7670"/>
    <w:rsid w:val="004F7730"/>
    <w:rsid w:val="004F7ADD"/>
    <w:rsid w:val="004F7E71"/>
    <w:rsid w:val="00500357"/>
    <w:rsid w:val="00500FC5"/>
    <w:rsid w:val="0050139B"/>
    <w:rsid w:val="00501938"/>
    <w:rsid w:val="00501F00"/>
    <w:rsid w:val="005026AA"/>
    <w:rsid w:val="005029AE"/>
    <w:rsid w:val="0050344E"/>
    <w:rsid w:val="005034C1"/>
    <w:rsid w:val="005034FC"/>
    <w:rsid w:val="005038D1"/>
    <w:rsid w:val="00503E4F"/>
    <w:rsid w:val="0050403C"/>
    <w:rsid w:val="005049DB"/>
    <w:rsid w:val="00504AB4"/>
    <w:rsid w:val="0050584F"/>
    <w:rsid w:val="00505A1D"/>
    <w:rsid w:val="00506B82"/>
    <w:rsid w:val="00507267"/>
    <w:rsid w:val="005077D2"/>
    <w:rsid w:val="00507DD7"/>
    <w:rsid w:val="005104DF"/>
    <w:rsid w:val="0051069D"/>
    <w:rsid w:val="00511103"/>
    <w:rsid w:val="005113C7"/>
    <w:rsid w:val="00511A7D"/>
    <w:rsid w:val="00511E10"/>
    <w:rsid w:val="00511FA5"/>
    <w:rsid w:val="005128AE"/>
    <w:rsid w:val="00512B7C"/>
    <w:rsid w:val="0051470C"/>
    <w:rsid w:val="00516A85"/>
    <w:rsid w:val="00517065"/>
    <w:rsid w:val="005205EA"/>
    <w:rsid w:val="00521294"/>
    <w:rsid w:val="00521DE2"/>
    <w:rsid w:val="00522C1C"/>
    <w:rsid w:val="00522D47"/>
    <w:rsid w:val="00522DD7"/>
    <w:rsid w:val="00522F0B"/>
    <w:rsid w:val="00523025"/>
    <w:rsid w:val="0052347A"/>
    <w:rsid w:val="00523A96"/>
    <w:rsid w:val="00524154"/>
    <w:rsid w:val="005245F7"/>
    <w:rsid w:val="00525C19"/>
    <w:rsid w:val="00525DE0"/>
    <w:rsid w:val="00525FA1"/>
    <w:rsid w:val="0052613A"/>
    <w:rsid w:val="005277BA"/>
    <w:rsid w:val="00527D3A"/>
    <w:rsid w:val="00527EE4"/>
    <w:rsid w:val="00530B77"/>
    <w:rsid w:val="00531B05"/>
    <w:rsid w:val="00531C20"/>
    <w:rsid w:val="00532363"/>
    <w:rsid w:val="00532941"/>
    <w:rsid w:val="00532E82"/>
    <w:rsid w:val="0053301B"/>
    <w:rsid w:val="0053373B"/>
    <w:rsid w:val="0053431A"/>
    <w:rsid w:val="00534475"/>
    <w:rsid w:val="005347A8"/>
    <w:rsid w:val="005348A9"/>
    <w:rsid w:val="005349C5"/>
    <w:rsid w:val="005366BC"/>
    <w:rsid w:val="00540094"/>
    <w:rsid w:val="0054128C"/>
    <w:rsid w:val="00541595"/>
    <w:rsid w:val="00541948"/>
    <w:rsid w:val="00541C49"/>
    <w:rsid w:val="00541FF2"/>
    <w:rsid w:val="0054323A"/>
    <w:rsid w:val="0054338D"/>
    <w:rsid w:val="00543B6D"/>
    <w:rsid w:val="005443E6"/>
    <w:rsid w:val="0054467F"/>
    <w:rsid w:val="00544BBF"/>
    <w:rsid w:val="00544DFD"/>
    <w:rsid w:val="005457B9"/>
    <w:rsid w:val="0054795B"/>
    <w:rsid w:val="00547FC8"/>
    <w:rsid w:val="0055045C"/>
    <w:rsid w:val="005511B0"/>
    <w:rsid w:val="00551CBE"/>
    <w:rsid w:val="0055270E"/>
    <w:rsid w:val="00552AB9"/>
    <w:rsid w:val="00552D96"/>
    <w:rsid w:val="00552FDC"/>
    <w:rsid w:val="00553409"/>
    <w:rsid w:val="00553A3F"/>
    <w:rsid w:val="00553FFA"/>
    <w:rsid w:val="00554294"/>
    <w:rsid w:val="0055656A"/>
    <w:rsid w:val="00556A3E"/>
    <w:rsid w:val="00557649"/>
    <w:rsid w:val="00557887"/>
    <w:rsid w:val="005601C4"/>
    <w:rsid w:val="00560EED"/>
    <w:rsid w:val="00560F6B"/>
    <w:rsid w:val="00561041"/>
    <w:rsid w:val="00562256"/>
    <w:rsid w:val="0056373D"/>
    <w:rsid w:val="00563D4E"/>
    <w:rsid w:val="00563D6A"/>
    <w:rsid w:val="00564399"/>
    <w:rsid w:val="0056440E"/>
    <w:rsid w:val="00564DE0"/>
    <w:rsid w:val="00564FBC"/>
    <w:rsid w:val="00565E5F"/>
    <w:rsid w:val="00566740"/>
    <w:rsid w:val="00567269"/>
    <w:rsid w:val="0057063B"/>
    <w:rsid w:val="005708EC"/>
    <w:rsid w:val="00570EA6"/>
    <w:rsid w:val="00571ADB"/>
    <w:rsid w:val="00572A82"/>
    <w:rsid w:val="00573D6B"/>
    <w:rsid w:val="0057402A"/>
    <w:rsid w:val="00574877"/>
    <w:rsid w:val="0057546C"/>
    <w:rsid w:val="00576779"/>
    <w:rsid w:val="00576841"/>
    <w:rsid w:val="00576C8C"/>
    <w:rsid w:val="00576D73"/>
    <w:rsid w:val="00576E31"/>
    <w:rsid w:val="00577144"/>
    <w:rsid w:val="00577626"/>
    <w:rsid w:val="0058046E"/>
    <w:rsid w:val="0058049B"/>
    <w:rsid w:val="00580E0C"/>
    <w:rsid w:val="005811D4"/>
    <w:rsid w:val="005815F6"/>
    <w:rsid w:val="0058259C"/>
    <w:rsid w:val="00583692"/>
    <w:rsid w:val="00584231"/>
    <w:rsid w:val="005842A1"/>
    <w:rsid w:val="00584EA3"/>
    <w:rsid w:val="00586DA9"/>
    <w:rsid w:val="00587465"/>
    <w:rsid w:val="0058760A"/>
    <w:rsid w:val="005876D4"/>
    <w:rsid w:val="0058795F"/>
    <w:rsid w:val="00587D23"/>
    <w:rsid w:val="00590408"/>
    <w:rsid w:val="00591C9C"/>
    <w:rsid w:val="005925E7"/>
    <w:rsid w:val="005928F9"/>
    <w:rsid w:val="00593917"/>
    <w:rsid w:val="005939F1"/>
    <w:rsid w:val="00593B1C"/>
    <w:rsid w:val="00593F04"/>
    <w:rsid w:val="00594EBA"/>
    <w:rsid w:val="00595C0B"/>
    <w:rsid w:val="00595D22"/>
    <w:rsid w:val="00595E3A"/>
    <w:rsid w:val="00595E9D"/>
    <w:rsid w:val="00596140"/>
    <w:rsid w:val="00596911"/>
    <w:rsid w:val="0059698E"/>
    <w:rsid w:val="00596FBA"/>
    <w:rsid w:val="005A02D8"/>
    <w:rsid w:val="005A0597"/>
    <w:rsid w:val="005A0790"/>
    <w:rsid w:val="005A0A5C"/>
    <w:rsid w:val="005A0F18"/>
    <w:rsid w:val="005A1A33"/>
    <w:rsid w:val="005A3605"/>
    <w:rsid w:val="005A39B0"/>
    <w:rsid w:val="005A488B"/>
    <w:rsid w:val="005A4B39"/>
    <w:rsid w:val="005A4CFA"/>
    <w:rsid w:val="005A58A0"/>
    <w:rsid w:val="005A5AEC"/>
    <w:rsid w:val="005A5C62"/>
    <w:rsid w:val="005A618A"/>
    <w:rsid w:val="005A6990"/>
    <w:rsid w:val="005A6D31"/>
    <w:rsid w:val="005A71CF"/>
    <w:rsid w:val="005A747C"/>
    <w:rsid w:val="005A7502"/>
    <w:rsid w:val="005A7C80"/>
    <w:rsid w:val="005A7E28"/>
    <w:rsid w:val="005B01B4"/>
    <w:rsid w:val="005B0363"/>
    <w:rsid w:val="005B0C09"/>
    <w:rsid w:val="005B18D3"/>
    <w:rsid w:val="005B2C05"/>
    <w:rsid w:val="005B2C57"/>
    <w:rsid w:val="005B315E"/>
    <w:rsid w:val="005B324C"/>
    <w:rsid w:val="005B37D6"/>
    <w:rsid w:val="005B41E9"/>
    <w:rsid w:val="005B4EA6"/>
    <w:rsid w:val="005B4EDB"/>
    <w:rsid w:val="005B6767"/>
    <w:rsid w:val="005B6F7D"/>
    <w:rsid w:val="005B774E"/>
    <w:rsid w:val="005B7B19"/>
    <w:rsid w:val="005C05C7"/>
    <w:rsid w:val="005C0DB7"/>
    <w:rsid w:val="005C12D8"/>
    <w:rsid w:val="005C197B"/>
    <w:rsid w:val="005C2191"/>
    <w:rsid w:val="005C234C"/>
    <w:rsid w:val="005C32E6"/>
    <w:rsid w:val="005C3D5F"/>
    <w:rsid w:val="005C46E3"/>
    <w:rsid w:val="005C54AE"/>
    <w:rsid w:val="005C58B0"/>
    <w:rsid w:val="005C661F"/>
    <w:rsid w:val="005C663E"/>
    <w:rsid w:val="005C677E"/>
    <w:rsid w:val="005C6782"/>
    <w:rsid w:val="005C7214"/>
    <w:rsid w:val="005C765A"/>
    <w:rsid w:val="005C7AA4"/>
    <w:rsid w:val="005C7C22"/>
    <w:rsid w:val="005D09A4"/>
    <w:rsid w:val="005D16DB"/>
    <w:rsid w:val="005D1A82"/>
    <w:rsid w:val="005D2274"/>
    <w:rsid w:val="005D2400"/>
    <w:rsid w:val="005D266D"/>
    <w:rsid w:val="005D3C08"/>
    <w:rsid w:val="005D3E92"/>
    <w:rsid w:val="005D46BA"/>
    <w:rsid w:val="005D53B5"/>
    <w:rsid w:val="005D5646"/>
    <w:rsid w:val="005D6181"/>
    <w:rsid w:val="005D6633"/>
    <w:rsid w:val="005D66C0"/>
    <w:rsid w:val="005D6786"/>
    <w:rsid w:val="005D787A"/>
    <w:rsid w:val="005D7AE4"/>
    <w:rsid w:val="005E02E5"/>
    <w:rsid w:val="005E03C0"/>
    <w:rsid w:val="005E076E"/>
    <w:rsid w:val="005E1660"/>
    <w:rsid w:val="005E31AE"/>
    <w:rsid w:val="005E38C2"/>
    <w:rsid w:val="005E50B3"/>
    <w:rsid w:val="005E77E7"/>
    <w:rsid w:val="005E7A3E"/>
    <w:rsid w:val="005E7D9E"/>
    <w:rsid w:val="005E7F48"/>
    <w:rsid w:val="005F0F75"/>
    <w:rsid w:val="005F10C2"/>
    <w:rsid w:val="005F17B2"/>
    <w:rsid w:val="005F2257"/>
    <w:rsid w:val="005F261F"/>
    <w:rsid w:val="005F274E"/>
    <w:rsid w:val="005F281A"/>
    <w:rsid w:val="005F3170"/>
    <w:rsid w:val="005F35B9"/>
    <w:rsid w:val="005F3D34"/>
    <w:rsid w:val="005F3D43"/>
    <w:rsid w:val="005F5407"/>
    <w:rsid w:val="005F5955"/>
    <w:rsid w:val="005F606D"/>
    <w:rsid w:val="005F6640"/>
    <w:rsid w:val="005F76D4"/>
    <w:rsid w:val="005F79CD"/>
    <w:rsid w:val="005F7A18"/>
    <w:rsid w:val="005F7D62"/>
    <w:rsid w:val="005F7DF9"/>
    <w:rsid w:val="006002E0"/>
    <w:rsid w:val="0060037C"/>
    <w:rsid w:val="0060050A"/>
    <w:rsid w:val="0060061C"/>
    <w:rsid w:val="00600916"/>
    <w:rsid w:val="00601369"/>
    <w:rsid w:val="00601A88"/>
    <w:rsid w:val="00601FED"/>
    <w:rsid w:val="006027A8"/>
    <w:rsid w:val="0060352F"/>
    <w:rsid w:val="00605039"/>
    <w:rsid w:val="0060563D"/>
    <w:rsid w:val="006060A2"/>
    <w:rsid w:val="0060643B"/>
    <w:rsid w:val="00606528"/>
    <w:rsid w:val="0060660D"/>
    <w:rsid w:val="00610247"/>
    <w:rsid w:val="006119C6"/>
    <w:rsid w:val="00611FC1"/>
    <w:rsid w:val="0061281A"/>
    <w:rsid w:val="00612B57"/>
    <w:rsid w:val="00612BC7"/>
    <w:rsid w:val="00612C21"/>
    <w:rsid w:val="00614295"/>
    <w:rsid w:val="00614F04"/>
    <w:rsid w:val="00616257"/>
    <w:rsid w:val="00616611"/>
    <w:rsid w:val="006171EA"/>
    <w:rsid w:val="006178E9"/>
    <w:rsid w:val="00617B43"/>
    <w:rsid w:val="00617F51"/>
    <w:rsid w:val="00620169"/>
    <w:rsid w:val="00621497"/>
    <w:rsid w:val="00621677"/>
    <w:rsid w:val="00621D63"/>
    <w:rsid w:val="006222A5"/>
    <w:rsid w:val="006222BF"/>
    <w:rsid w:val="00622ED0"/>
    <w:rsid w:val="006231D5"/>
    <w:rsid w:val="00623516"/>
    <w:rsid w:val="0062361C"/>
    <w:rsid w:val="0062388E"/>
    <w:rsid w:val="00623CDF"/>
    <w:rsid w:val="00623E37"/>
    <w:rsid w:val="00625027"/>
    <w:rsid w:val="0062592F"/>
    <w:rsid w:val="00625B44"/>
    <w:rsid w:val="006260CD"/>
    <w:rsid w:val="00626792"/>
    <w:rsid w:val="00626FB7"/>
    <w:rsid w:val="006307DD"/>
    <w:rsid w:val="00631093"/>
    <w:rsid w:val="006312E7"/>
    <w:rsid w:val="00631A01"/>
    <w:rsid w:val="00631D4C"/>
    <w:rsid w:val="00631E14"/>
    <w:rsid w:val="006326EC"/>
    <w:rsid w:val="006327D9"/>
    <w:rsid w:val="00632B7A"/>
    <w:rsid w:val="00632F3D"/>
    <w:rsid w:val="00633138"/>
    <w:rsid w:val="006334E9"/>
    <w:rsid w:val="0063352D"/>
    <w:rsid w:val="00635136"/>
    <w:rsid w:val="006368CB"/>
    <w:rsid w:val="00636DB0"/>
    <w:rsid w:val="0063705C"/>
    <w:rsid w:val="00637DA2"/>
    <w:rsid w:val="006402E1"/>
    <w:rsid w:val="0064052D"/>
    <w:rsid w:val="00641BFF"/>
    <w:rsid w:val="00641E24"/>
    <w:rsid w:val="00642353"/>
    <w:rsid w:val="00642D28"/>
    <w:rsid w:val="00643FBD"/>
    <w:rsid w:val="0064456E"/>
    <w:rsid w:val="00646496"/>
    <w:rsid w:val="0064672E"/>
    <w:rsid w:val="00646A8D"/>
    <w:rsid w:val="006473B6"/>
    <w:rsid w:val="0064785C"/>
    <w:rsid w:val="00650915"/>
    <w:rsid w:val="006512AA"/>
    <w:rsid w:val="00651DD2"/>
    <w:rsid w:val="00652442"/>
    <w:rsid w:val="00652574"/>
    <w:rsid w:val="006530D3"/>
    <w:rsid w:val="00653D04"/>
    <w:rsid w:val="0065461E"/>
    <w:rsid w:val="0065514C"/>
    <w:rsid w:val="0065630A"/>
    <w:rsid w:val="0065748F"/>
    <w:rsid w:val="0065753E"/>
    <w:rsid w:val="00661298"/>
    <w:rsid w:val="00661BF2"/>
    <w:rsid w:val="00661C56"/>
    <w:rsid w:val="00661DBE"/>
    <w:rsid w:val="0066274C"/>
    <w:rsid w:val="00663098"/>
    <w:rsid w:val="00663899"/>
    <w:rsid w:val="006639C9"/>
    <w:rsid w:val="00663A33"/>
    <w:rsid w:val="00664A57"/>
    <w:rsid w:val="006651D5"/>
    <w:rsid w:val="00665A60"/>
    <w:rsid w:val="006660C6"/>
    <w:rsid w:val="00667712"/>
    <w:rsid w:val="00667AAD"/>
    <w:rsid w:val="006715C7"/>
    <w:rsid w:val="0067187C"/>
    <w:rsid w:val="006722D0"/>
    <w:rsid w:val="0067282D"/>
    <w:rsid w:val="00672BB4"/>
    <w:rsid w:val="00672BFA"/>
    <w:rsid w:val="006737E4"/>
    <w:rsid w:val="0067491E"/>
    <w:rsid w:val="006753EE"/>
    <w:rsid w:val="0067561F"/>
    <w:rsid w:val="00676777"/>
    <w:rsid w:val="006770C1"/>
    <w:rsid w:val="0067711B"/>
    <w:rsid w:val="00677601"/>
    <w:rsid w:val="00677B99"/>
    <w:rsid w:val="0068194B"/>
    <w:rsid w:val="00681DD0"/>
    <w:rsid w:val="006822A4"/>
    <w:rsid w:val="00682954"/>
    <w:rsid w:val="00682BFD"/>
    <w:rsid w:val="00682DEC"/>
    <w:rsid w:val="00683A36"/>
    <w:rsid w:val="00684E02"/>
    <w:rsid w:val="006854D2"/>
    <w:rsid w:val="0068563B"/>
    <w:rsid w:val="00685E19"/>
    <w:rsid w:val="00687AFD"/>
    <w:rsid w:val="006905FB"/>
    <w:rsid w:val="0069099A"/>
    <w:rsid w:val="00691602"/>
    <w:rsid w:val="006930C2"/>
    <w:rsid w:val="0069322C"/>
    <w:rsid w:val="00693623"/>
    <w:rsid w:val="006936A5"/>
    <w:rsid w:val="00695360"/>
    <w:rsid w:val="006960B4"/>
    <w:rsid w:val="006963B0"/>
    <w:rsid w:val="0069649A"/>
    <w:rsid w:val="00696A28"/>
    <w:rsid w:val="00697152"/>
    <w:rsid w:val="006A02BD"/>
    <w:rsid w:val="006A0B11"/>
    <w:rsid w:val="006A10A1"/>
    <w:rsid w:val="006A128D"/>
    <w:rsid w:val="006A1FE2"/>
    <w:rsid w:val="006A2115"/>
    <w:rsid w:val="006A263F"/>
    <w:rsid w:val="006A280A"/>
    <w:rsid w:val="006A28B6"/>
    <w:rsid w:val="006A30C6"/>
    <w:rsid w:val="006A31A0"/>
    <w:rsid w:val="006A34FD"/>
    <w:rsid w:val="006A411E"/>
    <w:rsid w:val="006A4792"/>
    <w:rsid w:val="006A4B95"/>
    <w:rsid w:val="006A5205"/>
    <w:rsid w:val="006A5811"/>
    <w:rsid w:val="006A694D"/>
    <w:rsid w:val="006A6FE4"/>
    <w:rsid w:val="006A7B35"/>
    <w:rsid w:val="006B050F"/>
    <w:rsid w:val="006B0796"/>
    <w:rsid w:val="006B14CC"/>
    <w:rsid w:val="006B1BA7"/>
    <w:rsid w:val="006B224A"/>
    <w:rsid w:val="006B282F"/>
    <w:rsid w:val="006B2F5F"/>
    <w:rsid w:val="006B515B"/>
    <w:rsid w:val="006B5277"/>
    <w:rsid w:val="006B5883"/>
    <w:rsid w:val="006B5C68"/>
    <w:rsid w:val="006B638F"/>
    <w:rsid w:val="006B6581"/>
    <w:rsid w:val="006B6C20"/>
    <w:rsid w:val="006C087C"/>
    <w:rsid w:val="006C1BAF"/>
    <w:rsid w:val="006C288F"/>
    <w:rsid w:val="006C2B1E"/>
    <w:rsid w:val="006C2C33"/>
    <w:rsid w:val="006C3607"/>
    <w:rsid w:val="006C3B95"/>
    <w:rsid w:val="006C3C8C"/>
    <w:rsid w:val="006C3CCC"/>
    <w:rsid w:val="006C3F29"/>
    <w:rsid w:val="006C4047"/>
    <w:rsid w:val="006C43C0"/>
    <w:rsid w:val="006C48EF"/>
    <w:rsid w:val="006C5A09"/>
    <w:rsid w:val="006C6056"/>
    <w:rsid w:val="006C6165"/>
    <w:rsid w:val="006C658B"/>
    <w:rsid w:val="006C676E"/>
    <w:rsid w:val="006C714C"/>
    <w:rsid w:val="006C76F1"/>
    <w:rsid w:val="006D01B8"/>
    <w:rsid w:val="006D0615"/>
    <w:rsid w:val="006D0B6B"/>
    <w:rsid w:val="006D1D3D"/>
    <w:rsid w:val="006D2A50"/>
    <w:rsid w:val="006D2CA1"/>
    <w:rsid w:val="006D32D6"/>
    <w:rsid w:val="006D3C6F"/>
    <w:rsid w:val="006D4A3D"/>
    <w:rsid w:val="006D526F"/>
    <w:rsid w:val="006D5E14"/>
    <w:rsid w:val="006D604A"/>
    <w:rsid w:val="006D6A22"/>
    <w:rsid w:val="006D7AA4"/>
    <w:rsid w:val="006D7F03"/>
    <w:rsid w:val="006E0DC8"/>
    <w:rsid w:val="006E1FC6"/>
    <w:rsid w:val="006E224D"/>
    <w:rsid w:val="006E2F94"/>
    <w:rsid w:val="006E4367"/>
    <w:rsid w:val="006E45AD"/>
    <w:rsid w:val="006E4E3B"/>
    <w:rsid w:val="006E4EA7"/>
    <w:rsid w:val="006E533A"/>
    <w:rsid w:val="006E54A0"/>
    <w:rsid w:val="006E5ADD"/>
    <w:rsid w:val="006E65C3"/>
    <w:rsid w:val="006E68DE"/>
    <w:rsid w:val="006E6E13"/>
    <w:rsid w:val="006E748E"/>
    <w:rsid w:val="006F0F12"/>
    <w:rsid w:val="006F1137"/>
    <w:rsid w:val="006F2151"/>
    <w:rsid w:val="006F2A82"/>
    <w:rsid w:val="006F4B28"/>
    <w:rsid w:val="006F5F70"/>
    <w:rsid w:val="006F67BD"/>
    <w:rsid w:val="006F6DB9"/>
    <w:rsid w:val="006F7F9E"/>
    <w:rsid w:val="0070089E"/>
    <w:rsid w:val="007013AA"/>
    <w:rsid w:val="00701CDF"/>
    <w:rsid w:val="00701E14"/>
    <w:rsid w:val="00701FB2"/>
    <w:rsid w:val="00702E33"/>
    <w:rsid w:val="007037A7"/>
    <w:rsid w:val="007039D0"/>
    <w:rsid w:val="00703E56"/>
    <w:rsid w:val="007040F4"/>
    <w:rsid w:val="0070448D"/>
    <w:rsid w:val="00704E92"/>
    <w:rsid w:val="007050CB"/>
    <w:rsid w:val="00705AD8"/>
    <w:rsid w:val="00705E58"/>
    <w:rsid w:val="00705F71"/>
    <w:rsid w:val="00706A1D"/>
    <w:rsid w:val="00706C07"/>
    <w:rsid w:val="007071A8"/>
    <w:rsid w:val="007071FF"/>
    <w:rsid w:val="00707507"/>
    <w:rsid w:val="007102A2"/>
    <w:rsid w:val="007114D7"/>
    <w:rsid w:val="00711794"/>
    <w:rsid w:val="00712CEE"/>
    <w:rsid w:val="0071355D"/>
    <w:rsid w:val="00713D18"/>
    <w:rsid w:val="00713F16"/>
    <w:rsid w:val="007148B7"/>
    <w:rsid w:val="00714A1B"/>
    <w:rsid w:val="00716291"/>
    <w:rsid w:val="007164A7"/>
    <w:rsid w:val="007200D1"/>
    <w:rsid w:val="007205BF"/>
    <w:rsid w:val="00720692"/>
    <w:rsid w:val="0072091F"/>
    <w:rsid w:val="007218FC"/>
    <w:rsid w:val="007219B6"/>
    <w:rsid w:val="00721E9B"/>
    <w:rsid w:val="00722267"/>
    <w:rsid w:val="00722FBD"/>
    <w:rsid w:val="00723737"/>
    <w:rsid w:val="00724483"/>
    <w:rsid w:val="007250FB"/>
    <w:rsid w:val="00725547"/>
    <w:rsid w:val="00725656"/>
    <w:rsid w:val="00725937"/>
    <w:rsid w:val="00725CF1"/>
    <w:rsid w:val="00726213"/>
    <w:rsid w:val="00726A40"/>
    <w:rsid w:val="00726AF6"/>
    <w:rsid w:val="00727524"/>
    <w:rsid w:val="00727712"/>
    <w:rsid w:val="007304B9"/>
    <w:rsid w:val="00730A60"/>
    <w:rsid w:val="0073114F"/>
    <w:rsid w:val="00731D94"/>
    <w:rsid w:val="00733331"/>
    <w:rsid w:val="007335A7"/>
    <w:rsid w:val="00733682"/>
    <w:rsid w:val="00733AAC"/>
    <w:rsid w:val="00733ACE"/>
    <w:rsid w:val="00733B93"/>
    <w:rsid w:val="007354BB"/>
    <w:rsid w:val="0073575C"/>
    <w:rsid w:val="0073638E"/>
    <w:rsid w:val="00736963"/>
    <w:rsid w:val="007369A4"/>
    <w:rsid w:val="007378DF"/>
    <w:rsid w:val="00737F82"/>
    <w:rsid w:val="0074066E"/>
    <w:rsid w:val="00740902"/>
    <w:rsid w:val="00741D1E"/>
    <w:rsid w:val="0074339E"/>
    <w:rsid w:val="00744FBC"/>
    <w:rsid w:val="00745839"/>
    <w:rsid w:val="00745985"/>
    <w:rsid w:val="00746632"/>
    <w:rsid w:val="0074682F"/>
    <w:rsid w:val="0074697C"/>
    <w:rsid w:val="00747D3F"/>
    <w:rsid w:val="00750CE1"/>
    <w:rsid w:val="007514A1"/>
    <w:rsid w:val="0075179B"/>
    <w:rsid w:val="0075197B"/>
    <w:rsid w:val="00752A13"/>
    <w:rsid w:val="00754441"/>
    <w:rsid w:val="00754DA8"/>
    <w:rsid w:val="00755BF8"/>
    <w:rsid w:val="00756810"/>
    <w:rsid w:val="00756DCE"/>
    <w:rsid w:val="0075735E"/>
    <w:rsid w:val="00757FD0"/>
    <w:rsid w:val="00760925"/>
    <w:rsid w:val="0076135B"/>
    <w:rsid w:val="007615FB"/>
    <w:rsid w:val="00761645"/>
    <w:rsid w:val="00762985"/>
    <w:rsid w:val="00762F69"/>
    <w:rsid w:val="007634F2"/>
    <w:rsid w:val="0076443E"/>
    <w:rsid w:val="0076471E"/>
    <w:rsid w:val="00764F30"/>
    <w:rsid w:val="00765D71"/>
    <w:rsid w:val="00766D28"/>
    <w:rsid w:val="00767537"/>
    <w:rsid w:val="00767735"/>
    <w:rsid w:val="00767777"/>
    <w:rsid w:val="007702C7"/>
    <w:rsid w:val="00770883"/>
    <w:rsid w:val="007708B3"/>
    <w:rsid w:val="007709B9"/>
    <w:rsid w:val="00770B83"/>
    <w:rsid w:val="00771315"/>
    <w:rsid w:val="007716F7"/>
    <w:rsid w:val="00771855"/>
    <w:rsid w:val="00771C18"/>
    <w:rsid w:val="00772ED4"/>
    <w:rsid w:val="007731CF"/>
    <w:rsid w:val="007741E4"/>
    <w:rsid w:val="0077432A"/>
    <w:rsid w:val="00774336"/>
    <w:rsid w:val="007745F7"/>
    <w:rsid w:val="0077463F"/>
    <w:rsid w:val="0077628B"/>
    <w:rsid w:val="007767BB"/>
    <w:rsid w:val="00776C08"/>
    <w:rsid w:val="00777BBC"/>
    <w:rsid w:val="00780337"/>
    <w:rsid w:val="0078044F"/>
    <w:rsid w:val="007814CD"/>
    <w:rsid w:val="00781D09"/>
    <w:rsid w:val="007823B1"/>
    <w:rsid w:val="00782AE6"/>
    <w:rsid w:val="007842A5"/>
    <w:rsid w:val="007844EB"/>
    <w:rsid w:val="00784942"/>
    <w:rsid w:val="00785D05"/>
    <w:rsid w:val="00785EA1"/>
    <w:rsid w:val="00785F45"/>
    <w:rsid w:val="00786F66"/>
    <w:rsid w:val="00786FBA"/>
    <w:rsid w:val="00787042"/>
    <w:rsid w:val="00787071"/>
    <w:rsid w:val="00787779"/>
    <w:rsid w:val="00787EAB"/>
    <w:rsid w:val="00790C39"/>
    <w:rsid w:val="00790EBC"/>
    <w:rsid w:val="00790EFC"/>
    <w:rsid w:val="0079159A"/>
    <w:rsid w:val="00793A9D"/>
    <w:rsid w:val="00793CFC"/>
    <w:rsid w:val="00793F06"/>
    <w:rsid w:val="00794F2B"/>
    <w:rsid w:val="00796EAF"/>
    <w:rsid w:val="00797EB7"/>
    <w:rsid w:val="007A0DF3"/>
    <w:rsid w:val="007A25BC"/>
    <w:rsid w:val="007A44C0"/>
    <w:rsid w:val="007A4567"/>
    <w:rsid w:val="007A4BE1"/>
    <w:rsid w:val="007A5407"/>
    <w:rsid w:val="007A555C"/>
    <w:rsid w:val="007B1EDE"/>
    <w:rsid w:val="007B27CC"/>
    <w:rsid w:val="007B28AB"/>
    <w:rsid w:val="007B3341"/>
    <w:rsid w:val="007B3766"/>
    <w:rsid w:val="007B52ED"/>
    <w:rsid w:val="007B5413"/>
    <w:rsid w:val="007B5FA4"/>
    <w:rsid w:val="007B670E"/>
    <w:rsid w:val="007B6799"/>
    <w:rsid w:val="007B6C88"/>
    <w:rsid w:val="007B70CB"/>
    <w:rsid w:val="007B77DB"/>
    <w:rsid w:val="007B7C7B"/>
    <w:rsid w:val="007B7C8D"/>
    <w:rsid w:val="007B7F9E"/>
    <w:rsid w:val="007C0975"/>
    <w:rsid w:val="007C21CA"/>
    <w:rsid w:val="007C28A4"/>
    <w:rsid w:val="007C2AC1"/>
    <w:rsid w:val="007C377C"/>
    <w:rsid w:val="007C3BF6"/>
    <w:rsid w:val="007C4300"/>
    <w:rsid w:val="007C47D8"/>
    <w:rsid w:val="007C47FF"/>
    <w:rsid w:val="007C54D9"/>
    <w:rsid w:val="007C5644"/>
    <w:rsid w:val="007C678A"/>
    <w:rsid w:val="007C7401"/>
    <w:rsid w:val="007C771F"/>
    <w:rsid w:val="007C792B"/>
    <w:rsid w:val="007CDD7C"/>
    <w:rsid w:val="007D0141"/>
    <w:rsid w:val="007D035C"/>
    <w:rsid w:val="007D1116"/>
    <w:rsid w:val="007D18A0"/>
    <w:rsid w:val="007D20CC"/>
    <w:rsid w:val="007D34BD"/>
    <w:rsid w:val="007D35A8"/>
    <w:rsid w:val="007D364B"/>
    <w:rsid w:val="007D3890"/>
    <w:rsid w:val="007D40A4"/>
    <w:rsid w:val="007D42D0"/>
    <w:rsid w:val="007D4575"/>
    <w:rsid w:val="007D482B"/>
    <w:rsid w:val="007D5291"/>
    <w:rsid w:val="007D63FF"/>
    <w:rsid w:val="007D655A"/>
    <w:rsid w:val="007D7FC4"/>
    <w:rsid w:val="007E02DB"/>
    <w:rsid w:val="007E03D7"/>
    <w:rsid w:val="007E08E3"/>
    <w:rsid w:val="007E0C55"/>
    <w:rsid w:val="007E14CC"/>
    <w:rsid w:val="007E176A"/>
    <w:rsid w:val="007E1C17"/>
    <w:rsid w:val="007E3076"/>
    <w:rsid w:val="007E3E6A"/>
    <w:rsid w:val="007E7A00"/>
    <w:rsid w:val="007F01D3"/>
    <w:rsid w:val="007F04EF"/>
    <w:rsid w:val="007F0685"/>
    <w:rsid w:val="007F0A38"/>
    <w:rsid w:val="007F1783"/>
    <w:rsid w:val="007F1A41"/>
    <w:rsid w:val="007F2344"/>
    <w:rsid w:val="007F3C49"/>
    <w:rsid w:val="007F427E"/>
    <w:rsid w:val="007F4A14"/>
    <w:rsid w:val="007F4D1B"/>
    <w:rsid w:val="007F5F90"/>
    <w:rsid w:val="007F6B21"/>
    <w:rsid w:val="007F6CBE"/>
    <w:rsid w:val="007F7453"/>
    <w:rsid w:val="00800483"/>
    <w:rsid w:val="00800652"/>
    <w:rsid w:val="00801B8F"/>
    <w:rsid w:val="00801D1E"/>
    <w:rsid w:val="0080235D"/>
    <w:rsid w:val="00802D33"/>
    <w:rsid w:val="00803C3B"/>
    <w:rsid w:val="00803C4D"/>
    <w:rsid w:val="0080409D"/>
    <w:rsid w:val="0080411A"/>
    <w:rsid w:val="0080494B"/>
    <w:rsid w:val="00805424"/>
    <w:rsid w:val="00805771"/>
    <w:rsid w:val="00805A7A"/>
    <w:rsid w:val="00806257"/>
    <w:rsid w:val="008065E9"/>
    <w:rsid w:val="0081010D"/>
    <w:rsid w:val="0081045C"/>
    <w:rsid w:val="00811332"/>
    <w:rsid w:val="00811A40"/>
    <w:rsid w:val="00812547"/>
    <w:rsid w:val="008135C5"/>
    <w:rsid w:val="00813BE9"/>
    <w:rsid w:val="00814B7C"/>
    <w:rsid w:val="0081578C"/>
    <w:rsid w:val="00816666"/>
    <w:rsid w:val="00816A0F"/>
    <w:rsid w:val="00817BBB"/>
    <w:rsid w:val="00820595"/>
    <w:rsid w:val="008207A9"/>
    <w:rsid w:val="00820ACA"/>
    <w:rsid w:val="00822BE7"/>
    <w:rsid w:val="00822F48"/>
    <w:rsid w:val="0082344E"/>
    <w:rsid w:val="008236FC"/>
    <w:rsid w:val="00823B08"/>
    <w:rsid w:val="008240D6"/>
    <w:rsid w:val="00824662"/>
    <w:rsid w:val="008253EC"/>
    <w:rsid w:val="00825FBD"/>
    <w:rsid w:val="0082616A"/>
    <w:rsid w:val="008264E1"/>
    <w:rsid w:val="008267D1"/>
    <w:rsid w:val="00826A56"/>
    <w:rsid w:val="00826DCA"/>
    <w:rsid w:val="00826FF3"/>
    <w:rsid w:val="00827164"/>
    <w:rsid w:val="008272DE"/>
    <w:rsid w:val="00827E20"/>
    <w:rsid w:val="00830235"/>
    <w:rsid w:val="008308FA"/>
    <w:rsid w:val="00830E64"/>
    <w:rsid w:val="00830F83"/>
    <w:rsid w:val="00831B8A"/>
    <w:rsid w:val="00832F1E"/>
    <w:rsid w:val="008330E1"/>
    <w:rsid w:val="00835142"/>
    <w:rsid w:val="00835A47"/>
    <w:rsid w:val="00836175"/>
    <w:rsid w:val="00836597"/>
    <w:rsid w:val="00837AD3"/>
    <w:rsid w:val="00840BB9"/>
    <w:rsid w:val="008414E0"/>
    <w:rsid w:val="00841C0D"/>
    <w:rsid w:val="008427B1"/>
    <w:rsid w:val="0084296D"/>
    <w:rsid w:val="00844D9F"/>
    <w:rsid w:val="00846248"/>
    <w:rsid w:val="00846C98"/>
    <w:rsid w:val="00847043"/>
    <w:rsid w:val="00850218"/>
    <w:rsid w:val="00850780"/>
    <w:rsid w:val="00850987"/>
    <w:rsid w:val="0085188F"/>
    <w:rsid w:val="00851F4D"/>
    <w:rsid w:val="008521E1"/>
    <w:rsid w:val="00852244"/>
    <w:rsid w:val="0085291C"/>
    <w:rsid w:val="00853AF4"/>
    <w:rsid w:val="00854823"/>
    <w:rsid w:val="00855690"/>
    <w:rsid w:val="00855802"/>
    <w:rsid w:val="00856851"/>
    <w:rsid w:val="00856D33"/>
    <w:rsid w:val="00857D46"/>
    <w:rsid w:val="00860A96"/>
    <w:rsid w:val="0086163F"/>
    <w:rsid w:val="00861713"/>
    <w:rsid w:val="00861959"/>
    <w:rsid w:val="00862D38"/>
    <w:rsid w:val="0086369B"/>
    <w:rsid w:val="00864678"/>
    <w:rsid w:val="00866A39"/>
    <w:rsid w:val="008670C8"/>
    <w:rsid w:val="00867B36"/>
    <w:rsid w:val="008710AB"/>
    <w:rsid w:val="008712AC"/>
    <w:rsid w:val="00871D90"/>
    <w:rsid w:val="00871F19"/>
    <w:rsid w:val="00872631"/>
    <w:rsid w:val="0087264C"/>
    <w:rsid w:val="00873F3C"/>
    <w:rsid w:val="00873FD0"/>
    <w:rsid w:val="00874ADD"/>
    <w:rsid w:val="00874FA2"/>
    <w:rsid w:val="00875542"/>
    <w:rsid w:val="008757CF"/>
    <w:rsid w:val="00875B72"/>
    <w:rsid w:val="00875C26"/>
    <w:rsid w:val="00875D82"/>
    <w:rsid w:val="008768A9"/>
    <w:rsid w:val="00877708"/>
    <w:rsid w:val="00877F28"/>
    <w:rsid w:val="008805F1"/>
    <w:rsid w:val="00880BF8"/>
    <w:rsid w:val="00882289"/>
    <w:rsid w:val="00882796"/>
    <w:rsid w:val="008828A6"/>
    <w:rsid w:val="00882CFA"/>
    <w:rsid w:val="008837DB"/>
    <w:rsid w:val="0088391E"/>
    <w:rsid w:val="008845FD"/>
    <w:rsid w:val="00885950"/>
    <w:rsid w:val="00885A54"/>
    <w:rsid w:val="00885A63"/>
    <w:rsid w:val="0088728C"/>
    <w:rsid w:val="00892A39"/>
    <w:rsid w:val="00892D42"/>
    <w:rsid w:val="00893795"/>
    <w:rsid w:val="008943E4"/>
    <w:rsid w:val="00894E02"/>
    <w:rsid w:val="0089502A"/>
    <w:rsid w:val="008957B0"/>
    <w:rsid w:val="00896231"/>
    <w:rsid w:val="008969DD"/>
    <w:rsid w:val="00897937"/>
    <w:rsid w:val="00897D52"/>
    <w:rsid w:val="008A02A8"/>
    <w:rsid w:val="008A0F12"/>
    <w:rsid w:val="008A13FF"/>
    <w:rsid w:val="008A1843"/>
    <w:rsid w:val="008A18D9"/>
    <w:rsid w:val="008A21B2"/>
    <w:rsid w:val="008A2583"/>
    <w:rsid w:val="008A25CB"/>
    <w:rsid w:val="008A3690"/>
    <w:rsid w:val="008A39C1"/>
    <w:rsid w:val="008A3B94"/>
    <w:rsid w:val="008A4EC9"/>
    <w:rsid w:val="008A5D31"/>
    <w:rsid w:val="008A5E5B"/>
    <w:rsid w:val="008A6533"/>
    <w:rsid w:val="008B00EE"/>
    <w:rsid w:val="008B0153"/>
    <w:rsid w:val="008B0C40"/>
    <w:rsid w:val="008B1CD4"/>
    <w:rsid w:val="008B237B"/>
    <w:rsid w:val="008B26E8"/>
    <w:rsid w:val="008B28A8"/>
    <w:rsid w:val="008B4015"/>
    <w:rsid w:val="008B4372"/>
    <w:rsid w:val="008B4C29"/>
    <w:rsid w:val="008B4F66"/>
    <w:rsid w:val="008B53AB"/>
    <w:rsid w:val="008B5604"/>
    <w:rsid w:val="008B59A3"/>
    <w:rsid w:val="008B6B50"/>
    <w:rsid w:val="008B6B62"/>
    <w:rsid w:val="008B787E"/>
    <w:rsid w:val="008B7D90"/>
    <w:rsid w:val="008C0099"/>
    <w:rsid w:val="008C00E1"/>
    <w:rsid w:val="008C0243"/>
    <w:rsid w:val="008C1659"/>
    <w:rsid w:val="008C189B"/>
    <w:rsid w:val="008C1924"/>
    <w:rsid w:val="008C1BC3"/>
    <w:rsid w:val="008C1DB5"/>
    <w:rsid w:val="008C4ACB"/>
    <w:rsid w:val="008C4DB7"/>
    <w:rsid w:val="008C52CF"/>
    <w:rsid w:val="008C5ACC"/>
    <w:rsid w:val="008C697C"/>
    <w:rsid w:val="008C785D"/>
    <w:rsid w:val="008C787F"/>
    <w:rsid w:val="008D00A2"/>
    <w:rsid w:val="008D0639"/>
    <w:rsid w:val="008D0EA0"/>
    <w:rsid w:val="008D176B"/>
    <w:rsid w:val="008D1BAC"/>
    <w:rsid w:val="008D20A5"/>
    <w:rsid w:val="008D232B"/>
    <w:rsid w:val="008D30A2"/>
    <w:rsid w:val="008D31BC"/>
    <w:rsid w:val="008D36BF"/>
    <w:rsid w:val="008D3A7C"/>
    <w:rsid w:val="008D3CF9"/>
    <w:rsid w:val="008D4A30"/>
    <w:rsid w:val="008D66FB"/>
    <w:rsid w:val="008D7046"/>
    <w:rsid w:val="008D7852"/>
    <w:rsid w:val="008D7C6E"/>
    <w:rsid w:val="008E0197"/>
    <w:rsid w:val="008E05E5"/>
    <w:rsid w:val="008E06F8"/>
    <w:rsid w:val="008E0F4E"/>
    <w:rsid w:val="008E1094"/>
    <w:rsid w:val="008E154E"/>
    <w:rsid w:val="008E25D8"/>
    <w:rsid w:val="008E4560"/>
    <w:rsid w:val="008E468F"/>
    <w:rsid w:val="008E6B52"/>
    <w:rsid w:val="008E72D3"/>
    <w:rsid w:val="008F056D"/>
    <w:rsid w:val="008F1175"/>
    <w:rsid w:val="008F1BC4"/>
    <w:rsid w:val="008F48F8"/>
    <w:rsid w:val="008F53C7"/>
    <w:rsid w:val="008F60AD"/>
    <w:rsid w:val="008F653D"/>
    <w:rsid w:val="008F6833"/>
    <w:rsid w:val="008F7050"/>
    <w:rsid w:val="008F713E"/>
    <w:rsid w:val="008F7260"/>
    <w:rsid w:val="00900708"/>
    <w:rsid w:val="009024DD"/>
    <w:rsid w:val="00902CB3"/>
    <w:rsid w:val="00903329"/>
    <w:rsid w:val="00903CEF"/>
    <w:rsid w:val="0090424E"/>
    <w:rsid w:val="00904405"/>
    <w:rsid w:val="009045F2"/>
    <w:rsid w:val="009058C5"/>
    <w:rsid w:val="0090621F"/>
    <w:rsid w:val="00906355"/>
    <w:rsid w:val="0090647D"/>
    <w:rsid w:val="00907ADD"/>
    <w:rsid w:val="00910081"/>
    <w:rsid w:val="0091088A"/>
    <w:rsid w:val="00910F05"/>
    <w:rsid w:val="009119CF"/>
    <w:rsid w:val="00911A75"/>
    <w:rsid w:val="00911D08"/>
    <w:rsid w:val="00912359"/>
    <w:rsid w:val="00912DF7"/>
    <w:rsid w:val="00912EF2"/>
    <w:rsid w:val="00913077"/>
    <w:rsid w:val="0091347F"/>
    <w:rsid w:val="00913CA9"/>
    <w:rsid w:val="00913CC7"/>
    <w:rsid w:val="009140BD"/>
    <w:rsid w:val="00914A9E"/>
    <w:rsid w:val="00914D1C"/>
    <w:rsid w:val="00915781"/>
    <w:rsid w:val="009164C9"/>
    <w:rsid w:val="00916833"/>
    <w:rsid w:val="00917386"/>
    <w:rsid w:val="00917459"/>
    <w:rsid w:val="00917551"/>
    <w:rsid w:val="009208C9"/>
    <w:rsid w:val="00920921"/>
    <w:rsid w:val="009216A3"/>
    <w:rsid w:val="009218AA"/>
    <w:rsid w:val="00922220"/>
    <w:rsid w:val="00923114"/>
    <w:rsid w:val="00923A27"/>
    <w:rsid w:val="00923C55"/>
    <w:rsid w:val="00924002"/>
    <w:rsid w:val="009240D2"/>
    <w:rsid w:val="009240FC"/>
    <w:rsid w:val="00924264"/>
    <w:rsid w:val="009257F2"/>
    <w:rsid w:val="009267D9"/>
    <w:rsid w:val="0092684B"/>
    <w:rsid w:val="00930745"/>
    <w:rsid w:val="0093083A"/>
    <w:rsid w:val="00930972"/>
    <w:rsid w:val="00931468"/>
    <w:rsid w:val="009315EF"/>
    <w:rsid w:val="009315F0"/>
    <w:rsid w:val="00931907"/>
    <w:rsid w:val="00931E7A"/>
    <w:rsid w:val="0093206A"/>
    <w:rsid w:val="009325BB"/>
    <w:rsid w:val="00932EE1"/>
    <w:rsid w:val="009332FD"/>
    <w:rsid w:val="00934300"/>
    <w:rsid w:val="00934848"/>
    <w:rsid w:val="009348B6"/>
    <w:rsid w:val="00934955"/>
    <w:rsid w:val="00934EBA"/>
    <w:rsid w:val="0093532C"/>
    <w:rsid w:val="00935375"/>
    <w:rsid w:val="00936D8C"/>
    <w:rsid w:val="009373FB"/>
    <w:rsid w:val="00940072"/>
    <w:rsid w:val="009403ED"/>
    <w:rsid w:val="00940B92"/>
    <w:rsid w:val="009412BA"/>
    <w:rsid w:val="0094143D"/>
    <w:rsid w:val="009420E6"/>
    <w:rsid w:val="0094238B"/>
    <w:rsid w:val="00943276"/>
    <w:rsid w:val="009444DC"/>
    <w:rsid w:val="00944B6A"/>
    <w:rsid w:val="00944DB5"/>
    <w:rsid w:val="00945E75"/>
    <w:rsid w:val="0094613F"/>
    <w:rsid w:val="00946293"/>
    <w:rsid w:val="00946E00"/>
    <w:rsid w:val="00947193"/>
    <w:rsid w:val="00947386"/>
    <w:rsid w:val="00947676"/>
    <w:rsid w:val="00947E93"/>
    <w:rsid w:val="0095059D"/>
    <w:rsid w:val="00950AE4"/>
    <w:rsid w:val="0095110E"/>
    <w:rsid w:val="00951E45"/>
    <w:rsid w:val="00951F1D"/>
    <w:rsid w:val="00953113"/>
    <w:rsid w:val="0095363B"/>
    <w:rsid w:val="00954ACF"/>
    <w:rsid w:val="009552BB"/>
    <w:rsid w:val="0095537A"/>
    <w:rsid w:val="009557A6"/>
    <w:rsid w:val="00955D96"/>
    <w:rsid w:val="00955E74"/>
    <w:rsid w:val="009560BA"/>
    <w:rsid w:val="00956309"/>
    <w:rsid w:val="00956327"/>
    <w:rsid w:val="009570EE"/>
    <w:rsid w:val="00957488"/>
    <w:rsid w:val="00957CF4"/>
    <w:rsid w:val="0096028A"/>
    <w:rsid w:val="00960294"/>
    <w:rsid w:val="009604C5"/>
    <w:rsid w:val="009607BF"/>
    <w:rsid w:val="00961B65"/>
    <w:rsid w:val="00962AE4"/>
    <w:rsid w:val="00962C13"/>
    <w:rsid w:val="00963D76"/>
    <w:rsid w:val="00963E53"/>
    <w:rsid w:val="009644B9"/>
    <w:rsid w:val="009647AE"/>
    <w:rsid w:val="00964F62"/>
    <w:rsid w:val="009652A2"/>
    <w:rsid w:val="00965DEB"/>
    <w:rsid w:val="00967063"/>
    <w:rsid w:val="009671DC"/>
    <w:rsid w:val="009712B7"/>
    <w:rsid w:val="009717E6"/>
    <w:rsid w:val="00971A26"/>
    <w:rsid w:val="00971A6F"/>
    <w:rsid w:val="0097264E"/>
    <w:rsid w:val="00972D56"/>
    <w:rsid w:val="00972DC8"/>
    <w:rsid w:val="009731FB"/>
    <w:rsid w:val="00974735"/>
    <w:rsid w:val="009755EA"/>
    <w:rsid w:val="0097742F"/>
    <w:rsid w:val="009801C1"/>
    <w:rsid w:val="0098071B"/>
    <w:rsid w:val="00980D40"/>
    <w:rsid w:val="00982121"/>
    <w:rsid w:val="009829B0"/>
    <w:rsid w:val="009835DE"/>
    <w:rsid w:val="00983F1F"/>
    <w:rsid w:val="009841B6"/>
    <w:rsid w:val="00984202"/>
    <w:rsid w:val="009847EF"/>
    <w:rsid w:val="00984EE3"/>
    <w:rsid w:val="00986114"/>
    <w:rsid w:val="00986B98"/>
    <w:rsid w:val="00987CB7"/>
    <w:rsid w:val="0099133B"/>
    <w:rsid w:val="0099146C"/>
    <w:rsid w:val="00991788"/>
    <w:rsid w:val="00991B0F"/>
    <w:rsid w:val="0099264F"/>
    <w:rsid w:val="009928D1"/>
    <w:rsid w:val="00992AC9"/>
    <w:rsid w:val="00992DD5"/>
    <w:rsid w:val="00992FB6"/>
    <w:rsid w:val="00993223"/>
    <w:rsid w:val="00993783"/>
    <w:rsid w:val="00993CCF"/>
    <w:rsid w:val="0099478A"/>
    <w:rsid w:val="009959D0"/>
    <w:rsid w:val="00995A21"/>
    <w:rsid w:val="00996986"/>
    <w:rsid w:val="0099732A"/>
    <w:rsid w:val="0099764C"/>
    <w:rsid w:val="00997708"/>
    <w:rsid w:val="0099792C"/>
    <w:rsid w:val="009979BE"/>
    <w:rsid w:val="009A0616"/>
    <w:rsid w:val="009A06F9"/>
    <w:rsid w:val="009A097D"/>
    <w:rsid w:val="009A0F9D"/>
    <w:rsid w:val="009A13D1"/>
    <w:rsid w:val="009A17B5"/>
    <w:rsid w:val="009A2B15"/>
    <w:rsid w:val="009A2F67"/>
    <w:rsid w:val="009A42D4"/>
    <w:rsid w:val="009A4B92"/>
    <w:rsid w:val="009A537E"/>
    <w:rsid w:val="009A5545"/>
    <w:rsid w:val="009A6004"/>
    <w:rsid w:val="009A6464"/>
    <w:rsid w:val="009A64F5"/>
    <w:rsid w:val="009A6D93"/>
    <w:rsid w:val="009A7074"/>
    <w:rsid w:val="009A76B9"/>
    <w:rsid w:val="009A77FB"/>
    <w:rsid w:val="009B037D"/>
    <w:rsid w:val="009B0F1C"/>
    <w:rsid w:val="009B1037"/>
    <w:rsid w:val="009B1745"/>
    <w:rsid w:val="009B1793"/>
    <w:rsid w:val="009B2548"/>
    <w:rsid w:val="009B2B9D"/>
    <w:rsid w:val="009B2E85"/>
    <w:rsid w:val="009B35B3"/>
    <w:rsid w:val="009B3859"/>
    <w:rsid w:val="009B389E"/>
    <w:rsid w:val="009B3AB3"/>
    <w:rsid w:val="009B3E8C"/>
    <w:rsid w:val="009B3FB1"/>
    <w:rsid w:val="009B4A0A"/>
    <w:rsid w:val="009B6680"/>
    <w:rsid w:val="009B6AE5"/>
    <w:rsid w:val="009B7AA2"/>
    <w:rsid w:val="009B7BD3"/>
    <w:rsid w:val="009C0292"/>
    <w:rsid w:val="009C02EE"/>
    <w:rsid w:val="009C0B1F"/>
    <w:rsid w:val="009C15FB"/>
    <w:rsid w:val="009C252E"/>
    <w:rsid w:val="009C2F66"/>
    <w:rsid w:val="009C337C"/>
    <w:rsid w:val="009C3E87"/>
    <w:rsid w:val="009C4FA4"/>
    <w:rsid w:val="009C5ABC"/>
    <w:rsid w:val="009C64D1"/>
    <w:rsid w:val="009C6C86"/>
    <w:rsid w:val="009C706E"/>
    <w:rsid w:val="009C74C5"/>
    <w:rsid w:val="009C76B5"/>
    <w:rsid w:val="009C77B2"/>
    <w:rsid w:val="009D1CE4"/>
    <w:rsid w:val="009D1CEE"/>
    <w:rsid w:val="009D1D37"/>
    <w:rsid w:val="009D2125"/>
    <w:rsid w:val="009D2711"/>
    <w:rsid w:val="009D3716"/>
    <w:rsid w:val="009D490E"/>
    <w:rsid w:val="009D4B70"/>
    <w:rsid w:val="009D4C71"/>
    <w:rsid w:val="009D6BC3"/>
    <w:rsid w:val="009D77EE"/>
    <w:rsid w:val="009D7D49"/>
    <w:rsid w:val="009E031E"/>
    <w:rsid w:val="009E0A21"/>
    <w:rsid w:val="009E1E47"/>
    <w:rsid w:val="009E277B"/>
    <w:rsid w:val="009E3BFC"/>
    <w:rsid w:val="009E480C"/>
    <w:rsid w:val="009E49E7"/>
    <w:rsid w:val="009E587D"/>
    <w:rsid w:val="009E643A"/>
    <w:rsid w:val="009E6B21"/>
    <w:rsid w:val="009E7236"/>
    <w:rsid w:val="009F075C"/>
    <w:rsid w:val="009F283A"/>
    <w:rsid w:val="009F3BF9"/>
    <w:rsid w:val="009F3D88"/>
    <w:rsid w:val="009F51AD"/>
    <w:rsid w:val="009F53B0"/>
    <w:rsid w:val="009F5640"/>
    <w:rsid w:val="009F5FE8"/>
    <w:rsid w:val="009F6239"/>
    <w:rsid w:val="009F6423"/>
    <w:rsid w:val="009F66E3"/>
    <w:rsid w:val="009F69DF"/>
    <w:rsid w:val="009F74DC"/>
    <w:rsid w:val="009F757F"/>
    <w:rsid w:val="009F77CE"/>
    <w:rsid w:val="009F7B64"/>
    <w:rsid w:val="00A0000A"/>
    <w:rsid w:val="00A00377"/>
    <w:rsid w:val="00A008CE"/>
    <w:rsid w:val="00A01C51"/>
    <w:rsid w:val="00A01EE3"/>
    <w:rsid w:val="00A02004"/>
    <w:rsid w:val="00A029B3"/>
    <w:rsid w:val="00A03834"/>
    <w:rsid w:val="00A0384B"/>
    <w:rsid w:val="00A03FD6"/>
    <w:rsid w:val="00A0595D"/>
    <w:rsid w:val="00A05AA5"/>
    <w:rsid w:val="00A05DF6"/>
    <w:rsid w:val="00A0610B"/>
    <w:rsid w:val="00A06457"/>
    <w:rsid w:val="00A064C0"/>
    <w:rsid w:val="00A06564"/>
    <w:rsid w:val="00A065DC"/>
    <w:rsid w:val="00A066D3"/>
    <w:rsid w:val="00A06736"/>
    <w:rsid w:val="00A07496"/>
    <w:rsid w:val="00A07639"/>
    <w:rsid w:val="00A1012F"/>
    <w:rsid w:val="00A123E5"/>
    <w:rsid w:val="00A124CD"/>
    <w:rsid w:val="00A1340D"/>
    <w:rsid w:val="00A13603"/>
    <w:rsid w:val="00A14228"/>
    <w:rsid w:val="00A149E1"/>
    <w:rsid w:val="00A14C26"/>
    <w:rsid w:val="00A150A9"/>
    <w:rsid w:val="00A15ED9"/>
    <w:rsid w:val="00A16BAB"/>
    <w:rsid w:val="00A16BBD"/>
    <w:rsid w:val="00A17295"/>
    <w:rsid w:val="00A17460"/>
    <w:rsid w:val="00A17A24"/>
    <w:rsid w:val="00A211AE"/>
    <w:rsid w:val="00A21504"/>
    <w:rsid w:val="00A21BF0"/>
    <w:rsid w:val="00A21CC7"/>
    <w:rsid w:val="00A22780"/>
    <w:rsid w:val="00A2291D"/>
    <w:rsid w:val="00A23656"/>
    <w:rsid w:val="00A2388B"/>
    <w:rsid w:val="00A23EF9"/>
    <w:rsid w:val="00A241EC"/>
    <w:rsid w:val="00A24BE2"/>
    <w:rsid w:val="00A25065"/>
    <w:rsid w:val="00A25D08"/>
    <w:rsid w:val="00A25DEC"/>
    <w:rsid w:val="00A271CE"/>
    <w:rsid w:val="00A2791B"/>
    <w:rsid w:val="00A27CC3"/>
    <w:rsid w:val="00A300FC"/>
    <w:rsid w:val="00A30D5C"/>
    <w:rsid w:val="00A317CC"/>
    <w:rsid w:val="00A31A53"/>
    <w:rsid w:val="00A32D7B"/>
    <w:rsid w:val="00A33278"/>
    <w:rsid w:val="00A34469"/>
    <w:rsid w:val="00A34785"/>
    <w:rsid w:val="00A34AB8"/>
    <w:rsid w:val="00A35EF5"/>
    <w:rsid w:val="00A37594"/>
    <w:rsid w:val="00A375A8"/>
    <w:rsid w:val="00A37855"/>
    <w:rsid w:val="00A37B2D"/>
    <w:rsid w:val="00A37DC8"/>
    <w:rsid w:val="00A37E3F"/>
    <w:rsid w:val="00A400ED"/>
    <w:rsid w:val="00A405F7"/>
    <w:rsid w:val="00A4064E"/>
    <w:rsid w:val="00A414E2"/>
    <w:rsid w:val="00A4162D"/>
    <w:rsid w:val="00A41A8F"/>
    <w:rsid w:val="00A421D6"/>
    <w:rsid w:val="00A42C15"/>
    <w:rsid w:val="00A43A96"/>
    <w:rsid w:val="00A440A6"/>
    <w:rsid w:val="00A44146"/>
    <w:rsid w:val="00A4425F"/>
    <w:rsid w:val="00A44AAF"/>
    <w:rsid w:val="00A45246"/>
    <w:rsid w:val="00A45313"/>
    <w:rsid w:val="00A4554A"/>
    <w:rsid w:val="00A45DA7"/>
    <w:rsid w:val="00A46919"/>
    <w:rsid w:val="00A46AB4"/>
    <w:rsid w:val="00A46CBE"/>
    <w:rsid w:val="00A47F80"/>
    <w:rsid w:val="00A506DA"/>
    <w:rsid w:val="00A50977"/>
    <w:rsid w:val="00A511DD"/>
    <w:rsid w:val="00A51248"/>
    <w:rsid w:val="00A5127A"/>
    <w:rsid w:val="00A51293"/>
    <w:rsid w:val="00A514B8"/>
    <w:rsid w:val="00A51943"/>
    <w:rsid w:val="00A52893"/>
    <w:rsid w:val="00A52A54"/>
    <w:rsid w:val="00A532B2"/>
    <w:rsid w:val="00A534AF"/>
    <w:rsid w:val="00A53A17"/>
    <w:rsid w:val="00A546E3"/>
    <w:rsid w:val="00A55800"/>
    <w:rsid w:val="00A56531"/>
    <w:rsid w:val="00A56D44"/>
    <w:rsid w:val="00A57A9C"/>
    <w:rsid w:val="00A60B19"/>
    <w:rsid w:val="00A617A3"/>
    <w:rsid w:val="00A620B2"/>
    <w:rsid w:val="00A6218D"/>
    <w:rsid w:val="00A629F1"/>
    <w:rsid w:val="00A62E8E"/>
    <w:rsid w:val="00A63981"/>
    <w:rsid w:val="00A64F55"/>
    <w:rsid w:val="00A6559E"/>
    <w:rsid w:val="00A65691"/>
    <w:rsid w:val="00A664C2"/>
    <w:rsid w:val="00A6662B"/>
    <w:rsid w:val="00A66CD5"/>
    <w:rsid w:val="00A66D22"/>
    <w:rsid w:val="00A67B69"/>
    <w:rsid w:val="00A70115"/>
    <w:rsid w:val="00A70581"/>
    <w:rsid w:val="00A70B74"/>
    <w:rsid w:val="00A70BAB"/>
    <w:rsid w:val="00A70E4F"/>
    <w:rsid w:val="00A71697"/>
    <w:rsid w:val="00A71811"/>
    <w:rsid w:val="00A71E18"/>
    <w:rsid w:val="00A72EAD"/>
    <w:rsid w:val="00A73DD6"/>
    <w:rsid w:val="00A74091"/>
    <w:rsid w:val="00A7424F"/>
    <w:rsid w:val="00A74486"/>
    <w:rsid w:val="00A74564"/>
    <w:rsid w:val="00A747E7"/>
    <w:rsid w:val="00A74CF7"/>
    <w:rsid w:val="00A75A3D"/>
    <w:rsid w:val="00A75F81"/>
    <w:rsid w:val="00A764AE"/>
    <w:rsid w:val="00A76916"/>
    <w:rsid w:val="00A7693B"/>
    <w:rsid w:val="00A772FC"/>
    <w:rsid w:val="00A77322"/>
    <w:rsid w:val="00A77702"/>
    <w:rsid w:val="00A80138"/>
    <w:rsid w:val="00A807C8"/>
    <w:rsid w:val="00A80865"/>
    <w:rsid w:val="00A80A84"/>
    <w:rsid w:val="00A80E1D"/>
    <w:rsid w:val="00A812B8"/>
    <w:rsid w:val="00A81ABC"/>
    <w:rsid w:val="00A82015"/>
    <w:rsid w:val="00A82B9A"/>
    <w:rsid w:val="00A84750"/>
    <w:rsid w:val="00A849AB"/>
    <w:rsid w:val="00A85AC3"/>
    <w:rsid w:val="00A85C42"/>
    <w:rsid w:val="00A868E8"/>
    <w:rsid w:val="00A87455"/>
    <w:rsid w:val="00A874E8"/>
    <w:rsid w:val="00A90026"/>
    <w:rsid w:val="00A9196C"/>
    <w:rsid w:val="00A91976"/>
    <w:rsid w:val="00A91AC5"/>
    <w:rsid w:val="00A922A5"/>
    <w:rsid w:val="00A9278D"/>
    <w:rsid w:val="00A92B29"/>
    <w:rsid w:val="00A92CBA"/>
    <w:rsid w:val="00A93605"/>
    <w:rsid w:val="00A94235"/>
    <w:rsid w:val="00A94A47"/>
    <w:rsid w:val="00A95354"/>
    <w:rsid w:val="00A963F3"/>
    <w:rsid w:val="00A966D8"/>
    <w:rsid w:val="00AA0428"/>
    <w:rsid w:val="00AA065B"/>
    <w:rsid w:val="00AA11BD"/>
    <w:rsid w:val="00AA2183"/>
    <w:rsid w:val="00AA2EC6"/>
    <w:rsid w:val="00AA2F28"/>
    <w:rsid w:val="00AA346F"/>
    <w:rsid w:val="00AA35E3"/>
    <w:rsid w:val="00AA37B2"/>
    <w:rsid w:val="00AA3809"/>
    <w:rsid w:val="00AA3910"/>
    <w:rsid w:val="00AA42FC"/>
    <w:rsid w:val="00AA4C6B"/>
    <w:rsid w:val="00AA555E"/>
    <w:rsid w:val="00AA55CA"/>
    <w:rsid w:val="00AA57E5"/>
    <w:rsid w:val="00AA5DA0"/>
    <w:rsid w:val="00AA67D0"/>
    <w:rsid w:val="00AA79B9"/>
    <w:rsid w:val="00AB044F"/>
    <w:rsid w:val="00AB092C"/>
    <w:rsid w:val="00AB1583"/>
    <w:rsid w:val="00AB24AE"/>
    <w:rsid w:val="00AB28BD"/>
    <w:rsid w:val="00AB2B3E"/>
    <w:rsid w:val="00AB33D0"/>
    <w:rsid w:val="00AB38C9"/>
    <w:rsid w:val="00AB3998"/>
    <w:rsid w:val="00AB3FB1"/>
    <w:rsid w:val="00AB4B0B"/>
    <w:rsid w:val="00AB4E84"/>
    <w:rsid w:val="00AB50FC"/>
    <w:rsid w:val="00AB5929"/>
    <w:rsid w:val="00AB600C"/>
    <w:rsid w:val="00AB6F43"/>
    <w:rsid w:val="00AB73BD"/>
    <w:rsid w:val="00AC0257"/>
    <w:rsid w:val="00AC0AFD"/>
    <w:rsid w:val="00AC0EDD"/>
    <w:rsid w:val="00AC1E67"/>
    <w:rsid w:val="00AC1F73"/>
    <w:rsid w:val="00AC2457"/>
    <w:rsid w:val="00AC30D0"/>
    <w:rsid w:val="00AC36F1"/>
    <w:rsid w:val="00AC400D"/>
    <w:rsid w:val="00AC429F"/>
    <w:rsid w:val="00AC4582"/>
    <w:rsid w:val="00AC4679"/>
    <w:rsid w:val="00AC4C66"/>
    <w:rsid w:val="00AC50C4"/>
    <w:rsid w:val="00AC56CF"/>
    <w:rsid w:val="00AC5C04"/>
    <w:rsid w:val="00AC5E1D"/>
    <w:rsid w:val="00AC618C"/>
    <w:rsid w:val="00AC628F"/>
    <w:rsid w:val="00AC64FD"/>
    <w:rsid w:val="00AC658A"/>
    <w:rsid w:val="00AC6CB5"/>
    <w:rsid w:val="00AD0E89"/>
    <w:rsid w:val="00AD0EF0"/>
    <w:rsid w:val="00AD0F46"/>
    <w:rsid w:val="00AD1BB6"/>
    <w:rsid w:val="00AD2C79"/>
    <w:rsid w:val="00AD2E57"/>
    <w:rsid w:val="00AD3F6A"/>
    <w:rsid w:val="00AD3FD4"/>
    <w:rsid w:val="00AD659B"/>
    <w:rsid w:val="00AD6960"/>
    <w:rsid w:val="00AD76F2"/>
    <w:rsid w:val="00AD7CE3"/>
    <w:rsid w:val="00AE1440"/>
    <w:rsid w:val="00AE21A3"/>
    <w:rsid w:val="00AE2691"/>
    <w:rsid w:val="00AE3985"/>
    <w:rsid w:val="00AE3F2B"/>
    <w:rsid w:val="00AE58FF"/>
    <w:rsid w:val="00AE6114"/>
    <w:rsid w:val="00AE6366"/>
    <w:rsid w:val="00AE6687"/>
    <w:rsid w:val="00AE6A44"/>
    <w:rsid w:val="00AE77B6"/>
    <w:rsid w:val="00AF00AA"/>
    <w:rsid w:val="00AF0CC7"/>
    <w:rsid w:val="00AF0D99"/>
    <w:rsid w:val="00AF0DB0"/>
    <w:rsid w:val="00AF1264"/>
    <w:rsid w:val="00AF18F9"/>
    <w:rsid w:val="00AF1A59"/>
    <w:rsid w:val="00AF1DFE"/>
    <w:rsid w:val="00AF3057"/>
    <w:rsid w:val="00AF30CC"/>
    <w:rsid w:val="00AF409A"/>
    <w:rsid w:val="00AF57B2"/>
    <w:rsid w:val="00AF5D72"/>
    <w:rsid w:val="00AF5E1E"/>
    <w:rsid w:val="00AF704B"/>
    <w:rsid w:val="00AF716B"/>
    <w:rsid w:val="00AF733E"/>
    <w:rsid w:val="00AF739B"/>
    <w:rsid w:val="00AF7628"/>
    <w:rsid w:val="00AF773B"/>
    <w:rsid w:val="00B0013A"/>
    <w:rsid w:val="00B01292"/>
    <w:rsid w:val="00B0141A"/>
    <w:rsid w:val="00B021DC"/>
    <w:rsid w:val="00B02620"/>
    <w:rsid w:val="00B02F41"/>
    <w:rsid w:val="00B032A0"/>
    <w:rsid w:val="00B03E0F"/>
    <w:rsid w:val="00B03E57"/>
    <w:rsid w:val="00B04094"/>
    <w:rsid w:val="00B060BA"/>
    <w:rsid w:val="00B060BB"/>
    <w:rsid w:val="00B06440"/>
    <w:rsid w:val="00B0669E"/>
    <w:rsid w:val="00B06B16"/>
    <w:rsid w:val="00B06FB1"/>
    <w:rsid w:val="00B07341"/>
    <w:rsid w:val="00B07B59"/>
    <w:rsid w:val="00B1032D"/>
    <w:rsid w:val="00B10ADA"/>
    <w:rsid w:val="00B10C2A"/>
    <w:rsid w:val="00B11091"/>
    <w:rsid w:val="00B11797"/>
    <w:rsid w:val="00B118C2"/>
    <w:rsid w:val="00B11B6C"/>
    <w:rsid w:val="00B11E23"/>
    <w:rsid w:val="00B1255B"/>
    <w:rsid w:val="00B12E07"/>
    <w:rsid w:val="00B12FFB"/>
    <w:rsid w:val="00B136DA"/>
    <w:rsid w:val="00B138E0"/>
    <w:rsid w:val="00B13FFD"/>
    <w:rsid w:val="00B14524"/>
    <w:rsid w:val="00B15EDA"/>
    <w:rsid w:val="00B15FCC"/>
    <w:rsid w:val="00B16123"/>
    <w:rsid w:val="00B164C1"/>
    <w:rsid w:val="00B1673C"/>
    <w:rsid w:val="00B178CE"/>
    <w:rsid w:val="00B21113"/>
    <w:rsid w:val="00B21B33"/>
    <w:rsid w:val="00B21C08"/>
    <w:rsid w:val="00B21F87"/>
    <w:rsid w:val="00B229B9"/>
    <w:rsid w:val="00B22AB2"/>
    <w:rsid w:val="00B22F8D"/>
    <w:rsid w:val="00B23015"/>
    <w:rsid w:val="00B231D9"/>
    <w:rsid w:val="00B234D7"/>
    <w:rsid w:val="00B23C80"/>
    <w:rsid w:val="00B240A9"/>
    <w:rsid w:val="00B2442D"/>
    <w:rsid w:val="00B24621"/>
    <w:rsid w:val="00B24789"/>
    <w:rsid w:val="00B24BB7"/>
    <w:rsid w:val="00B265CE"/>
    <w:rsid w:val="00B26DC7"/>
    <w:rsid w:val="00B2736D"/>
    <w:rsid w:val="00B27432"/>
    <w:rsid w:val="00B27DB1"/>
    <w:rsid w:val="00B27F50"/>
    <w:rsid w:val="00B3195B"/>
    <w:rsid w:val="00B328FB"/>
    <w:rsid w:val="00B32950"/>
    <w:rsid w:val="00B333B2"/>
    <w:rsid w:val="00B334B1"/>
    <w:rsid w:val="00B3380A"/>
    <w:rsid w:val="00B340D4"/>
    <w:rsid w:val="00B344A7"/>
    <w:rsid w:val="00B34643"/>
    <w:rsid w:val="00B349E3"/>
    <w:rsid w:val="00B34E99"/>
    <w:rsid w:val="00B34FB8"/>
    <w:rsid w:val="00B350EA"/>
    <w:rsid w:val="00B35150"/>
    <w:rsid w:val="00B35408"/>
    <w:rsid w:val="00B35E6F"/>
    <w:rsid w:val="00B360AE"/>
    <w:rsid w:val="00B36C56"/>
    <w:rsid w:val="00B36ED8"/>
    <w:rsid w:val="00B3738F"/>
    <w:rsid w:val="00B41543"/>
    <w:rsid w:val="00B41A81"/>
    <w:rsid w:val="00B4274F"/>
    <w:rsid w:val="00B43613"/>
    <w:rsid w:val="00B43770"/>
    <w:rsid w:val="00B439CC"/>
    <w:rsid w:val="00B4402C"/>
    <w:rsid w:val="00B44520"/>
    <w:rsid w:val="00B44BDA"/>
    <w:rsid w:val="00B4597F"/>
    <w:rsid w:val="00B4665C"/>
    <w:rsid w:val="00B47891"/>
    <w:rsid w:val="00B47F04"/>
    <w:rsid w:val="00B51A0E"/>
    <w:rsid w:val="00B51DB0"/>
    <w:rsid w:val="00B52ECA"/>
    <w:rsid w:val="00B537B7"/>
    <w:rsid w:val="00B53A16"/>
    <w:rsid w:val="00B53D5F"/>
    <w:rsid w:val="00B53F76"/>
    <w:rsid w:val="00B54BB8"/>
    <w:rsid w:val="00B54E0B"/>
    <w:rsid w:val="00B55DEC"/>
    <w:rsid w:val="00B564E6"/>
    <w:rsid w:val="00B567F6"/>
    <w:rsid w:val="00B568E4"/>
    <w:rsid w:val="00B56C4A"/>
    <w:rsid w:val="00B56F40"/>
    <w:rsid w:val="00B57C89"/>
    <w:rsid w:val="00B57D5A"/>
    <w:rsid w:val="00B60385"/>
    <w:rsid w:val="00B604C6"/>
    <w:rsid w:val="00B604FE"/>
    <w:rsid w:val="00B6143F"/>
    <w:rsid w:val="00B622B3"/>
    <w:rsid w:val="00B625F9"/>
    <w:rsid w:val="00B62D96"/>
    <w:rsid w:val="00B63776"/>
    <w:rsid w:val="00B641CA"/>
    <w:rsid w:val="00B65F56"/>
    <w:rsid w:val="00B663B1"/>
    <w:rsid w:val="00B671B7"/>
    <w:rsid w:val="00B67524"/>
    <w:rsid w:val="00B675EB"/>
    <w:rsid w:val="00B71A96"/>
    <w:rsid w:val="00B71B4C"/>
    <w:rsid w:val="00B71CDC"/>
    <w:rsid w:val="00B72511"/>
    <w:rsid w:val="00B729A0"/>
    <w:rsid w:val="00B72EDA"/>
    <w:rsid w:val="00B733DA"/>
    <w:rsid w:val="00B738EC"/>
    <w:rsid w:val="00B739CD"/>
    <w:rsid w:val="00B73BE8"/>
    <w:rsid w:val="00B741AE"/>
    <w:rsid w:val="00B742D8"/>
    <w:rsid w:val="00B744F2"/>
    <w:rsid w:val="00B74DB1"/>
    <w:rsid w:val="00B75540"/>
    <w:rsid w:val="00B765A1"/>
    <w:rsid w:val="00B77590"/>
    <w:rsid w:val="00B7792F"/>
    <w:rsid w:val="00B77BA2"/>
    <w:rsid w:val="00B80C5E"/>
    <w:rsid w:val="00B81AFF"/>
    <w:rsid w:val="00B81F28"/>
    <w:rsid w:val="00B82C91"/>
    <w:rsid w:val="00B83F4A"/>
    <w:rsid w:val="00B847A6"/>
    <w:rsid w:val="00B85D48"/>
    <w:rsid w:val="00B86946"/>
    <w:rsid w:val="00B87F05"/>
    <w:rsid w:val="00B9122B"/>
    <w:rsid w:val="00B9305C"/>
    <w:rsid w:val="00B93CF4"/>
    <w:rsid w:val="00B93FFA"/>
    <w:rsid w:val="00B94020"/>
    <w:rsid w:val="00B9497A"/>
    <w:rsid w:val="00B94C6B"/>
    <w:rsid w:val="00B94FC7"/>
    <w:rsid w:val="00B9559B"/>
    <w:rsid w:val="00B9574D"/>
    <w:rsid w:val="00B95AFC"/>
    <w:rsid w:val="00B968A6"/>
    <w:rsid w:val="00B96C79"/>
    <w:rsid w:val="00B96F8F"/>
    <w:rsid w:val="00B97098"/>
    <w:rsid w:val="00B97502"/>
    <w:rsid w:val="00B9792E"/>
    <w:rsid w:val="00BA0599"/>
    <w:rsid w:val="00BA323A"/>
    <w:rsid w:val="00BA346A"/>
    <w:rsid w:val="00BA3A0B"/>
    <w:rsid w:val="00BA3F4E"/>
    <w:rsid w:val="00BA413B"/>
    <w:rsid w:val="00BA4ACA"/>
    <w:rsid w:val="00BA5749"/>
    <w:rsid w:val="00BA6357"/>
    <w:rsid w:val="00BA6853"/>
    <w:rsid w:val="00BA68FF"/>
    <w:rsid w:val="00BB031F"/>
    <w:rsid w:val="00BB0B98"/>
    <w:rsid w:val="00BB120B"/>
    <w:rsid w:val="00BB1B2B"/>
    <w:rsid w:val="00BB2285"/>
    <w:rsid w:val="00BB236F"/>
    <w:rsid w:val="00BB39C1"/>
    <w:rsid w:val="00BB3DE3"/>
    <w:rsid w:val="00BB4D9E"/>
    <w:rsid w:val="00BB4DCA"/>
    <w:rsid w:val="00BB53DF"/>
    <w:rsid w:val="00BB573D"/>
    <w:rsid w:val="00BB5BA9"/>
    <w:rsid w:val="00BB729E"/>
    <w:rsid w:val="00BB7C61"/>
    <w:rsid w:val="00BB7F32"/>
    <w:rsid w:val="00BC01CB"/>
    <w:rsid w:val="00BC0339"/>
    <w:rsid w:val="00BC1EB6"/>
    <w:rsid w:val="00BC1FD1"/>
    <w:rsid w:val="00BC2655"/>
    <w:rsid w:val="00BC2A9F"/>
    <w:rsid w:val="00BC3932"/>
    <w:rsid w:val="00BC422A"/>
    <w:rsid w:val="00BC4275"/>
    <w:rsid w:val="00BC6C42"/>
    <w:rsid w:val="00BC6DA7"/>
    <w:rsid w:val="00BC7858"/>
    <w:rsid w:val="00BC78F8"/>
    <w:rsid w:val="00BC7EF7"/>
    <w:rsid w:val="00BD0529"/>
    <w:rsid w:val="00BD053C"/>
    <w:rsid w:val="00BD0ADA"/>
    <w:rsid w:val="00BD0D20"/>
    <w:rsid w:val="00BD19B8"/>
    <w:rsid w:val="00BD19E5"/>
    <w:rsid w:val="00BD1FA3"/>
    <w:rsid w:val="00BD23BC"/>
    <w:rsid w:val="00BD3570"/>
    <w:rsid w:val="00BD3998"/>
    <w:rsid w:val="00BD4AC1"/>
    <w:rsid w:val="00BD4FD3"/>
    <w:rsid w:val="00BD5FAA"/>
    <w:rsid w:val="00BD7893"/>
    <w:rsid w:val="00BE0147"/>
    <w:rsid w:val="00BE1308"/>
    <w:rsid w:val="00BE138E"/>
    <w:rsid w:val="00BE1DD5"/>
    <w:rsid w:val="00BE253F"/>
    <w:rsid w:val="00BE2D57"/>
    <w:rsid w:val="00BE39FF"/>
    <w:rsid w:val="00BE53A4"/>
    <w:rsid w:val="00BE6D26"/>
    <w:rsid w:val="00BE7372"/>
    <w:rsid w:val="00BE7CFC"/>
    <w:rsid w:val="00BE7F02"/>
    <w:rsid w:val="00BF0566"/>
    <w:rsid w:val="00BF07FE"/>
    <w:rsid w:val="00BF0B24"/>
    <w:rsid w:val="00BF239B"/>
    <w:rsid w:val="00BF30FC"/>
    <w:rsid w:val="00BF3BE8"/>
    <w:rsid w:val="00BF43DD"/>
    <w:rsid w:val="00BF4A7B"/>
    <w:rsid w:val="00BF4C41"/>
    <w:rsid w:val="00BF52BD"/>
    <w:rsid w:val="00BF5386"/>
    <w:rsid w:val="00BF5820"/>
    <w:rsid w:val="00BF5A74"/>
    <w:rsid w:val="00BF64DC"/>
    <w:rsid w:val="00BF69A3"/>
    <w:rsid w:val="00BF724B"/>
    <w:rsid w:val="00BF76CC"/>
    <w:rsid w:val="00C00982"/>
    <w:rsid w:val="00C014B6"/>
    <w:rsid w:val="00C01E14"/>
    <w:rsid w:val="00C0210A"/>
    <w:rsid w:val="00C02864"/>
    <w:rsid w:val="00C0299A"/>
    <w:rsid w:val="00C03585"/>
    <w:rsid w:val="00C03D0C"/>
    <w:rsid w:val="00C0478B"/>
    <w:rsid w:val="00C05392"/>
    <w:rsid w:val="00C064A8"/>
    <w:rsid w:val="00C07592"/>
    <w:rsid w:val="00C102DD"/>
    <w:rsid w:val="00C10466"/>
    <w:rsid w:val="00C10B54"/>
    <w:rsid w:val="00C12341"/>
    <w:rsid w:val="00C125E7"/>
    <w:rsid w:val="00C144DE"/>
    <w:rsid w:val="00C15838"/>
    <w:rsid w:val="00C15E24"/>
    <w:rsid w:val="00C1662F"/>
    <w:rsid w:val="00C16B0A"/>
    <w:rsid w:val="00C173CB"/>
    <w:rsid w:val="00C17764"/>
    <w:rsid w:val="00C179E1"/>
    <w:rsid w:val="00C17C39"/>
    <w:rsid w:val="00C20978"/>
    <w:rsid w:val="00C21A39"/>
    <w:rsid w:val="00C21BCC"/>
    <w:rsid w:val="00C21C08"/>
    <w:rsid w:val="00C21D4D"/>
    <w:rsid w:val="00C2202C"/>
    <w:rsid w:val="00C221E3"/>
    <w:rsid w:val="00C2221A"/>
    <w:rsid w:val="00C23305"/>
    <w:rsid w:val="00C23B15"/>
    <w:rsid w:val="00C241AC"/>
    <w:rsid w:val="00C241E1"/>
    <w:rsid w:val="00C24C34"/>
    <w:rsid w:val="00C24D50"/>
    <w:rsid w:val="00C2542E"/>
    <w:rsid w:val="00C25901"/>
    <w:rsid w:val="00C2653B"/>
    <w:rsid w:val="00C268BF"/>
    <w:rsid w:val="00C26ADB"/>
    <w:rsid w:val="00C30414"/>
    <w:rsid w:val="00C308CB"/>
    <w:rsid w:val="00C30E2F"/>
    <w:rsid w:val="00C3134C"/>
    <w:rsid w:val="00C318FB"/>
    <w:rsid w:val="00C31CC1"/>
    <w:rsid w:val="00C31D85"/>
    <w:rsid w:val="00C3207E"/>
    <w:rsid w:val="00C321E4"/>
    <w:rsid w:val="00C326B0"/>
    <w:rsid w:val="00C32788"/>
    <w:rsid w:val="00C3336C"/>
    <w:rsid w:val="00C33BB0"/>
    <w:rsid w:val="00C344A7"/>
    <w:rsid w:val="00C346B3"/>
    <w:rsid w:val="00C3490E"/>
    <w:rsid w:val="00C34A48"/>
    <w:rsid w:val="00C34FC9"/>
    <w:rsid w:val="00C3500E"/>
    <w:rsid w:val="00C357F5"/>
    <w:rsid w:val="00C36996"/>
    <w:rsid w:val="00C36A5B"/>
    <w:rsid w:val="00C40096"/>
    <w:rsid w:val="00C41200"/>
    <w:rsid w:val="00C41250"/>
    <w:rsid w:val="00C426B7"/>
    <w:rsid w:val="00C42775"/>
    <w:rsid w:val="00C43029"/>
    <w:rsid w:val="00C43052"/>
    <w:rsid w:val="00C432A4"/>
    <w:rsid w:val="00C435F2"/>
    <w:rsid w:val="00C4440E"/>
    <w:rsid w:val="00C44B18"/>
    <w:rsid w:val="00C4502D"/>
    <w:rsid w:val="00C45827"/>
    <w:rsid w:val="00C459D6"/>
    <w:rsid w:val="00C45E20"/>
    <w:rsid w:val="00C46794"/>
    <w:rsid w:val="00C46850"/>
    <w:rsid w:val="00C46EFD"/>
    <w:rsid w:val="00C5088F"/>
    <w:rsid w:val="00C50B4E"/>
    <w:rsid w:val="00C50F1C"/>
    <w:rsid w:val="00C51212"/>
    <w:rsid w:val="00C53EE5"/>
    <w:rsid w:val="00C55209"/>
    <w:rsid w:val="00C55793"/>
    <w:rsid w:val="00C55887"/>
    <w:rsid w:val="00C564E1"/>
    <w:rsid w:val="00C564FE"/>
    <w:rsid w:val="00C56F43"/>
    <w:rsid w:val="00C57018"/>
    <w:rsid w:val="00C60C57"/>
    <w:rsid w:val="00C6149C"/>
    <w:rsid w:val="00C61DF8"/>
    <w:rsid w:val="00C629C0"/>
    <w:rsid w:val="00C62A3E"/>
    <w:rsid w:val="00C63793"/>
    <w:rsid w:val="00C63953"/>
    <w:rsid w:val="00C65B56"/>
    <w:rsid w:val="00C65E19"/>
    <w:rsid w:val="00C66A40"/>
    <w:rsid w:val="00C66AE4"/>
    <w:rsid w:val="00C66D7C"/>
    <w:rsid w:val="00C6788B"/>
    <w:rsid w:val="00C678B8"/>
    <w:rsid w:val="00C67D8F"/>
    <w:rsid w:val="00C70A70"/>
    <w:rsid w:val="00C71379"/>
    <w:rsid w:val="00C71D0B"/>
    <w:rsid w:val="00C71D3C"/>
    <w:rsid w:val="00C724E8"/>
    <w:rsid w:val="00C72A7D"/>
    <w:rsid w:val="00C72AFD"/>
    <w:rsid w:val="00C72C1C"/>
    <w:rsid w:val="00C737B7"/>
    <w:rsid w:val="00C73BF8"/>
    <w:rsid w:val="00C74029"/>
    <w:rsid w:val="00C74AF8"/>
    <w:rsid w:val="00C75142"/>
    <w:rsid w:val="00C75A55"/>
    <w:rsid w:val="00C76B98"/>
    <w:rsid w:val="00C7709B"/>
    <w:rsid w:val="00C8045A"/>
    <w:rsid w:val="00C8079B"/>
    <w:rsid w:val="00C80BD2"/>
    <w:rsid w:val="00C810DE"/>
    <w:rsid w:val="00C81BA6"/>
    <w:rsid w:val="00C825D5"/>
    <w:rsid w:val="00C83643"/>
    <w:rsid w:val="00C841EC"/>
    <w:rsid w:val="00C84AD3"/>
    <w:rsid w:val="00C84ADD"/>
    <w:rsid w:val="00C850AC"/>
    <w:rsid w:val="00C85355"/>
    <w:rsid w:val="00C85AF1"/>
    <w:rsid w:val="00C8603C"/>
    <w:rsid w:val="00C86288"/>
    <w:rsid w:val="00C868A1"/>
    <w:rsid w:val="00C9145B"/>
    <w:rsid w:val="00C9174F"/>
    <w:rsid w:val="00C92D86"/>
    <w:rsid w:val="00C930C0"/>
    <w:rsid w:val="00C93188"/>
    <w:rsid w:val="00C93CF8"/>
    <w:rsid w:val="00C93D3A"/>
    <w:rsid w:val="00C94021"/>
    <w:rsid w:val="00C94DA8"/>
    <w:rsid w:val="00C9506B"/>
    <w:rsid w:val="00C95163"/>
    <w:rsid w:val="00C962A4"/>
    <w:rsid w:val="00C973FA"/>
    <w:rsid w:val="00CA0742"/>
    <w:rsid w:val="00CA08EA"/>
    <w:rsid w:val="00CA09D1"/>
    <w:rsid w:val="00CA1579"/>
    <w:rsid w:val="00CA1C87"/>
    <w:rsid w:val="00CA382D"/>
    <w:rsid w:val="00CA3B7A"/>
    <w:rsid w:val="00CA3D7F"/>
    <w:rsid w:val="00CA4056"/>
    <w:rsid w:val="00CA4A62"/>
    <w:rsid w:val="00CA4E79"/>
    <w:rsid w:val="00CA5B7C"/>
    <w:rsid w:val="00CA6363"/>
    <w:rsid w:val="00CA6769"/>
    <w:rsid w:val="00CA685F"/>
    <w:rsid w:val="00CA6AD5"/>
    <w:rsid w:val="00CA7566"/>
    <w:rsid w:val="00CB06C4"/>
    <w:rsid w:val="00CB0994"/>
    <w:rsid w:val="00CB0C07"/>
    <w:rsid w:val="00CB2238"/>
    <w:rsid w:val="00CB2A10"/>
    <w:rsid w:val="00CB2FF2"/>
    <w:rsid w:val="00CB307C"/>
    <w:rsid w:val="00CB323B"/>
    <w:rsid w:val="00CB34A0"/>
    <w:rsid w:val="00CB40AC"/>
    <w:rsid w:val="00CB43FB"/>
    <w:rsid w:val="00CB4571"/>
    <w:rsid w:val="00CB46D4"/>
    <w:rsid w:val="00CB57E7"/>
    <w:rsid w:val="00CB5BB4"/>
    <w:rsid w:val="00CB60BA"/>
    <w:rsid w:val="00CB784A"/>
    <w:rsid w:val="00CC0764"/>
    <w:rsid w:val="00CC0C7F"/>
    <w:rsid w:val="00CC0DC5"/>
    <w:rsid w:val="00CC1A05"/>
    <w:rsid w:val="00CC1D91"/>
    <w:rsid w:val="00CC1FA1"/>
    <w:rsid w:val="00CC1FA5"/>
    <w:rsid w:val="00CC30E7"/>
    <w:rsid w:val="00CC3ECA"/>
    <w:rsid w:val="00CC3ECE"/>
    <w:rsid w:val="00CC4D84"/>
    <w:rsid w:val="00CC6F4D"/>
    <w:rsid w:val="00CC7435"/>
    <w:rsid w:val="00CD0D6D"/>
    <w:rsid w:val="00CD0DCF"/>
    <w:rsid w:val="00CD0FEE"/>
    <w:rsid w:val="00CD1276"/>
    <w:rsid w:val="00CD1821"/>
    <w:rsid w:val="00CD1FC8"/>
    <w:rsid w:val="00CD351C"/>
    <w:rsid w:val="00CD433A"/>
    <w:rsid w:val="00CD49E7"/>
    <w:rsid w:val="00CD53F0"/>
    <w:rsid w:val="00CD5619"/>
    <w:rsid w:val="00CD5C3A"/>
    <w:rsid w:val="00CD6CE5"/>
    <w:rsid w:val="00CD708A"/>
    <w:rsid w:val="00CE029E"/>
    <w:rsid w:val="00CE056B"/>
    <w:rsid w:val="00CE1532"/>
    <w:rsid w:val="00CE15B2"/>
    <w:rsid w:val="00CE16F1"/>
    <w:rsid w:val="00CE1B32"/>
    <w:rsid w:val="00CE1CAD"/>
    <w:rsid w:val="00CE231B"/>
    <w:rsid w:val="00CE2972"/>
    <w:rsid w:val="00CE39C2"/>
    <w:rsid w:val="00CE6CBD"/>
    <w:rsid w:val="00CF056F"/>
    <w:rsid w:val="00CF1084"/>
    <w:rsid w:val="00CF11D3"/>
    <w:rsid w:val="00CF1D28"/>
    <w:rsid w:val="00CF1DE1"/>
    <w:rsid w:val="00CF1ED3"/>
    <w:rsid w:val="00CF1F7F"/>
    <w:rsid w:val="00CF20B7"/>
    <w:rsid w:val="00CF20D0"/>
    <w:rsid w:val="00CF20FD"/>
    <w:rsid w:val="00CF23E6"/>
    <w:rsid w:val="00CF2892"/>
    <w:rsid w:val="00CF31B0"/>
    <w:rsid w:val="00CF3A17"/>
    <w:rsid w:val="00CF4A2B"/>
    <w:rsid w:val="00CF7874"/>
    <w:rsid w:val="00D004C4"/>
    <w:rsid w:val="00D00B99"/>
    <w:rsid w:val="00D01083"/>
    <w:rsid w:val="00D02B41"/>
    <w:rsid w:val="00D02F1B"/>
    <w:rsid w:val="00D0310D"/>
    <w:rsid w:val="00D035C7"/>
    <w:rsid w:val="00D035E5"/>
    <w:rsid w:val="00D038C4"/>
    <w:rsid w:val="00D04463"/>
    <w:rsid w:val="00D046CF"/>
    <w:rsid w:val="00D05382"/>
    <w:rsid w:val="00D05466"/>
    <w:rsid w:val="00D05736"/>
    <w:rsid w:val="00D06051"/>
    <w:rsid w:val="00D06E25"/>
    <w:rsid w:val="00D07013"/>
    <w:rsid w:val="00D102AD"/>
    <w:rsid w:val="00D10DC9"/>
    <w:rsid w:val="00D1181F"/>
    <w:rsid w:val="00D119D0"/>
    <w:rsid w:val="00D12164"/>
    <w:rsid w:val="00D12C8C"/>
    <w:rsid w:val="00D1397C"/>
    <w:rsid w:val="00D13F98"/>
    <w:rsid w:val="00D141B7"/>
    <w:rsid w:val="00D142A7"/>
    <w:rsid w:val="00D14A85"/>
    <w:rsid w:val="00D150F2"/>
    <w:rsid w:val="00D1530F"/>
    <w:rsid w:val="00D15A93"/>
    <w:rsid w:val="00D16A7B"/>
    <w:rsid w:val="00D17C1B"/>
    <w:rsid w:val="00D202E7"/>
    <w:rsid w:val="00D205B1"/>
    <w:rsid w:val="00D20799"/>
    <w:rsid w:val="00D20851"/>
    <w:rsid w:val="00D2136E"/>
    <w:rsid w:val="00D217AC"/>
    <w:rsid w:val="00D23071"/>
    <w:rsid w:val="00D23102"/>
    <w:rsid w:val="00D23AD7"/>
    <w:rsid w:val="00D240B2"/>
    <w:rsid w:val="00D248F8"/>
    <w:rsid w:val="00D273AA"/>
    <w:rsid w:val="00D27877"/>
    <w:rsid w:val="00D27C87"/>
    <w:rsid w:val="00D27D8C"/>
    <w:rsid w:val="00D27DA1"/>
    <w:rsid w:val="00D27F53"/>
    <w:rsid w:val="00D308AD"/>
    <w:rsid w:val="00D3105A"/>
    <w:rsid w:val="00D3162C"/>
    <w:rsid w:val="00D31B18"/>
    <w:rsid w:val="00D31E58"/>
    <w:rsid w:val="00D31F66"/>
    <w:rsid w:val="00D323C8"/>
    <w:rsid w:val="00D32E27"/>
    <w:rsid w:val="00D33205"/>
    <w:rsid w:val="00D33294"/>
    <w:rsid w:val="00D33E69"/>
    <w:rsid w:val="00D340BF"/>
    <w:rsid w:val="00D341E0"/>
    <w:rsid w:val="00D3530B"/>
    <w:rsid w:val="00D35646"/>
    <w:rsid w:val="00D3599A"/>
    <w:rsid w:val="00D35B30"/>
    <w:rsid w:val="00D35E93"/>
    <w:rsid w:val="00D35F08"/>
    <w:rsid w:val="00D363CF"/>
    <w:rsid w:val="00D368C7"/>
    <w:rsid w:val="00D4003F"/>
    <w:rsid w:val="00D40518"/>
    <w:rsid w:val="00D40A31"/>
    <w:rsid w:val="00D420E6"/>
    <w:rsid w:val="00D4240C"/>
    <w:rsid w:val="00D4399F"/>
    <w:rsid w:val="00D43B8E"/>
    <w:rsid w:val="00D43ED7"/>
    <w:rsid w:val="00D447B6"/>
    <w:rsid w:val="00D449FE"/>
    <w:rsid w:val="00D44DEB"/>
    <w:rsid w:val="00D45361"/>
    <w:rsid w:val="00D46122"/>
    <w:rsid w:val="00D469F1"/>
    <w:rsid w:val="00D511D4"/>
    <w:rsid w:val="00D5174F"/>
    <w:rsid w:val="00D51D0B"/>
    <w:rsid w:val="00D52CC1"/>
    <w:rsid w:val="00D52E4C"/>
    <w:rsid w:val="00D5470F"/>
    <w:rsid w:val="00D550DC"/>
    <w:rsid w:val="00D55B35"/>
    <w:rsid w:val="00D5679A"/>
    <w:rsid w:val="00D570C7"/>
    <w:rsid w:val="00D57186"/>
    <w:rsid w:val="00D57338"/>
    <w:rsid w:val="00D60030"/>
    <w:rsid w:val="00D60746"/>
    <w:rsid w:val="00D60D7E"/>
    <w:rsid w:val="00D615D0"/>
    <w:rsid w:val="00D62792"/>
    <w:rsid w:val="00D65A8C"/>
    <w:rsid w:val="00D703A2"/>
    <w:rsid w:val="00D70D7C"/>
    <w:rsid w:val="00D70DAA"/>
    <w:rsid w:val="00D723ED"/>
    <w:rsid w:val="00D72A10"/>
    <w:rsid w:val="00D72A7E"/>
    <w:rsid w:val="00D730DE"/>
    <w:rsid w:val="00D731ED"/>
    <w:rsid w:val="00D733C5"/>
    <w:rsid w:val="00D736B4"/>
    <w:rsid w:val="00D7391D"/>
    <w:rsid w:val="00D74252"/>
    <w:rsid w:val="00D7456F"/>
    <w:rsid w:val="00D74F3C"/>
    <w:rsid w:val="00D7512D"/>
    <w:rsid w:val="00D76090"/>
    <w:rsid w:val="00D77149"/>
    <w:rsid w:val="00D809A6"/>
    <w:rsid w:val="00D80D2A"/>
    <w:rsid w:val="00D81253"/>
    <w:rsid w:val="00D8152C"/>
    <w:rsid w:val="00D81E52"/>
    <w:rsid w:val="00D824A1"/>
    <w:rsid w:val="00D830D9"/>
    <w:rsid w:val="00D83D65"/>
    <w:rsid w:val="00D84327"/>
    <w:rsid w:val="00D847AD"/>
    <w:rsid w:val="00D84E2C"/>
    <w:rsid w:val="00D858EC"/>
    <w:rsid w:val="00D85A68"/>
    <w:rsid w:val="00D86BCC"/>
    <w:rsid w:val="00D86BDD"/>
    <w:rsid w:val="00D871E6"/>
    <w:rsid w:val="00D90309"/>
    <w:rsid w:val="00D90B84"/>
    <w:rsid w:val="00D9188C"/>
    <w:rsid w:val="00D934DE"/>
    <w:rsid w:val="00D9374A"/>
    <w:rsid w:val="00D93F25"/>
    <w:rsid w:val="00D949CB"/>
    <w:rsid w:val="00D94E6B"/>
    <w:rsid w:val="00D95162"/>
    <w:rsid w:val="00D9599B"/>
    <w:rsid w:val="00D960B6"/>
    <w:rsid w:val="00D973BA"/>
    <w:rsid w:val="00D976FA"/>
    <w:rsid w:val="00D97E4A"/>
    <w:rsid w:val="00DA0220"/>
    <w:rsid w:val="00DA0DB5"/>
    <w:rsid w:val="00DA1349"/>
    <w:rsid w:val="00DA1F97"/>
    <w:rsid w:val="00DA2867"/>
    <w:rsid w:val="00DA2D09"/>
    <w:rsid w:val="00DA3A5D"/>
    <w:rsid w:val="00DA4536"/>
    <w:rsid w:val="00DA4C16"/>
    <w:rsid w:val="00DA5568"/>
    <w:rsid w:val="00DA6184"/>
    <w:rsid w:val="00DA69A2"/>
    <w:rsid w:val="00DA6B52"/>
    <w:rsid w:val="00DA6FBB"/>
    <w:rsid w:val="00DA7871"/>
    <w:rsid w:val="00DB094E"/>
    <w:rsid w:val="00DB09F4"/>
    <w:rsid w:val="00DB0B69"/>
    <w:rsid w:val="00DB29EF"/>
    <w:rsid w:val="00DB2A0E"/>
    <w:rsid w:val="00DB339C"/>
    <w:rsid w:val="00DB34C0"/>
    <w:rsid w:val="00DB434A"/>
    <w:rsid w:val="00DB4BE8"/>
    <w:rsid w:val="00DB4C71"/>
    <w:rsid w:val="00DB5063"/>
    <w:rsid w:val="00DB60DB"/>
    <w:rsid w:val="00DB659A"/>
    <w:rsid w:val="00DB6811"/>
    <w:rsid w:val="00DB7BC2"/>
    <w:rsid w:val="00DC1075"/>
    <w:rsid w:val="00DC1DF2"/>
    <w:rsid w:val="00DC250D"/>
    <w:rsid w:val="00DC2B7B"/>
    <w:rsid w:val="00DC3F66"/>
    <w:rsid w:val="00DC4024"/>
    <w:rsid w:val="00DC449F"/>
    <w:rsid w:val="00DC44D7"/>
    <w:rsid w:val="00DC47D5"/>
    <w:rsid w:val="00DC47F9"/>
    <w:rsid w:val="00DC4BAD"/>
    <w:rsid w:val="00DC56E7"/>
    <w:rsid w:val="00DC595D"/>
    <w:rsid w:val="00DC65A9"/>
    <w:rsid w:val="00DC6915"/>
    <w:rsid w:val="00DC6DCD"/>
    <w:rsid w:val="00DD0F56"/>
    <w:rsid w:val="00DD19F1"/>
    <w:rsid w:val="00DD3934"/>
    <w:rsid w:val="00DD4236"/>
    <w:rsid w:val="00DD5F5C"/>
    <w:rsid w:val="00DD622B"/>
    <w:rsid w:val="00DD76E8"/>
    <w:rsid w:val="00DD790A"/>
    <w:rsid w:val="00DD7A90"/>
    <w:rsid w:val="00DE0A63"/>
    <w:rsid w:val="00DE15D0"/>
    <w:rsid w:val="00DE22AE"/>
    <w:rsid w:val="00DE2C1E"/>
    <w:rsid w:val="00DE4396"/>
    <w:rsid w:val="00DE44AD"/>
    <w:rsid w:val="00DE5722"/>
    <w:rsid w:val="00DE59CB"/>
    <w:rsid w:val="00DE6D6A"/>
    <w:rsid w:val="00DE6DC5"/>
    <w:rsid w:val="00DE7CBA"/>
    <w:rsid w:val="00DF0799"/>
    <w:rsid w:val="00DF1658"/>
    <w:rsid w:val="00DF1AA2"/>
    <w:rsid w:val="00DF2522"/>
    <w:rsid w:val="00DF3BB4"/>
    <w:rsid w:val="00DF3CAA"/>
    <w:rsid w:val="00DF3E67"/>
    <w:rsid w:val="00DF403F"/>
    <w:rsid w:val="00DF53D0"/>
    <w:rsid w:val="00DF551A"/>
    <w:rsid w:val="00DF5C99"/>
    <w:rsid w:val="00DF5CEB"/>
    <w:rsid w:val="00DF622D"/>
    <w:rsid w:val="00DF655D"/>
    <w:rsid w:val="00DF719D"/>
    <w:rsid w:val="00E003D5"/>
    <w:rsid w:val="00E003DF"/>
    <w:rsid w:val="00E00A4B"/>
    <w:rsid w:val="00E00AD3"/>
    <w:rsid w:val="00E01575"/>
    <w:rsid w:val="00E01F88"/>
    <w:rsid w:val="00E025AA"/>
    <w:rsid w:val="00E03A81"/>
    <w:rsid w:val="00E0471E"/>
    <w:rsid w:val="00E0547F"/>
    <w:rsid w:val="00E05C11"/>
    <w:rsid w:val="00E05D0C"/>
    <w:rsid w:val="00E066F5"/>
    <w:rsid w:val="00E0681D"/>
    <w:rsid w:val="00E068C7"/>
    <w:rsid w:val="00E06B05"/>
    <w:rsid w:val="00E07135"/>
    <w:rsid w:val="00E106D7"/>
    <w:rsid w:val="00E10901"/>
    <w:rsid w:val="00E11193"/>
    <w:rsid w:val="00E11BC0"/>
    <w:rsid w:val="00E135A8"/>
    <w:rsid w:val="00E13D75"/>
    <w:rsid w:val="00E14629"/>
    <w:rsid w:val="00E147B3"/>
    <w:rsid w:val="00E14A97"/>
    <w:rsid w:val="00E165C1"/>
    <w:rsid w:val="00E16982"/>
    <w:rsid w:val="00E16C99"/>
    <w:rsid w:val="00E17A58"/>
    <w:rsid w:val="00E208B9"/>
    <w:rsid w:val="00E21A05"/>
    <w:rsid w:val="00E21C52"/>
    <w:rsid w:val="00E2288B"/>
    <w:rsid w:val="00E246FA"/>
    <w:rsid w:val="00E25228"/>
    <w:rsid w:val="00E256E1"/>
    <w:rsid w:val="00E25798"/>
    <w:rsid w:val="00E2681A"/>
    <w:rsid w:val="00E27DA0"/>
    <w:rsid w:val="00E30248"/>
    <w:rsid w:val="00E302B2"/>
    <w:rsid w:val="00E311E3"/>
    <w:rsid w:val="00E31A93"/>
    <w:rsid w:val="00E32388"/>
    <w:rsid w:val="00E32FE4"/>
    <w:rsid w:val="00E3312D"/>
    <w:rsid w:val="00E3467E"/>
    <w:rsid w:val="00E34682"/>
    <w:rsid w:val="00E34C71"/>
    <w:rsid w:val="00E3572A"/>
    <w:rsid w:val="00E359B8"/>
    <w:rsid w:val="00E35AD0"/>
    <w:rsid w:val="00E35DE0"/>
    <w:rsid w:val="00E36D2D"/>
    <w:rsid w:val="00E36E08"/>
    <w:rsid w:val="00E36E3E"/>
    <w:rsid w:val="00E37466"/>
    <w:rsid w:val="00E374BA"/>
    <w:rsid w:val="00E400FF"/>
    <w:rsid w:val="00E4090E"/>
    <w:rsid w:val="00E409ED"/>
    <w:rsid w:val="00E414C2"/>
    <w:rsid w:val="00E41EAA"/>
    <w:rsid w:val="00E41FA1"/>
    <w:rsid w:val="00E423B0"/>
    <w:rsid w:val="00E434C3"/>
    <w:rsid w:val="00E4353D"/>
    <w:rsid w:val="00E451F8"/>
    <w:rsid w:val="00E4529A"/>
    <w:rsid w:val="00E45691"/>
    <w:rsid w:val="00E4571A"/>
    <w:rsid w:val="00E4604F"/>
    <w:rsid w:val="00E4626D"/>
    <w:rsid w:val="00E47143"/>
    <w:rsid w:val="00E47CB7"/>
    <w:rsid w:val="00E51689"/>
    <w:rsid w:val="00E51F32"/>
    <w:rsid w:val="00E52477"/>
    <w:rsid w:val="00E52CC5"/>
    <w:rsid w:val="00E53228"/>
    <w:rsid w:val="00E5352F"/>
    <w:rsid w:val="00E53783"/>
    <w:rsid w:val="00E539D4"/>
    <w:rsid w:val="00E53B3C"/>
    <w:rsid w:val="00E53CDE"/>
    <w:rsid w:val="00E54889"/>
    <w:rsid w:val="00E55A3F"/>
    <w:rsid w:val="00E56052"/>
    <w:rsid w:val="00E560FD"/>
    <w:rsid w:val="00E614FC"/>
    <w:rsid w:val="00E61E65"/>
    <w:rsid w:val="00E625D6"/>
    <w:rsid w:val="00E62ABF"/>
    <w:rsid w:val="00E6310F"/>
    <w:rsid w:val="00E6342C"/>
    <w:rsid w:val="00E65AFE"/>
    <w:rsid w:val="00E662D2"/>
    <w:rsid w:val="00E66522"/>
    <w:rsid w:val="00E67251"/>
    <w:rsid w:val="00E679E8"/>
    <w:rsid w:val="00E67F13"/>
    <w:rsid w:val="00E67F5A"/>
    <w:rsid w:val="00E705F9"/>
    <w:rsid w:val="00E70747"/>
    <w:rsid w:val="00E70E9F"/>
    <w:rsid w:val="00E70F72"/>
    <w:rsid w:val="00E72943"/>
    <w:rsid w:val="00E736E8"/>
    <w:rsid w:val="00E7370D"/>
    <w:rsid w:val="00E73AEA"/>
    <w:rsid w:val="00E73F92"/>
    <w:rsid w:val="00E74037"/>
    <w:rsid w:val="00E74386"/>
    <w:rsid w:val="00E746C5"/>
    <w:rsid w:val="00E749A6"/>
    <w:rsid w:val="00E74A18"/>
    <w:rsid w:val="00E75237"/>
    <w:rsid w:val="00E75AC3"/>
    <w:rsid w:val="00E75FBD"/>
    <w:rsid w:val="00E7762B"/>
    <w:rsid w:val="00E77BF7"/>
    <w:rsid w:val="00E77E7B"/>
    <w:rsid w:val="00E77F24"/>
    <w:rsid w:val="00E80D2A"/>
    <w:rsid w:val="00E8113C"/>
    <w:rsid w:val="00E81ECE"/>
    <w:rsid w:val="00E81F27"/>
    <w:rsid w:val="00E8237F"/>
    <w:rsid w:val="00E827FC"/>
    <w:rsid w:val="00E82CE7"/>
    <w:rsid w:val="00E8317F"/>
    <w:rsid w:val="00E83A1D"/>
    <w:rsid w:val="00E83C75"/>
    <w:rsid w:val="00E8422A"/>
    <w:rsid w:val="00E84986"/>
    <w:rsid w:val="00E84C9C"/>
    <w:rsid w:val="00E85C02"/>
    <w:rsid w:val="00E86336"/>
    <w:rsid w:val="00E86CB1"/>
    <w:rsid w:val="00E86E04"/>
    <w:rsid w:val="00E86F18"/>
    <w:rsid w:val="00E872E0"/>
    <w:rsid w:val="00E874D4"/>
    <w:rsid w:val="00E87669"/>
    <w:rsid w:val="00E87907"/>
    <w:rsid w:val="00E87FFE"/>
    <w:rsid w:val="00E9027F"/>
    <w:rsid w:val="00E910A2"/>
    <w:rsid w:val="00E94563"/>
    <w:rsid w:val="00E94951"/>
    <w:rsid w:val="00E95A81"/>
    <w:rsid w:val="00E96BC3"/>
    <w:rsid w:val="00E9791F"/>
    <w:rsid w:val="00EA129B"/>
    <w:rsid w:val="00EA15FA"/>
    <w:rsid w:val="00EA1BAB"/>
    <w:rsid w:val="00EA1E5A"/>
    <w:rsid w:val="00EA2575"/>
    <w:rsid w:val="00EA2D38"/>
    <w:rsid w:val="00EA49D9"/>
    <w:rsid w:val="00EA4AA8"/>
    <w:rsid w:val="00EA4D15"/>
    <w:rsid w:val="00EA5B72"/>
    <w:rsid w:val="00EA6E4F"/>
    <w:rsid w:val="00EA7A29"/>
    <w:rsid w:val="00EB2659"/>
    <w:rsid w:val="00EB272C"/>
    <w:rsid w:val="00EB3757"/>
    <w:rsid w:val="00EB3A4E"/>
    <w:rsid w:val="00EB4A25"/>
    <w:rsid w:val="00EB4DFE"/>
    <w:rsid w:val="00EB56FC"/>
    <w:rsid w:val="00EB6047"/>
    <w:rsid w:val="00EB7175"/>
    <w:rsid w:val="00EB71BE"/>
    <w:rsid w:val="00EB7947"/>
    <w:rsid w:val="00EB7D39"/>
    <w:rsid w:val="00EC0473"/>
    <w:rsid w:val="00EC07E1"/>
    <w:rsid w:val="00EC0998"/>
    <w:rsid w:val="00EC0B0C"/>
    <w:rsid w:val="00EC119B"/>
    <w:rsid w:val="00EC18E5"/>
    <w:rsid w:val="00EC1C12"/>
    <w:rsid w:val="00EC2334"/>
    <w:rsid w:val="00EC2706"/>
    <w:rsid w:val="00EC3312"/>
    <w:rsid w:val="00EC4F81"/>
    <w:rsid w:val="00EC51AC"/>
    <w:rsid w:val="00EC5220"/>
    <w:rsid w:val="00EC5506"/>
    <w:rsid w:val="00EC5692"/>
    <w:rsid w:val="00EC61F0"/>
    <w:rsid w:val="00EC6331"/>
    <w:rsid w:val="00EC67ED"/>
    <w:rsid w:val="00EC6C03"/>
    <w:rsid w:val="00EC70A9"/>
    <w:rsid w:val="00EC7E3D"/>
    <w:rsid w:val="00ED19B5"/>
    <w:rsid w:val="00ED20E9"/>
    <w:rsid w:val="00ED3488"/>
    <w:rsid w:val="00ED373C"/>
    <w:rsid w:val="00ED4C4D"/>
    <w:rsid w:val="00ED4E10"/>
    <w:rsid w:val="00ED53A5"/>
    <w:rsid w:val="00ED5722"/>
    <w:rsid w:val="00ED58E9"/>
    <w:rsid w:val="00ED6787"/>
    <w:rsid w:val="00ED6C34"/>
    <w:rsid w:val="00ED725A"/>
    <w:rsid w:val="00ED7877"/>
    <w:rsid w:val="00EE0304"/>
    <w:rsid w:val="00EE0971"/>
    <w:rsid w:val="00EE0B3C"/>
    <w:rsid w:val="00EE14E3"/>
    <w:rsid w:val="00EE172D"/>
    <w:rsid w:val="00EE1986"/>
    <w:rsid w:val="00EE203A"/>
    <w:rsid w:val="00EE2D02"/>
    <w:rsid w:val="00EE3AAA"/>
    <w:rsid w:val="00EE4882"/>
    <w:rsid w:val="00EE4A56"/>
    <w:rsid w:val="00EE4D25"/>
    <w:rsid w:val="00EE5018"/>
    <w:rsid w:val="00EE515D"/>
    <w:rsid w:val="00EE56A9"/>
    <w:rsid w:val="00EE56C1"/>
    <w:rsid w:val="00EE67A4"/>
    <w:rsid w:val="00EE740A"/>
    <w:rsid w:val="00EE7B2A"/>
    <w:rsid w:val="00EF14A0"/>
    <w:rsid w:val="00EF20FC"/>
    <w:rsid w:val="00EF2B16"/>
    <w:rsid w:val="00EF3F2B"/>
    <w:rsid w:val="00EF471F"/>
    <w:rsid w:val="00EF5BF0"/>
    <w:rsid w:val="00EF6CB1"/>
    <w:rsid w:val="00EF6E22"/>
    <w:rsid w:val="00EF70D2"/>
    <w:rsid w:val="00F00676"/>
    <w:rsid w:val="00F014B8"/>
    <w:rsid w:val="00F017C1"/>
    <w:rsid w:val="00F019B7"/>
    <w:rsid w:val="00F01CEE"/>
    <w:rsid w:val="00F01E9F"/>
    <w:rsid w:val="00F0296A"/>
    <w:rsid w:val="00F029D2"/>
    <w:rsid w:val="00F03D5A"/>
    <w:rsid w:val="00F04673"/>
    <w:rsid w:val="00F0502E"/>
    <w:rsid w:val="00F054CB"/>
    <w:rsid w:val="00F05A5F"/>
    <w:rsid w:val="00F061D6"/>
    <w:rsid w:val="00F064A2"/>
    <w:rsid w:val="00F06F18"/>
    <w:rsid w:val="00F07473"/>
    <w:rsid w:val="00F101D5"/>
    <w:rsid w:val="00F106E6"/>
    <w:rsid w:val="00F121EF"/>
    <w:rsid w:val="00F12694"/>
    <w:rsid w:val="00F1276A"/>
    <w:rsid w:val="00F13365"/>
    <w:rsid w:val="00F1337F"/>
    <w:rsid w:val="00F143A5"/>
    <w:rsid w:val="00F14D42"/>
    <w:rsid w:val="00F16321"/>
    <w:rsid w:val="00F16651"/>
    <w:rsid w:val="00F16862"/>
    <w:rsid w:val="00F1790A"/>
    <w:rsid w:val="00F2025A"/>
    <w:rsid w:val="00F204E8"/>
    <w:rsid w:val="00F207F0"/>
    <w:rsid w:val="00F20DFA"/>
    <w:rsid w:val="00F21102"/>
    <w:rsid w:val="00F2145F"/>
    <w:rsid w:val="00F21D1B"/>
    <w:rsid w:val="00F21E06"/>
    <w:rsid w:val="00F2249A"/>
    <w:rsid w:val="00F22CBA"/>
    <w:rsid w:val="00F24189"/>
    <w:rsid w:val="00F2485C"/>
    <w:rsid w:val="00F24C15"/>
    <w:rsid w:val="00F25D33"/>
    <w:rsid w:val="00F2703A"/>
    <w:rsid w:val="00F270D2"/>
    <w:rsid w:val="00F27230"/>
    <w:rsid w:val="00F27452"/>
    <w:rsid w:val="00F277EE"/>
    <w:rsid w:val="00F27D23"/>
    <w:rsid w:val="00F30C4E"/>
    <w:rsid w:val="00F315A0"/>
    <w:rsid w:val="00F31D27"/>
    <w:rsid w:val="00F32EA4"/>
    <w:rsid w:val="00F330A0"/>
    <w:rsid w:val="00F3335A"/>
    <w:rsid w:val="00F35206"/>
    <w:rsid w:val="00F35294"/>
    <w:rsid w:val="00F35E33"/>
    <w:rsid w:val="00F365F5"/>
    <w:rsid w:val="00F3692A"/>
    <w:rsid w:val="00F36AC2"/>
    <w:rsid w:val="00F37087"/>
    <w:rsid w:val="00F3732A"/>
    <w:rsid w:val="00F3762A"/>
    <w:rsid w:val="00F4025A"/>
    <w:rsid w:val="00F40320"/>
    <w:rsid w:val="00F4117D"/>
    <w:rsid w:val="00F418AF"/>
    <w:rsid w:val="00F41D35"/>
    <w:rsid w:val="00F422B9"/>
    <w:rsid w:val="00F42383"/>
    <w:rsid w:val="00F43C8B"/>
    <w:rsid w:val="00F440FB"/>
    <w:rsid w:val="00F45036"/>
    <w:rsid w:val="00F4524D"/>
    <w:rsid w:val="00F45F9D"/>
    <w:rsid w:val="00F46B69"/>
    <w:rsid w:val="00F47645"/>
    <w:rsid w:val="00F47C00"/>
    <w:rsid w:val="00F47D45"/>
    <w:rsid w:val="00F5090B"/>
    <w:rsid w:val="00F50E57"/>
    <w:rsid w:val="00F51BB6"/>
    <w:rsid w:val="00F52354"/>
    <w:rsid w:val="00F53570"/>
    <w:rsid w:val="00F5373D"/>
    <w:rsid w:val="00F56062"/>
    <w:rsid w:val="00F56153"/>
    <w:rsid w:val="00F56FB6"/>
    <w:rsid w:val="00F571B1"/>
    <w:rsid w:val="00F57677"/>
    <w:rsid w:val="00F57ABC"/>
    <w:rsid w:val="00F603A5"/>
    <w:rsid w:val="00F60FAD"/>
    <w:rsid w:val="00F6120E"/>
    <w:rsid w:val="00F616C9"/>
    <w:rsid w:val="00F61C1A"/>
    <w:rsid w:val="00F62782"/>
    <w:rsid w:val="00F62BA5"/>
    <w:rsid w:val="00F63607"/>
    <w:rsid w:val="00F63D2F"/>
    <w:rsid w:val="00F64FD3"/>
    <w:rsid w:val="00F65117"/>
    <w:rsid w:val="00F65877"/>
    <w:rsid w:val="00F66037"/>
    <w:rsid w:val="00F660ED"/>
    <w:rsid w:val="00F66BE2"/>
    <w:rsid w:val="00F66D03"/>
    <w:rsid w:val="00F67303"/>
    <w:rsid w:val="00F677F7"/>
    <w:rsid w:val="00F67B15"/>
    <w:rsid w:val="00F705BE"/>
    <w:rsid w:val="00F707E0"/>
    <w:rsid w:val="00F70BC2"/>
    <w:rsid w:val="00F70DD7"/>
    <w:rsid w:val="00F70E74"/>
    <w:rsid w:val="00F71734"/>
    <w:rsid w:val="00F71844"/>
    <w:rsid w:val="00F73192"/>
    <w:rsid w:val="00F735A3"/>
    <w:rsid w:val="00F737A9"/>
    <w:rsid w:val="00F744DA"/>
    <w:rsid w:val="00F75220"/>
    <w:rsid w:val="00F75734"/>
    <w:rsid w:val="00F75B52"/>
    <w:rsid w:val="00F75C7C"/>
    <w:rsid w:val="00F76632"/>
    <w:rsid w:val="00F76789"/>
    <w:rsid w:val="00F7681F"/>
    <w:rsid w:val="00F77421"/>
    <w:rsid w:val="00F77FB8"/>
    <w:rsid w:val="00F802A6"/>
    <w:rsid w:val="00F80B88"/>
    <w:rsid w:val="00F815CD"/>
    <w:rsid w:val="00F82D7F"/>
    <w:rsid w:val="00F83B7C"/>
    <w:rsid w:val="00F84399"/>
    <w:rsid w:val="00F84669"/>
    <w:rsid w:val="00F84912"/>
    <w:rsid w:val="00F85237"/>
    <w:rsid w:val="00F855C4"/>
    <w:rsid w:val="00F85921"/>
    <w:rsid w:val="00F85D3F"/>
    <w:rsid w:val="00F86543"/>
    <w:rsid w:val="00F866F5"/>
    <w:rsid w:val="00F874E1"/>
    <w:rsid w:val="00F9082D"/>
    <w:rsid w:val="00F90C4E"/>
    <w:rsid w:val="00F910BF"/>
    <w:rsid w:val="00F917D8"/>
    <w:rsid w:val="00F91D5C"/>
    <w:rsid w:val="00F91EA2"/>
    <w:rsid w:val="00F91FE9"/>
    <w:rsid w:val="00F92046"/>
    <w:rsid w:val="00F922D7"/>
    <w:rsid w:val="00F92ADD"/>
    <w:rsid w:val="00F92FAD"/>
    <w:rsid w:val="00F93430"/>
    <w:rsid w:val="00F93CDD"/>
    <w:rsid w:val="00F93DBD"/>
    <w:rsid w:val="00F9479B"/>
    <w:rsid w:val="00F94F75"/>
    <w:rsid w:val="00F955F0"/>
    <w:rsid w:val="00F95600"/>
    <w:rsid w:val="00F95CF1"/>
    <w:rsid w:val="00F962CE"/>
    <w:rsid w:val="00F9697E"/>
    <w:rsid w:val="00F97082"/>
    <w:rsid w:val="00F972E8"/>
    <w:rsid w:val="00F97344"/>
    <w:rsid w:val="00F97866"/>
    <w:rsid w:val="00FA0989"/>
    <w:rsid w:val="00FA0D17"/>
    <w:rsid w:val="00FA1799"/>
    <w:rsid w:val="00FA1EE2"/>
    <w:rsid w:val="00FA3C29"/>
    <w:rsid w:val="00FA4426"/>
    <w:rsid w:val="00FA4B5C"/>
    <w:rsid w:val="00FA4C63"/>
    <w:rsid w:val="00FA625C"/>
    <w:rsid w:val="00FA68E3"/>
    <w:rsid w:val="00FA6D8F"/>
    <w:rsid w:val="00FA6E8F"/>
    <w:rsid w:val="00FA7445"/>
    <w:rsid w:val="00FA7767"/>
    <w:rsid w:val="00FA7EE7"/>
    <w:rsid w:val="00FB0229"/>
    <w:rsid w:val="00FB055E"/>
    <w:rsid w:val="00FB0F64"/>
    <w:rsid w:val="00FB1455"/>
    <w:rsid w:val="00FB1D61"/>
    <w:rsid w:val="00FB20F6"/>
    <w:rsid w:val="00FB218F"/>
    <w:rsid w:val="00FB2893"/>
    <w:rsid w:val="00FB2B5D"/>
    <w:rsid w:val="00FB35A6"/>
    <w:rsid w:val="00FB3B0B"/>
    <w:rsid w:val="00FB5FEF"/>
    <w:rsid w:val="00FB6178"/>
    <w:rsid w:val="00FB6EDF"/>
    <w:rsid w:val="00FC0D91"/>
    <w:rsid w:val="00FC0EBF"/>
    <w:rsid w:val="00FC12EF"/>
    <w:rsid w:val="00FC1B3A"/>
    <w:rsid w:val="00FC2A9B"/>
    <w:rsid w:val="00FC2AF0"/>
    <w:rsid w:val="00FC3C92"/>
    <w:rsid w:val="00FC3D98"/>
    <w:rsid w:val="00FC41DB"/>
    <w:rsid w:val="00FC47CD"/>
    <w:rsid w:val="00FC4BA9"/>
    <w:rsid w:val="00FC52DC"/>
    <w:rsid w:val="00FC53B1"/>
    <w:rsid w:val="00FC58A8"/>
    <w:rsid w:val="00FC7055"/>
    <w:rsid w:val="00FC7685"/>
    <w:rsid w:val="00FC7779"/>
    <w:rsid w:val="00FC7C98"/>
    <w:rsid w:val="00FD1003"/>
    <w:rsid w:val="00FD146A"/>
    <w:rsid w:val="00FD172B"/>
    <w:rsid w:val="00FD17F3"/>
    <w:rsid w:val="00FD22ED"/>
    <w:rsid w:val="00FD274E"/>
    <w:rsid w:val="00FD32BD"/>
    <w:rsid w:val="00FD4479"/>
    <w:rsid w:val="00FD4C9B"/>
    <w:rsid w:val="00FD56B6"/>
    <w:rsid w:val="00FD5BFD"/>
    <w:rsid w:val="00FD6A2A"/>
    <w:rsid w:val="00FD6D5D"/>
    <w:rsid w:val="00FD7010"/>
    <w:rsid w:val="00FE0ADE"/>
    <w:rsid w:val="00FE0AF3"/>
    <w:rsid w:val="00FE117D"/>
    <w:rsid w:val="00FE2643"/>
    <w:rsid w:val="00FE2DF2"/>
    <w:rsid w:val="00FE3377"/>
    <w:rsid w:val="00FE33F7"/>
    <w:rsid w:val="00FE4075"/>
    <w:rsid w:val="00FE4A25"/>
    <w:rsid w:val="00FE4D65"/>
    <w:rsid w:val="00FE500C"/>
    <w:rsid w:val="00FE63B1"/>
    <w:rsid w:val="00FE6840"/>
    <w:rsid w:val="00FE6C0C"/>
    <w:rsid w:val="00FE6D7F"/>
    <w:rsid w:val="00FE79BE"/>
    <w:rsid w:val="00FE7B27"/>
    <w:rsid w:val="00FF0467"/>
    <w:rsid w:val="00FF149C"/>
    <w:rsid w:val="00FF1F22"/>
    <w:rsid w:val="00FF3473"/>
    <w:rsid w:val="00FF3643"/>
    <w:rsid w:val="00FF3CC8"/>
    <w:rsid w:val="00FF3D5B"/>
    <w:rsid w:val="00FF3F1A"/>
    <w:rsid w:val="00FF409C"/>
    <w:rsid w:val="00FF412D"/>
    <w:rsid w:val="00FF5931"/>
    <w:rsid w:val="00FF628B"/>
    <w:rsid w:val="00FF6407"/>
    <w:rsid w:val="00FF6FE6"/>
    <w:rsid w:val="00FF7181"/>
    <w:rsid w:val="00FF77AC"/>
    <w:rsid w:val="00FF78BC"/>
    <w:rsid w:val="02E58524"/>
    <w:rsid w:val="0445354E"/>
    <w:rsid w:val="06A8E480"/>
    <w:rsid w:val="06AB6101"/>
    <w:rsid w:val="0755682C"/>
    <w:rsid w:val="081F82D7"/>
    <w:rsid w:val="09CF45A3"/>
    <w:rsid w:val="0A6FEE91"/>
    <w:rsid w:val="0B0C1A32"/>
    <w:rsid w:val="10310568"/>
    <w:rsid w:val="1085CC2F"/>
    <w:rsid w:val="1313305D"/>
    <w:rsid w:val="15566156"/>
    <w:rsid w:val="15FC06FA"/>
    <w:rsid w:val="17C6D2A5"/>
    <w:rsid w:val="29D0801D"/>
    <w:rsid w:val="2A97220B"/>
    <w:rsid w:val="2C0F1A1B"/>
    <w:rsid w:val="2C1121D2"/>
    <w:rsid w:val="31666184"/>
    <w:rsid w:val="34BB71FB"/>
    <w:rsid w:val="35B24D2B"/>
    <w:rsid w:val="35B4F9C4"/>
    <w:rsid w:val="3676C2E1"/>
    <w:rsid w:val="3A9CDB1E"/>
    <w:rsid w:val="3BF8FA6B"/>
    <w:rsid w:val="414F61A7"/>
    <w:rsid w:val="4263B144"/>
    <w:rsid w:val="42962A4F"/>
    <w:rsid w:val="4372C865"/>
    <w:rsid w:val="4377F6B4"/>
    <w:rsid w:val="456386F1"/>
    <w:rsid w:val="48097FC9"/>
    <w:rsid w:val="511DE523"/>
    <w:rsid w:val="5B895BCC"/>
    <w:rsid w:val="5E9F5FEB"/>
    <w:rsid w:val="5F699FEE"/>
    <w:rsid w:val="5FBC2003"/>
    <w:rsid w:val="64D32F5B"/>
    <w:rsid w:val="65DA1E38"/>
    <w:rsid w:val="6A10F401"/>
    <w:rsid w:val="6A36E613"/>
    <w:rsid w:val="6B25FEEB"/>
    <w:rsid w:val="6D8A30AD"/>
    <w:rsid w:val="7172D7DF"/>
    <w:rsid w:val="728F25BF"/>
    <w:rsid w:val="7694A483"/>
    <w:rsid w:val="7849E389"/>
    <w:rsid w:val="7AB6CD68"/>
    <w:rsid w:val="7C4672E6"/>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1445FD"/>
  <w15:docId w15:val="{65FC7E24-B58C-41D6-85D6-26B4413F9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99"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E Normal"/>
    <w:qFormat/>
    <w:rsid w:val="00D85A68"/>
    <w:pPr>
      <w:autoSpaceDE w:val="0"/>
      <w:autoSpaceDN w:val="0"/>
      <w:adjustRightInd w:val="0"/>
      <w:spacing w:after="240"/>
      <w:jc w:val="both"/>
    </w:pPr>
    <w:rPr>
      <w:rFonts w:ascii="Roboto Light" w:hAnsi="Roboto Light" w:cs="Pª«ª‘ˇ¯‡™"/>
      <w:sz w:val="22"/>
      <w:szCs w:val="22"/>
      <w:lang w:val="en-US" w:eastAsia="pt-BR"/>
    </w:rPr>
  </w:style>
  <w:style w:type="paragraph" w:styleId="Ttulo1">
    <w:name w:val="heading 1"/>
    <w:aliases w:val="BE Título 1"/>
    <w:basedOn w:val="Normal"/>
    <w:next w:val="Normal"/>
    <w:link w:val="Ttulo1Carter"/>
    <w:autoRedefine/>
    <w:qFormat/>
    <w:rsid w:val="000039F0"/>
    <w:pPr>
      <w:pageBreakBefore/>
      <w:widowControl w:val="0"/>
      <w:numPr>
        <w:numId w:val="1"/>
      </w:numPr>
      <w:tabs>
        <w:tab w:val="left" w:pos="0"/>
      </w:tabs>
      <w:spacing w:before="120" w:after="120"/>
      <w:ind w:left="0" w:firstLine="0"/>
      <w:outlineLvl w:val="0"/>
    </w:pPr>
    <w:rPr>
      <w:rFonts w:ascii="Roboto Black" w:eastAsia="Calibri" w:hAnsi="Roboto Black"/>
      <w:b/>
      <w:bCs/>
      <w:caps/>
      <w:sz w:val="40"/>
      <w:szCs w:val="20"/>
    </w:rPr>
  </w:style>
  <w:style w:type="paragraph" w:styleId="Ttulo2">
    <w:name w:val="heading 2"/>
    <w:aliases w:val="BE Título 2"/>
    <w:basedOn w:val="Normal"/>
    <w:next w:val="Normal"/>
    <w:link w:val="Ttulo2Carter"/>
    <w:autoRedefine/>
    <w:qFormat/>
    <w:rsid w:val="00A23EF9"/>
    <w:pPr>
      <w:keepNext/>
      <w:widowControl w:val="0"/>
      <w:numPr>
        <w:ilvl w:val="1"/>
        <w:numId w:val="1"/>
      </w:numPr>
      <w:tabs>
        <w:tab w:val="left" w:pos="993"/>
      </w:tabs>
      <w:spacing w:before="240" w:after="120"/>
      <w:ind w:left="0" w:firstLine="0"/>
      <w:outlineLvl w:val="1"/>
    </w:pPr>
    <w:rPr>
      <w:rFonts w:ascii="Roboto Black" w:eastAsia="Calibri" w:hAnsi="Roboto Black"/>
      <w:b/>
      <w:bCs/>
      <w:caps/>
      <w:szCs w:val="20"/>
    </w:rPr>
  </w:style>
  <w:style w:type="paragraph" w:styleId="Ttulo3">
    <w:name w:val="heading 3"/>
    <w:aliases w:val="BE Título 3"/>
    <w:basedOn w:val="Normal"/>
    <w:next w:val="Normal"/>
    <w:link w:val="Ttulo3Carter"/>
    <w:autoRedefine/>
    <w:unhideWhenUsed/>
    <w:qFormat/>
    <w:rsid w:val="00AE2691"/>
    <w:pPr>
      <w:keepNext/>
      <w:keepLines/>
      <w:numPr>
        <w:ilvl w:val="2"/>
        <w:numId w:val="1"/>
      </w:numPr>
      <w:tabs>
        <w:tab w:val="left" w:pos="993"/>
      </w:tabs>
      <w:suppressAutoHyphens/>
      <w:spacing w:before="240" w:after="120"/>
      <w:ind w:left="0" w:firstLine="0"/>
      <w:outlineLvl w:val="2"/>
    </w:pPr>
    <w:rPr>
      <w:rFonts w:ascii="Roboto Black" w:eastAsia="Calibri" w:hAnsi="Roboto Black"/>
      <w:b/>
      <w:bCs/>
      <w:szCs w:val="20"/>
    </w:rPr>
  </w:style>
  <w:style w:type="paragraph" w:styleId="Ttulo4">
    <w:name w:val="heading 4"/>
    <w:aliases w:val="BE Título 4"/>
    <w:basedOn w:val="Normal"/>
    <w:next w:val="Normal"/>
    <w:link w:val="Ttulo4Carter"/>
    <w:autoRedefine/>
    <w:unhideWhenUsed/>
    <w:qFormat/>
    <w:rsid w:val="00C930C0"/>
    <w:pPr>
      <w:keepNext/>
      <w:numPr>
        <w:ilvl w:val="3"/>
        <w:numId w:val="1"/>
      </w:numPr>
      <w:tabs>
        <w:tab w:val="left" w:pos="993"/>
      </w:tabs>
      <w:spacing w:before="240" w:after="120"/>
      <w:ind w:left="0" w:firstLine="0"/>
      <w:outlineLvl w:val="3"/>
    </w:pPr>
    <w:rPr>
      <w:rFonts w:ascii="Roboto Black" w:eastAsia="Calibri" w:hAnsi="Roboto Black"/>
      <w:b/>
      <w:bCs/>
      <w:szCs w:val="20"/>
      <w:lang w:eastAsia="en-US"/>
    </w:rPr>
  </w:style>
  <w:style w:type="paragraph" w:styleId="Ttulo5">
    <w:name w:val="heading 5"/>
    <w:aliases w:val="Título 5º nível"/>
    <w:basedOn w:val="Normal"/>
    <w:next w:val="Normal"/>
    <w:link w:val="Ttulo5Carter"/>
    <w:autoRedefine/>
    <w:unhideWhenUsed/>
    <w:rsid w:val="00185C4A"/>
    <w:pPr>
      <w:keepNext/>
      <w:widowControl w:val="0"/>
      <w:numPr>
        <w:ilvl w:val="4"/>
        <w:numId w:val="1"/>
      </w:numPr>
      <w:tabs>
        <w:tab w:val="left" w:pos="1418"/>
      </w:tabs>
      <w:suppressAutoHyphens/>
      <w:spacing w:before="240" w:after="120"/>
      <w:ind w:left="0" w:firstLine="0"/>
      <w:outlineLvl w:val="4"/>
    </w:pPr>
    <w:rPr>
      <w:rFonts w:ascii="Roboto Black" w:eastAsia="Calibri" w:hAnsi="Roboto Black" w:cs="Arial"/>
      <w:b/>
      <w:snapToGrid w:val="0"/>
      <w:szCs w:val="20"/>
      <w:lang w:eastAsia="en-US"/>
    </w:rPr>
  </w:style>
  <w:style w:type="paragraph" w:styleId="Ttulo6">
    <w:name w:val="heading 6"/>
    <w:aliases w:val="Título 6º nível"/>
    <w:basedOn w:val="Normal"/>
    <w:next w:val="Normal"/>
    <w:link w:val="Ttulo6Carter"/>
    <w:autoRedefine/>
    <w:uiPriority w:val="9"/>
    <w:unhideWhenUsed/>
    <w:rsid w:val="00C930C0"/>
    <w:pPr>
      <w:numPr>
        <w:ilvl w:val="5"/>
        <w:numId w:val="1"/>
      </w:numPr>
      <w:tabs>
        <w:tab w:val="left" w:pos="1418"/>
      </w:tabs>
      <w:spacing w:before="240" w:after="120"/>
      <w:ind w:left="0" w:firstLine="0"/>
      <w:outlineLvl w:val="5"/>
    </w:pPr>
    <w:rPr>
      <w:rFonts w:ascii="Roboto Black" w:hAnsi="Roboto Black"/>
      <w:b/>
      <w:bCs/>
      <w:szCs w:val="20"/>
    </w:rPr>
  </w:style>
  <w:style w:type="paragraph" w:styleId="Ttulo7">
    <w:name w:val="heading 7"/>
    <w:aliases w:val="Título 7º nível"/>
    <w:basedOn w:val="Normal"/>
    <w:next w:val="Normal"/>
    <w:link w:val="Ttulo7Carter"/>
    <w:uiPriority w:val="9"/>
    <w:unhideWhenUsed/>
    <w:rsid w:val="00185C4A"/>
    <w:pPr>
      <w:keepNext/>
      <w:keepLines/>
      <w:numPr>
        <w:ilvl w:val="6"/>
        <w:numId w:val="1"/>
      </w:numPr>
      <w:tabs>
        <w:tab w:val="left" w:pos="1843"/>
      </w:tabs>
      <w:spacing w:before="240" w:after="120"/>
      <w:ind w:left="0" w:firstLine="0"/>
      <w:outlineLvl w:val="6"/>
    </w:pPr>
    <w:rPr>
      <w:rFonts w:ascii="Roboto Black" w:hAnsi="Roboto Black"/>
      <w:b/>
      <w:iCs/>
      <w:szCs w:val="20"/>
      <w:lang w:eastAsia="en-US"/>
    </w:rPr>
  </w:style>
  <w:style w:type="paragraph" w:styleId="Ttulo8">
    <w:name w:val="heading 8"/>
    <w:aliases w:val="Heading 81"/>
    <w:basedOn w:val="Normal"/>
    <w:next w:val="Normal"/>
    <w:link w:val="Ttulo8Carter"/>
    <w:uiPriority w:val="9"/>
    <w:rsid w:val="00B567F6"/>
    <w:pPr>
      <w:keepNext/>
      <w:spacing w:before="120" w:after="120"/>
      <w:ind w:left="1440" w:hanging="1440"/>
      <w:jc w:val="center"/>
      <w:outlineLvl w:val="7"/>
    </w:pPr>
    <w:rPr>
      <w:rFonts w:ascii="Arial" w:hAnsi="Arial"/>
      <w:b/>
      <w:sz w:val="26"/>
    </w:rPr>
  </w:style>
  <w:style w:type="paragraph" w:styleId="Ttulo9">
    <w:name w:val="heading 9"/>
    <w:aliases w:val="Heading 91"/>
    <w:basedOn w:val="Normal"/>
    <w:next w:val="Normal"/>
    <w:link w:val="Ttulo9Carter"/>
    <w:uiPriority w:val="9"/>
    <w:rsid w:val="00B567F6"/>
    <w:pPr>
      <w:keepNext/>
      <w:spacing w:before="120" w:after="120"/>
      <w:ind w:left="1584" w:hanging="1584"/>
      <w:outlineLvl w:val="8"/>
    </w:pPr>
    <w:rPr>
      <w:rFonts w:ascii="Arial" w:hAnsi="Arial"/>
      <w:i/>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aliases w:val="BE Título 1 Caráter"/>
    <w:link w:val="Ttulo1"/>
    <w:rsid w:val="000039F0"/>
    <w:rPr>
      <w:rFonts w:ascii="Roboto Black" w:eastAsia="Calibri" w:hAnsi="Roboto Black" w:cs="Pª«ª‘ˇ¯‡™"/>
      <w:b/>
      <w:bCs/>
      <w:caps/>
      <w:sz w:val="40"/>
      <w:lang w:val="en-US" w:eastAsia="pt-BR"/>
    </w:rPr>
  </w:style>
  <w:style w:type="character" w:customStyle="1" w:styleId="Ttulo2Carter">
    <w:name w:val="Título 2 Caráter"/>
    <w:aliases w:val="BE Título 2 Caráter"/>
    <w:link w:val="Ttulo2"/>
    <w:rsid w:val="00A23EF9"/>
    <w:rPr>
      <w:rFonts w:ascii="Roboto Black" w:eastAsia="Calibri" w:hAnsi="Roboto Black" w:cs="Pª«ª‘ˇ¯‡™"/>
      <w:b/>
      <w:bCs/>
      <w:caps/>
      <w:sz w:val="22"/>
      <w:lang w:val="en-US" w:eastAsia="pt-BR"/>
    </w:rPr>
  </w:style>
  <w:style w:type="character" w:customStyle="1" w:styleId="Ttulo3Carter">
    <w:name w:val="Título 3 Caráter"/>
    <w:aliases w:val="BE Título 3 Caráter"/>
    <w:link w:val="Ttulo3"/>
    <w:rsid w:val="00AE2691"/>
    <w:rPr>
      <w:rFonts w:ascii="Roboto Black" w:eastAsia="Calibri" w:hAnsi="Roboto Black" w:cs="Pª«ª‘ˇ¯‡™"/>
      <w:b/>
      <w:bCs/>
      <w:sz w:val="22"/>
      <w:lang w:val="en-US" w:eastAsia="pt-BR"/>
    </w:rPr>
  </w:style>
  <w:style w:type="character" w:customStyle="1" w:styleId="Ttulo4Carter">
    <w:name w:val="Título 4 Caráter"/>
    <w:aliases w:val="BE Título 4 Caráter"/>
    <w:link w:val="Ttulo4"/>
    <w:rsid w:val="00C930C0"/>
    <w:rPr>
      <w:rFonts w:ascii="Roboto Black" w:eastAsia="Calibri" w:hAnsi="Roboto Black" w:cs="Pª«ª‘ˇ¯‡™"/>
      <w:b/>
      <w:bCs/>
      <w:sz w:val="22"/>
      <w:lang w:val="en-US" w:eastAsia="en-US"/>
    </w:rPr>
  </w:style>
  <w:style w:type="character" w:customStyle="1" w:styleId="Ttulo5Carter">
    <w:name w:val="Título 5 Caráter"/>
    <w:aliases w:val="Título 5º nível Caráter"/>
    <w:link w:val="Ttulo5"/>
    <w:rsid w:val="00185C4A"/>
    <w:rPr>
      <w:rFonts w:ascii="Roboto Black" w:eastAsia="Calibri" w:hAnsi="Roboto Black" w:cs="Arial"/>
      <w:b/>
      <w:snapToGrid w:val="0"/>
      <w:sz w:val="22"/>
      <w:lang w:val="en-US" w:eastAsia="en-US"/>
    </w:rPr>
  </w:style>
  <w:style w:type="character" w:customStyle="1" w:styleId="Ttulo6Carter">
    <w:name w:val="Título 6 Caráter"/>
    <w:aliases w:val="Título 6º nível Caráter"/>
    <w:link w:val="Ttulo6"/>
    <w:uiPriority w:val="9"/>
    <w:rsid w:val="00C930C0"/>
    <w:rPr>
      <w:rFonts w:ascii="Roboto Black" w:hAnsi="Roboto Black" w:cs="Pª«ª‘ˇ¯‡™"/>
      <w:b/>
      <w:bCs/>
      <w:sz w:val="22"/>
      <w:lang w:val="en-US" w:eastAsia="pt-BR"/>
    </w:rPr>
  </w:style>
  <w:style w:type="character" w:customStyle="1" w:styleId="Ttulo7Carter">
    <w:name w:val="Título 7 Caráter"/>
    <w:aliases w:val="Título 7º nível Caráter"/>
    <w:link w:val="Ttulo7"/>
    <w:uiPriority w:val="9"/>
    <w:rsid w:val="00185C4A"/>
    <w:rPr>
      <w:rFonts w:ascii="Roboto Black" w:hAnsi="Roboto Black" w:cs="Pª«ª‘ˇ¯‡™"/>
      <w:b/>
      <w:iCs/>
      <w:sz w:val="22"/>
      <w:lang w:val="en-US" w:eastAsia="en-US"/>
    </w:rPr>
  </w:style>
  <w:style w:type="character" w:customStyle="1" w:styleId="Ttulo8Carter">
    <w:name w:val="Título 8 Caráter"/>
    <w:aliases w:val="Heading 81 Caráter"/>
    <w:link w:val="Ttulo8"/>
    <w:uiPriority w:val="9"/>
    <w:rsid w:val="00B567F6"/>
    <w:rPr>
      <w:rFonts w:ascii="Arial" w:hAnsi="Arial"/>
      <w:b/>
      <w:sz w:val="26"/>
      <w:szCs w:val="24"/>
    </w:rPr>
  </w:style>
  <w:style w:type="character" w:customStyle="1" w:styleId="Ttulo9Carter">
    <w:name w:val="Título 9 Caráter"/>
    <w:aliases w:val="Heading 91 Caráter"/>
    <w:link w:val="Ttulo9"/>
    <w:uiPriority w:val="9"/>
    <w:rsid w:val="00B567F6"/>
    <w:rPr>
      <w:rFonts w:ascii="Arial" w:hAnsi="Arial"/>
      <w:i/>
    </w:rPr>
  </w:style>
  <w:style w:type="paragraph" w:styleId="Cabealho">
    <w:name w:val="header"/>
    <w:basedOn w:val="Normal"/>
    <w:link w:val="CabealhoCarter"/>
    <w:uiPriority w:val="99"/>
    <w:rsid w:val="007F6CBE"/>
    <w:pPr>
      <w:tabs>
        <w:tab w:val="center" w:pos="4419"/>
        <w:tab w:val="right" w:pos="8838"/>
      </w:tabs>
    </w:pPr>
  </w:style>
  <w:style w:type="character" w:customStyle="1" w:styleId="CabealhoCarter">
    <w:name w:val="Cabeçalho Caráter"/>
    <w:link w:val="Cabealho"/>
    <w:uiPriority w:val="99"/>
    <w:rsid w:val="00B02620"/>
    <w:rPr>
      <w:rFonts w:ascii="Calibri" w:hAnsi="Calibri"/>
      <w:sz w:val="24"/>
      <w:szCs w:val="24"/>
    </w:rPr>
  </w:style>
  <w:style w:type="paragraph" w:styleId="Rodap">
    <w:name w:val="footer"/>
    <w:basedOn w:val="Normal"/>
    <w:link w:val="RodapCarter"/>
    <w:uiPriority w:val="99"/>
    <w:rsid w:val="007F6CBE"/>
    <w:pPr>
      <w:tabs>
        <w:tab w:val="center" w:pos="4419"/>
        <w:tab w:val="right" w:pos="8838"/>
      </w:tabs>
    </w:pPr>
  </w:style>
  <w:style w:type="character" w:customStyle="1" w:styleId="RodapCarter">
    <w:name w:val="Rodapé Caráter"/>
    <w:link w:val="Rodap"/>
    <w:uiPriority w:val="99"/>
    <w:rsid w:val="003770F4"/>
    <w:rPr>
      <w:rFonts w:ascii="Calibri" w:hAnsi="Calibri"/>
      <w:sz w:val="24"/>
      <w:szCs w:val="24"/>
    </w:rPr>
  </w:style>
  <w:style w:type="paragraph" w:styleId="ndice1">
    <w:name w:val="toc 1"/>
    <w:basedOn w:val="Normal"/>
    <w:next w:val="Normal"/>
    <w:autoRedefine/>
    <w:uiPriority w:val="39"/>
    <w:rsid w:val="00E07135"/>
    <w:pPr>
      <w:tabs>
        <w:tab w:val="left" w:pos="567"/>
        <w:tab w:val="right" w:leader="dot" w:pos="9072"/>
      </w:tabs>
      <w:spacing w:before="240" w:after="120"/>
    </w:pPr>
    <w:rPr>
      <w:rFonts w:cs="Arial"/>
      <w:b/>
      <w:bCs/>
      <w:noProof/>
      <w:sz w:val="20"/>
    </w:rPr>
  </w:style>
  <w:style w:type="paragraph" w:styleId="Cabealhodendicedeautoridades">
    <w:name w:val="toa heading"/>
    <w:basedOn w:val="Normal"/>
    <w:next w:val="Normal"/>
    <w:uiPriority w:val="99"/>
    <w:semiHidden/>
    <w:rsid w:val="009D4C71"/>
    <w:pPr>
      <w:spacing w:before="120"/>
    </w:pPr>
    <w:rPr>
      <w:rFonts w:cs="Arial"/>
      <w:b/>
      <w:bCs/>
    </w:rPr>
  </w:style>
  <w:style w:type="paragraph" w:styleId="Corpodetexto">
    <w:name w:val="Body Text"/>
    <w:basedOn w:val="Normal"/>
    <w:link w:val="CorpodetextoCarter"/>
    <w:uiPriority w:val="99"/>
    <w:rsid w:val="008B787E"/>
    <w:rPr>
      <w:rFonts w:cs="Arial"/>
      <w:szCs w:val="20"/>
    </w:rPr>
  </w:style>
  <w:style w:type="character" w:customStyle="1" w:styleId="CorpodetextoCarter">
    <w:name w:val="Corpo de texto Caráter"/>
    <w:link w:val="Corpodetexto"/>
    <w:uiPriority w:val="99"/>
    <w:rsid w:val="00B02620"/>
    <w:rPr>
      <w:rFonts w:ascii="Calibri" w:hAnsi="Calibri" w:cs="Arial"/>
      <w:sz w:val="24"/>
    </w:rPr>
  </w:style>
  <w:style w:type="character" w:styleId="Nmerodepgina">
    <w:name w:val="page number"/>
    <w:basedOn w:val="Tipodeletrapredefinidodopargrafo"/>
    <w:rsid w:val="00ED725A"/>
  </w:style>
  <w:style w:type="character" w:styleId="Hiperligao">
    <w:name w:val="Hyperlink"/>
    <w:uiPriority w:val="99"/>
    <w:rsid w:val="00DB34C0"/>
    <w:rPr>
      <w:color w:val="0000FF"/>
      <w:u w:val="single"/>
    </w:rPr>
  </w:style>
  <w:style w:type="paragraph" w:styleId="PargrafodaLista">
    <w:name w:val="List Paragraph"/>
    <w:basedOn w:val="Normal"/>
    <w:link w:val="PargrafodaListaCarter"/>
    <w:uiPriority w:val="1"/>
    <w:rsid w:val="00F365F5"/>
    <w:pPr>
      <w:spacing w:after="200" w:line="276" w:lineRule="auto"/>
      <w:ind w:left="720"/>
      <w:contextualSpacing/>
    </w:pPr>
    <w:rPr>
      <w:rFonts w:ascii="Calibri" w:eastAsia="Calibri" w:hAnsi="Calibri"/>
      <w:lang w:eastAsia="en-US"/>
    </w:rPr>
  </w:style>
  <w:style w:type="character" w:customStyle="1" w:styleId="PargrafodaListaCarter">
    <w:name w:val="Parágrafo da Lista Caráter"/>
    <w:link w:val="PargrafodaLista"/>
    <w:uiPriority w:val="1"/>
    <w:locked/>
    <w:rsid w:val="00AF773B"/>
    <w:rPr>
      <w:rFonts w:ascii="Calibri" w:eastAsia="Calibri" w:hAnsi="Calibri"/>
      <w:sz w:val="22"/>
      <w:szCs w:val="22"/>
      <w:lang w:eastAsia="en-US"/>
    </w:rPr>
  </w:style>
  <w:style w:type="table" w:styleId="TabelacomGrelha">
    <w:name w:val="Table Grid"/>
    <w:basedOn w:val="Tabelanormal"/>
    <w:uiPriority w:val="39"/>
    <w:rsid w:val="000C03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odetexto3">
    <w:name w:val="Body Text 3"/>
    <w:basedOn w:val="Normal"/>
    <w:link w:val="Corpodetexto3Carter"/>
    <w:uiPriority w:val="99"/>
    <w:rsid w:val="008F6833"/>
    <w:pPr>
      <w:spacing w:after="120"/>
    </w:pPr>
    <w:rPr>
      <w:sz w:val="16"/>
      <w:szCs w:val="16"/>
    </w:rPr>
  </w:style>
  <w:style w:type="character" w:customStyle="1" w:styleId="Corpodetexto3Carter">
    <w:name w:val="Corpo de texto 3 Caráter"/>
    <w:link w:val="Corpodetexto3"/>
    <w:uiPriority w:val="99"/>
    <w:rsid w:val="008F6833"/>
    <w:rPr>
      <w:rFonts w:ascii="Arial" w:hAnsi="Arial"/>
      <w:sz w:val="16"/>
      <w:szCs w:val="16"/>
    </w:rPr>
  </w:style>
  <w:style w:type="paragraph" w:styleId="Textodenotaderodap">
    <w:name w:val="footnote text"/>
    <w:basedOn w:val="Normal"/>
    <w:link w:val="TextodenotaderodapCarter"/>
    <w:uiPriority w:val="99"/>
    <w:rsid w:val="003B2C72"/>
    <w:rPr>
      <w:sz w:val="20"/>
      <w:szCs w:val="20"/>
    </w:rPr>
  </w:style>
  <w:style w:type="character" w:customStyle="1" w:styleId="TextodenotaderodapCarter">
    <w:name w:val="Texto de nota de rodapé Caráter"/>
    <w:link w:val="Textodenotaderodap"/>
    <w:uiPriority w:val="99"/>
    <w:rsid w:val="003B2C72"/>
    <w:rPr>
      <w:rFonts w:ascii="Arial" w:hAnsi="Arial"/>
    </w:rPr>
  </w:style>
  <w:style w:type="character" w:styleId="Refdenotaderodap">
    <w:name w:val="footnote reference"/>
    <w:rsid w:val="003B2C72"/>
    <w:rPr>
      <w:vertAlign w:val="superscript"/>
    </w:rPr>
  </w:style>
  <w:style w:type="paragraph" w:styleId="Avanodecorpodetexto">
    <w:name w:val="Body Text Indent"/>
    <w:basedOn w:val="Normal"/>
    <w:link w:val="AvanodecorpodetextoCarter"/>
    <w:uiPriority w:val="99"/>
    <w:rsid w:val="002479F5"/>
    <w:pPr>
      <w:spacing w:after="120"/>
      <w:ind w:left="283"/>
    </w:pPr>
  </w:style>
  <w:style w:type="character" w:customStyle="1" w:styleId="AvanodecorpodetextoCarter">
    <w:name w:val="Avanço de corpo de texto Caráter"/>
    <w:link w:val="Avanodecorpodetexto"/>
    <w:uiPriority w:val="99"/>
    <w:rsid w:val="002479F5"/>
    <w:rPr>
      <w:rFonts w:ascii="Arial" w:hAnsi="Arial"/>
      <w:sz w:val="24"/>
      <w:szCs w:val="24"/>
    </w:rPr>
  </w:style>
  <w:style w:type="paragraph" w:customStyle="1" w:styleId="Legendas">
    <w:name w:val="Legendas"/>
    <w:basedOn w:val="TabQuaFigFot"/>
    <w:link w:val="LegendasChar"/>
    <w:rsid w:val="005E31AE"/>
    <w:pPr>
      <w:spacing w:before="120" w:after="0"/>
    </w:pPr>
    <w:rPr>
      <w:lang w:val="pt-PT"/>
    </w:rPr>
  </w:style>
  <w:style w:type="paragraph" w:styleId="Legenda">
    <w:name w:val="caption"/>
    <w:aliases w:val="Quadro"/>
    <w:basedOn w:val="Normal"/>
    <w:next w:val="Normal"/>
    <w:link w:val="LegendaCarter"/>
    <w:autoRedefine/>
    <w:uiPriority w:val="35"/>
    <w:unhideWhenUsed/>
    <w:rsid w:val="00041DCC"/>
    <w:pPr>
      <w:tabs>
        <w:tab w:val="left" w:pos="4872"/>
      </w:tabs>
      <w:jc w:val="center"/>
    </w:pPr>
    <w:rPr>
      <w:rFonts w:eastAsia="Calibri"/>
      <w:bCs/>
    </w:rPr>
  </w:style>
  <w:style w:type="character" w:customStyle="1" w:styleId="LegendasChar">
    <w:name w:val="Legendas Char"/>
    <w:link w:val="Legendas"/>
    <w:rsid w:val="005E31AE"/>
    <w:rPr>
      <w:rFonts w:ascii="Roboto Light" w:hAnsi="Roboto Light" w:cs="Pª«ª‘ˇ¯‡™"/>
      <w:szCs w:val="22"/>
      <w:lang w:val="pt-PT"/>
    </w:rPr>
  </w:style>
  <w:style w:type="paragraph" w:styleId="Textodebalo">
    <w:name w:val="Balloon Text"/>
    <w:basedOn w:val="Normal"/>
    <w:link w:val="TextodebaloCarter"/>
    <w:uiPriority w:val="99"/>
    <w:rsid w:val="00B21113"/>
    <w:rPr>
      <w:rFonts w:ascii="Tahoma" w:hAnsi="Tahoma"/>
      <w:sz w:val="16"/>
      <w:szCs w:val="16"/>
    </w:rPr>
  </w:style>
  <w:style w:type="character" w:customStyle="1" w:styleId="TextodebaloCarter">
    <w:name w:val="Texto de balão Caráter"/>
    <w:link w:val="Textodebalo"/>
    <w:uiPriority w:val="99"/>
    <w:rsid w:val="00B21113"/>
    <w:rPr>
      <w:rFonts w:ascii="Tahoma" w:hAnsi="Tahoma" w:cs="Tahoma"/>
      <w:sz w:val="16"/>
      <w:szCs w:val="16"/>
    </w:rPr>
  </w:style>
  <w:style w:type="paragraph" w:customStyle="1" w:styleId="TabelasQuadros">
    <w:name w:val="Tabelas/Quadros"/>
    <w:basedOn w:val="Normal"/>
    <w:uiPriority w:val="99"/>
    <w:rsid w:val="00531C20"/>
    <w:pPr>
      <w:spacing w:before="300" w:after="60"/>
      <w:jc w:val="center"/>
    </w:pPr>
    <w:rPr>
      <w:rFonts w:eastAsia="Calibri"/>
      <w:lang w:eastAsia="en-US"/>
    </w:rPr>
  </w:style>
  <w:style w:type="character" w:styleId="nfase">
    <w:name w:val="Emphasis"/>
    <w:uiPriority w:val="20"/>
    <w:rsid w:val="000C68C9"/>
    <w:rPr>
      <w:i/>
      <w:iCs/>
    </w:rPr>
  </w:style>
  <w:style w:type="paragraph" w:customStyle="1" w:styleId="EIA-Tabela">
    <w:name w:val="EIA-Tabela"/>
    <w:basedOn w:val="Normal"/>
    <w:uiPriority w:val="99"/>
    <w:rsid w:val="00D323C8"/>
    <w:pPr>
      <w:jc w:val="left"/>
    </w:pPr>
    <w:rPr>
      <w:rFonts w:ascii="Times New Roman" w:hAnsi="Times New Roman"/>
      <w:sz w:val="20"/>
    </w:rPr>
  </w:style>
  <w:style w:type="paragraph" w:styleId="SemEspaamento">
    <w:name w:val="No Spacing"/>
    <w:uiPriority w:val="1"/>
    <w:rsid w:val="005A7C80"/>
    <w:rPr>
      <w:rFonts w:ascii="Arial" w:hAnsi="Arial"/>
      <w:sz w:val="24"/>
      <w:lang w:val="pt-BR" w:eastAsia="pt-BR"/>
    </w:rPr>
  </w:style>
  <w:style w:type="paragraph" w:styleId="ndice2">
    <w:name w:val="toc 2"/>
    <w:basedOn w:val="Normal"/>
    <w:next w:val="Normal"/>
    <w:autoRedefine/>
    <w:uiPriority w:val="39"/>
    <w:rsid w:val="00E07135"/>
    <w:pPr>
      <w:tabs>
        <w:tab w:val="left" w:pos="567"/>
        <w:tab w:val="right" w:leader="dot" w:pos="9061"/>
      </w:tabs>
      <w:spacing w:before="120" w:after="120"/>
      <w:jc w:val="left"/>
    </w:pPr>
    <w:rPr>
      <w:noProof/>
      <w:sz w:val="20"/>
    </w:rPr>
  </w:style>
  <w:style w:type="paragraph" w:styleId="ndice3">
    <w:name w:val="toc 3"/>
    <w:basedOn w:val="Normal"/>
    <w:next w:val="Normal"/>
    <w:autoRedefine/>
    <w:uiPriority w:val="39"/>
    <w:rsid w:val="000679C9"/>
    <w:pPr>
      <w:tabs>
        <w:tab w:val="left" w:pos="709"/>
        <w:tab w:val="right" w:leader="dot" w:pos="9061"/>
      </w:tabs>
      <w:spacing w:before="120" w:after="120"/>
      <w:jc w:val="left"/>
    </w:pPr>
    <w:rPr>
      <w:rFonts w:eastAsia="Calibri"/>
      <w:b/>
      <w:noProof/>
      <w:sz w:val="20"/>
    </w:rPr>
  </w:style>
  <w:style w:type="character" w:customStyle="1" w:styleId="st">
    <w:name w:val="st"/>
    <w:rsid w:val="00F32EA4"/>
  </w:style>
  <w:style w:type="paragraph" w:styleId="ndice4">
    <w:name w:val="toc 4"/>
    <w:basedOn w:val="Normal"/>
    <w:next w:val="Normal"/>
    <w:autoRedefine/>
    <w:uiPriority w:val="39"/>
    <w:rsid w:val="000679C9"/>
    <w:pPr>
      <w:tabs>
        <w:tab w:val="left" w:pos="851"/>
        <w:tab w:val="right" w:leader="dot" w:pos="9072"/>
      </w:tabs>
      <w:spacing w:after="120"/>
      <w:jc w:val="left"/>
    </w:pPr>
    <w:rPr>
      <w:noProof/>
      <w:sz w:val="20"/>
    </w:rPr>
  </w:style>
  <w:style w:type="character" w:styleId="Hiperligaovisitada">
    <w:name w:val="FollowedHyperlink"/>
    <w:uiPriority w:val="99"/>
    <w:unhideWhenUsed/>
    <w:rsid w:val="0051470C"/>
    <w:rPr>
      <w:color w:val="800080"/>
      <w:u w:val="single"/>
    </w:rPr>
  </w:style>
  <w:style w:type="paragraph" w:customStyle="1" w:styleId="xl65">
    <w:name w:val="xl65"/>
    <w:basedOn w:val="Normal"/>
    <w:uiPriority w:val="99"/>
    <w:rsid w:val="0051470C"/>
    <w:pPr>
      <w:spacing w:before="100" w:beforeAutospacing="1" w:after="100" w:afterAutospacing="1"/>
      <w:jc w:val="center"/>
      <w:textAlignment w:val="center"/>
    </w:pPr>
    <w:rPr>
      <w:rFonts w:ascii="Times New Roman" w:hAnsi="Times New Roman"/>
    </w:rPr>
  </w:style>
  <w:style w:type="paragraph" w:customStyle="1" w:styleId="xl66">
    <w:name w:val="xl66"/>
    <w:basedOn w:val="Normal"/>
    <w:uiPriority w:val="99"/>
    <w:rsid w:val="0051470C"/>
    <w:pPr>
      <w:pBdr>
        <w:top w:val="single" w:sz="4" w:space="0" w:color="auto"/>
        <w:left w:val="single" w:sz="4" w:space="0" w:color="auto"/>
        <w:bottom w:val="single" w:sz="4" w:space="0" w:color="auto"/>
        <w:right w:val="single" w:sz="4" w:space="0" w:color="auto"/>
      </w:pBdr>
      <w:shd w:val="clear" w:color="000000" w:fill="EAF1DD"/>
      <w:spacing w:before="100" w:beforeAutospacing="1" w:after="100" w:afterAutospacing="1"/>
      <w:jc w:val="center"/>
      <w:textAlignment w:val="center"/>
    </w:pPr>
    <w:rPr>
      <w:rFonts w:ascii="Times New Roman" w:hAnsi="Times New Roman"/>
      <w:b/>
      <w:bCs/>
    </w:rPr>
  </w:style>
  <w:style w:type="paragraph" w:customStyle="1" w:styleId="xl67">
    <w:name w:val="xl67"/>
    <w:basedOn w:val="Normal"/>
    <w:uiPriority w:val="99"/>
    <w:rsid w:val="0051470C"/>
    <w:pPr>
      <w:pBdr>
        <w:top w:val="single" w:sz="4" w:space="0" w:color="auto"/>
        <w:left w:val="single" w:sz="4" w:space="0" w:color="auto"/>
        <w:bottom w:val="single" w:sz="4" w:space="0" w:color="auto"/>
        <w:right w:val="single" w:sz="4" w:space="0" w:color="auto"/>
      </w:pBdr>
      <w:shd w:val="clear" w:color="000000" w:fill="EAF1DD"/>
      <w:spacing w:before="100" w:beforeAutospacing="1" w:after="100" w:afterAutospacing="1"/>
      <w:jc w:val="center"/>
      <w:textAlignment w:val="center"/>
    </w:pPr>
    <w:rPr>
      <w:rFonts w:ascii="Times New Roman" w:hAnsi="Times New Roman"/>
      <w:b/>
      <w:bCs/>
    </w:rPr>
  </w:style>
  <w:style w:type="paragraph" w:customStyle="1" w:styleId="xl68">
    <w:name w:val="xl68"/>
    <w:basedOn w:val="Normal"/>
    <w:uiPriority w:val="99"/>
    <w:rsid w:val="0051470C"/>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center"/>
      <w:textAlignment w:val="center"/>
    </w:pPr>
    <w:rPr>
      <w:rFonts w:ascii="Times New Roman" w:hAnsi="Times New Roman"/>
    </w:rPr>
  </w:style>
  <w:style w:type="paragraph" w:customStyle="1" w:styleId="xl69">
    <w:name w:val="xl69"/>
    <w:basedOn w:val="Normal"/>
    <w:uiPriority w:val="99"/>
    <w:rsid w:val="0051470C"/>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rPr>
  </w:style>
  <w:style w:type="paragraph" w:customStyle="1" w:styleId="xl70">
    <w:name w:val="xl70"/>
    <w:basedOn w:val="Normal"/>
    <w:uiPriority w:val="99"/>
    <w:rsid w:val="0051470C"/>
    <w:pPr>
      <w:shd w:val="clear" w:color="000000" w:fill="FFFF00"/>
      <w:spacing w:before="100" w:beforeAutospacing="1" w:after="100" w:afterAutospacing="1"/>
      <w:jc w:val="center"/>
      <w:textAlignment w:val="center"/>
    </w:pPr>
    <w:rPr>
      <w:rFonts w:ascii="Times New Roman" w:hAnsi="Times New Roman"/>
    </w:rPr>
  </w:style>
  <w:style w:type="paragraph" w:customStyle="1" w:styleId="xl71">
    <w:name w:val="xl71"/>
    <w:basedOn w:val="Normal"/>
    <w:uiPriority w:val="99"/>
    <w:rsid w:val="0051470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rPr>
  </w:style>
  <w:style w:type="paragraph" w:customStyle="1" w:styleId="xl72">
    <w:name w:val="xl72"/>
    <w:basedOn w:val="Normal"/>
    <w:uiPriority w:val="99"/>
    <w:rsid w:val="0051470C"/>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rFonts w:ascii="Times New Roman" w:hAnsi="Times New Roman"/>
    </w:rPr>
  </w:style>
  <w:style w:type="paragraph" w:customStyle="1" w:styleId="xl73">
    <w:name w:val="xl73"/>
    <w:basedOn w:val="Normal"/>
    <w:uiPriority w:val="99"/>
    <w:rsid w:val="0051470C"/>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left"/>
      <w:textAlignment w:val="center"/>
    </w:pPr>
    <w:rPr>
      <w:rFonts w:ascii="Times New Roman" w:hAnsi="Times New Roman"/>
      <w:i/>
      <w:iCs/>
    </w:rPr>
  </w:style>
  <w:style w:type="paragraph" w:customStyle="1" w:styleId="xl74">
    <w:name w:val="xl74"/>
    <w:basedOn w:val="Normal"/>
    <w:uiPriority w:val="99"/>
    <w:rsid w:val="0051470C"/>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rFonts w:ascii="Times New Roman" w:hAnsi="Times New Roman"/>
      <w:i/>
      <w:iCs/>
    </w:rPr>
  </w:style>
  <w:style w:type="paragraph" w:customStyle="1" w:styleId="xl75">
    <w:name w:val="xl75"/>
    <w:basedOn w:val="Normal"/>
    <w:uiPriority w:val="99"/>
    <w:rsid w:val="0051470C"/>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left"/>
      <w:textAlignment w:val="center"/>
    </w:pPr>
    <w:rPr>
      <w:rFonts w:ascii="Times New Roman" w:hAnsi="Times New Roman"/>
    </w:rPr>
  </w:style>
  <w:style w:type="paragraph" w:customStyle="1" w:styleId="xl76">
    <w:name w:val="xl76"/>
    <w:basedOn w:val="Normal"/>
    <w:uiPriority w:val="99"/>
    <w:rsid w:val="0051470C"/>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rFonts w:ascii="Times New Roman" w:hAnsi="Times New Roman"/>
    </w:rPr>
  </w:style>
  <w:style w:type="paragraph" w:customStyle="1" w:styleId="xl77">
    <w:name w:val="xl77"/>
    <w:basedOn w:val="Normal"/>
    <w:uiPriority w:val="99"/>
    <w:rsid w:val="0051470C"/>
    <w:pPr>
      <w:pBdr>
        <w:top w:val="single" w:sz="4" w:space="0" w:color="auto"/>
        <w:left w:val="single" w:sz="4" w:space="0" w:color="auto"/>
        <w:bottom w:val="single" w:sz="4" w:space="0" w:color="auto"/>
        <w:right w:val="single" w:sz="4" w:space="0" w:color="auto"/>
      </w:pBdr>
      <w:shd w:val="clear" w:color="000000" w:fill="EAF1DD"/>
      <w:spacing w:before="100" w:beforeAutospacing="1" w:after="100" w:afterAutospacing="1"/>
      <w:jc w:val="center"/>
      <w:textAlignment w:val="center"/>
    </w:pPr>
    <w:rPr>
      <w:rFonts w:ascii="Times New Roman" w:hAnsi="Times New Roman"/>
      <w:b/>
      <w:bCs/>
    </w:rPr>
  </w:style>
  <w:style w:type="paragraph" w:customStyle="1" w:styleId="xl78">
    <w:name w:val="xl78"/>
    <w:basedOn w:val="Normal"/>
    <w:uiPriority w:val="99"/>
    <w:rsid w:val="0051470C"/>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right"/>
      <w:textAlignment w:val="center"/>
    </w:pPr>
    <w:rPr>
      <w:rFonts w:ascii="Times New Roman" w:hAnsi="Times New Roman"/>
    </w:rPr>
  </w:style>
  <w:style w:type="paragraph" w:customStyle="1" w:styleId="xl79">
    <w:name w:val="xl79"/>
    <w:basedOn w:val="Normal"/>
    <w:uiPriority w:val="99"/>
    <w:rsid w:val="0051470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rPr>
  </w:style>
  <w:style w:type="paragraph" w:customStyle="1" w:styleId="xl80">
    <w:name w:val="xl80"/>
    <w:basedOn w:val="Normal"/>
    <w:uiPriority w:val="99"/>
    <w:rsid w:val="0051470C"/>
    <w:pPr>
      <w:pBdr>
        <w:top w:val="single" w:sz="4" w:space="0" w:color="auto"/>
        <w:left w:val="single" w:sz="4" w:space="0" w:color="auto"/>
        <w:bottom w:val="single" w:sz="4" w:space="0" w:color="auto"/>
        <w:right w:val="single" w:sz="4" w:space="0" w:color="auto"/>
      </w:pBdr>
      <w:shd w:val="clear" w:color="000000" w:fill="EAF1DD"/>
      <w:spacing w:before="100" w:beforeAutospacing="1" w:after="100" w:afterAutospacing="1"/>
      <w:jc w:val="center"/>
      <w:textAlignment w:val="center"/>
    </w:pPr>
    <w:rPr>
      <w:rFonts w:ascii="Times New Roman" w:hAnsi="Times New Roman"/>
      <w:b/>
      <w:bCs/>
    </w:rPr>
  </w:style>
  <w:style w:type="paragraph" w:customStyle="1" w:styleId="xl81">
    <w:name w:val="xl81"/>
    <w:basedOn w:val="Normal"/>
    <w:uiPriority w:val="99"/>
    <w:rsid w:val="0051470C"/>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right"/>
      <w:textAlignment w:val="center"/>
    </w:pPr>
    <w:rPr>
      <w:rFonts w:ascii="Times New Roman" w:hAnsi="Times New Roman"/>
    </w:rPr>
  </w:style>
  <w:style w:type="paragraph" w:customStyle="1" w:styleId="xl82">
    <w:name w:val="xl82"/>
    <w:basedOn w:val="Normal"/>
    <w:uiPriority w:val="99"/>
    <w:rsid w:val="0051470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rPr>
  </w:style>
  <w:style w:type="paragraph" w:customStyle="1" w:styleId="xl83">
    <w:name w:val="xl83"/>
    <w:basedOn w:val="Normal"/>
    <w:uiPriority w:val="99"/>
    <w:rsid w:val="0051470C"/>
    <w:pPr>
      <w:pBdr>
        <w:top w:val="single" w:sz="4" w:space="0" w:color="auto"/>
        <w:left w:val="single" w:sz="4" w:space="0" w:color="auto"/>
        <w:bottom w:val="single" w:sz="4" w:space="0" w:color="auto"/>
        <w:right w:val="single" w:sz="4" w:space="0" w:color="auto"/>
      </w:pBdr>
      <w:shd w:val="clear" w:color="000000" w:fill="D7E4BC"/>
      <w:spacing w:before="100" w:beforeAutospacing="1" w:after="100" w:afterAutospacing="1"/>
      <w:jc w:val="right"/>
      <w:textAlignment w:val="center"/>
    </w:pPr>
    <w:rPr>
      <w:rFonts w:ascii="Times New Roman" w:hAnsi="Times New Roman"/>
    </w:rPr>
  </w:style>
  <w:style w:type="paragraph" w:customStyle="1" w:styleId="xl84">
    <w:name w:val="xl84"/>
    <w:basedOn w:val="Normal"/>
    <w:uiPriority w:val="99"/>
    <w:rsid w:val="0051470C"/>
    <w:pPr>
      <w:pBdr>
        <w:top w:val="single" w:sz="4" w:space="0" w:color="auto"/>
        <w:left w:val="single" w:sz="4" w:space="0" w:color="auto"/>
        <w:bottom w:val="single" w:sz="4" w:space="0" w:color="auto"/>
        <w:right w:val="single" w:sz="4" w:space="0" w:color="auto"/>
      </w:pBdr>
      <w:shd w:val="clear" w:color="000000" w:fill="D7E4BC"/>
      <w:spacing w:before="100" w:beforeAutospacing="1" w:after="100" w:afterAutospacing="1"/>
      <w:jc w:val="right"/>
      <w:textAlignment w:val="center"/>
    </w:pPr>
    <w:rPr>
      <w:rFonts w:ascii="Times New Roman" w:hAnsi="Times New Roman"/>
    </w:rPr>
  </w:style>
  <w:style w:type="paragraph" w:customStyle="1" w:styleId="xl85">
    <w:name w:val="xl85"/>
    <w:basedOn w:val="Normal"/>
    <w:uiPriority w:val="99"/>
    <w:rsid w:val="0051470C"/>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right"/>
      <w:textAlignment w:val="center"/>
    </w:pPr>
    <w:rPr>
      <w:rFonts w:ascii="Times New Roman" w:hAnsi="Times New Roman"/>
    </w:rPr>
  </w:style>
  <w:style w:type="paragraph" w:customStyle="1" w:styleId="xl86">
    <w:name w:val="xl86"/>
    <w:basedOn w:val="Normal"/>
    <w:uiPriority w:val="99"/>
    <w:rsid w:val="0051470C"/>
    <w:pPr>
      <w:pBdr>
        <w:top w:val="single" w:sz="4" w:space="0" w:color="auto"/>
        <w:left w:val="single" w:sz="4" w:space="0" w:color="auto"/>
        <w:bottom w:val="single" w:sz="4" w:space="0" w:color="auto"/>
        <w:right w:val="single" w:sz="4" w:space="0" w:color="auto"/>
      </w:pBdr>
      <w:shd w:val="clear" w:color="000000" w:fill="FAC090"/>
      <w:spacing w:before="100" w:beforeAutospacing="1" w:after="100" w:afterAutospacing="1"/>
      <w:jc w:val="left"/>
      <w:textAlignment w:val="center"/>
    </w:pPr>
    <w:rPr>
      <w:rFonts w:ascii="Times New Roman" w:hAnsi="Times New Roman"/>
    </w:rPr>
  </w:style>
  <w:style w:type="paragraph" w:customStyle="1" w:styleId="xl87">
    <w:name w:val="xl87"/>
    <w:basedOn w:val="Normal"/>
    <w:uiPriority w:val="99"/>
    <w:rsid w:val="0051470C"/>
    <w:pPr>
      <w:pBdr>
        <w:top w:val="single" w:sz="4" w:space="0" w:color="auto"/>
        <w:left w:val="single" w:sz="4" w:space="0" w:color="auto"/>
        <w:bottom w:val="single" w:sz="4" w:space="0" w:color="auto"/>
        <w:right w:val="single" w:sz="4" w:space="0" w:color="auto"/>
      </w:pBdr>
      <w:shd w:val="clear" w:color="000000" w:fill="FAC090"/>
      <w:spacing w:before="100" w:beforeAutospacing="1" w:after="100" w:afterAutospacing="1"/>
      <w:jc w:val="left"/>
      <w:textAlignment w:val="center"/>
    </w:pPr>
    <w:rPr>
      <w:rFonts w:ascii="Times New Roman" w:hAnsi="Times New Roman"/>
      <w:i/>
      <w:iCs/>
    </w:rPr>
  </w:style>
  <w:style w:type="paragraph" w:customStyle="1" w:styleId="xl88">
    <w:name w:val="xl88"/>
    <w:basedOn w:val="Normal"/>
    <w:uiPriority w:val="99"/>
    <w:rsid w:val="0051470C"/>
    <w:pPr>
      <w:pBdr>
        <w:top w:val="single" w:sz="4" w:space="0" w:color="auto"/>
        <w:left w:val="single" w:sz="4" w:space="0" w:color="auto"/>
        <w:bottom w:val="single" w:sz="4" w:space="0" w:color="auto"/>
        <w:right w:val="single" w:sz="4" w:space="0" w:color="auto"/>
      </w:pBdr>
      <w:shd w:val="clear" w:color="000000" w:fill="FAC090"/>
      <w:spacing w:before="100" w:beforeAutospacing="1" w:after="100" w:afterAutospacing="1"/>
      <w:jc w:val="center"/>
      <w:textAlignment w:val="center"/>
    </w:pPr>
    <w:rPr>
      <w:rFonts w:ascii="Times New Roman" w:hAnsi="Times New Roman"/>
    </w:rPr>
  </w:style>
  <w:style w:type="paragraph" w:customStyle="1" w:styleId="xl89">
    <w:name w:val="xl89"/>
    <w:basedOn w:val="Normal"/>
    <w:uiPriority w:val="99"/>
    <w:rsid w:val="0051470C"/>
    <w:pPr>
      <w:pBdr>
        <w:top w:val="single" w:sz="4" w:space="0" w:color="auto"/>
        <w:left w:val="single" w:sz="4" w:space="0" w:color="auto"/>
        <w:bottom w:val="single" w:sz="4" w:space="0" w:color="auto"/>
        <w:right w:val="single" w:sz="4" w:space="0" w:color="auto"/>
      </w:pBdr>
      <w:shd w:val="clear" w:color="000000" w:fill="FAC090"/>
      <w:spacing w:before="100" w:beforeAutospacing="1" w:after="100" w:afterAutospacing="1"/>
      <w:jc w:val="right"/>
      <w:textAlignment w:val="center"/>
    </w:pPr>
    <w:rPr>
      <w:rFonts w:ascii="Times New Roman" w:hAnsi="Times New Roman"/>
    </w:rPr>
  </w:style>
  <w:style w:type="paragraph" w:customStyle="1" w:styleId="xl90">
    <w:name w:val="xl90"/>
    <w:basedOn w:val="Normal"/>
    <w:uiPriority w:val="99"/>
    <w:rsid w:val="0051470C"/>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rFonts w:ascii="Times New Roman" w:hAnsi="Times New Roman"/>
    </w:rPr>
  </w:style>
  <w:style w:type="paragraph" w:customStyle="1" w:styleId="xl91">
    <w:name w:val="xl91"/>
    <w:basedOn w:val="Normal"/>
    <w:uiPriority w:val="99"/>
    <w:rsid w:val="0051470C"/>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rFonts w:ascii="Times New Roman" w:hAnsi="Times New Roman"/>
    </w:rPr>
  </w:style>
  <w:style w:type="paragraph" w:customStyle="1" w:styleId="xl92">
    <w:name w:val="xl92"/>
    <w:basedOn w:val="Normal"/>
    <w:uiPriority w:val="99"/>
    <w:rsid w:val="0051470C"/>
    <w:pPr>
      <w:pBdr>
        <w:top w:val="single" w:sz="4" w:space="0" w:color="auto"/>
        <w:left w:val="single" w:sz="4" w:space="0" w:color="auto"/>
        <w:bottom w:val="single" w:sz="4" w:space="0" w:color="auto"/>
        <w:right w:val="single" w:sz="4" w:space="0" w:color="auto"/>
      </w:pBdr>
      <w:shd w:val="clear" w:color="000000" w:fill="FAC090"/>
      <w:spacing w:before="100" w:beforeAutospacing="1" w:after="100" w:afterAutospacing="1"/>
      <w:jc w:val="right"/>
      <w:textAlignment w:val="center"/>
    </w:pPr>
    <w:rPr>
      <w:rFonts w:ascii="Times New Roman" w:hAnsi="Times New Roman"/>
    </w:rPr>
  </w:style>
  <w:style w:type="paragraph" w:styleId="ndice5">
    <w:name w:val="toc 5"/>
    <w:basedOn w:val="Normal"/>
    <w:next w:val="Normal"/>
    <w:autoRedefine/>
    <w:uiPriority w:val="39"/>
    <w:rsid w:val="000679C9"/>
    <w:pPr>
      <w:tabs>
        <w:tab w:val="left" w:pos="1985"/>
        <w:tab w:val="right" w:leader="dot" w:pos="9072"/>
      </w:tabs>
    </w:pPr>
    <w:rPr>
      <w:b/>
      <w:noProof/>
      <w:sz w:val="20"/>
    </w:rPr>
  </w:style>
  <w:style w:type="paragraph" w:styleId="Avanodecorpodetexto3">
    <w:name w:val="Body Text Indent 3"/>
    <w:basedOn w:val="Normal"/>
    <w:link w:val="Avanodecorpodetexto3Carter"/>
    <w:uiPriority w:val="99"/>
    <w:rsid w:val="00CF31B0"/>
    <w:pPr>
      <w:spacing w:after="120"/>
      <w:ind w:left="283"/>
    </w:pPr>
    <w:rPr>
      <w:sz w:val="16"/>
      <w:szCs w:val="16"/>
    </w:rPr>
  </w:style>
  <w:style w:type="character" w:customStyle="1" w:styleId="Avanodecorpodetexto3Carter">
    <w:name w:val="Avanço de corpo de texto 3 Caráter"/>
    <w:link w:val="Avanodecorpodetexto3"/>
    <w:uiPriority w:val="99"/>
    <w:rsid w:val="00CF31B0"/>
    <w:rPr>
      <w:rFonts w:ascii="Arial" w:hAnsi="Arial"/>
      <w:sz w:val="16"/>
      <w:szCs w:val="16"/>
    </w:rPr>
  </w:style>
  <w:style w:type="paragraph" w:styleId="Corpodetexto2">
    <w:name w:val="Body Text 2"/>
    <w:basedOn w:val="Normal"/>
    <w:link w:val="Corpodetexto2Carter"/>
    <w:uiPriority w:val="99"/>
    <w:rsid w:val="009D2125"/>
    <w:pPr>
      <w:spacing w:after="120" w:line="480" w:lineRule="auto"/>
    </w:pPr>
  </w:style>
  <w:style w:type="character" w:customStyle="1" w:styleId="Corpodetexto2Carter">
    <w:name w:val="Corpo de texto 2 Caráter"/>
    <w:link w:val="Corpodetexto2"/>
    <w:uiPriority w:val="99"/>
    <w:rsid w:val="009D2125"/>
    <w:rPr>
      <w:rFonts w:ascii="Arial" w:hAnsi="Arial"/>
      <w:sz w:val="24"/>
      <w:szCs w:val="24"/>
    </w:rPr>
  </w:style>
  <w:style w:type="paragraph" w:styleId="Avanodecorpodetexto2">
    <w:name w:val="Body Text Indent 2"/>
    <w:basedOn w:val="Normal"/>
    <w:link w:val="Avanodecorpodetexto2Carter"/>
    <w:uiPriority w:val="99"/>
    <w:rsid w:val="004F1037"/>
    <w:pPr>
      <w:spacing w:after="120" w:line="480" w:lineRule="auto"/>
      <w:ind w:left="283"/>
    </w:pPr>
  </w:style>
  <w:style w:type="character" w:customStyle="1" w:styleId="Avanodecorpodetexto2Carter">
    <w:name w:val="Avanço de corpo de texto 2 Caráter"/>
    <w:link w:val="Avanodecorpodetexto2"/>
    <w:uiPriority w:val="99"/>
    <w:rsid w:val="004F1037"/>
    <w:rPr>
      <w:rFonts w:ascii="Arial" w:hAnsi="Arial"/>
      <w:sz w:val="24"/>
      <w:szCs w:val="24"/>
    </w:rPr>
  </w:style>
  <w:style w:type="paragraph" w:styleId="NormalWeb">
    <w:name w:val="Normal (Web)"/>
    <w:basedOn w:val="Normal"/>
    <w:uiPriority w:val="99"/>
    <w:unhideWhenUsed/>
    <w:rsid w:val="007B7F9E"/>
    <w:pPr>
      <w:spacing w:before="100" w:beforeAutospacing="1" w:after="100" w:afterAutospacing="1"/>
      <w:jc w:val="left"/>
    </w:pPr>
    <w:rPr>
      <w:rFonts w:ascii="Times New Roman" w:hAnsi="Times New Roman"/>
    </w:rPr>
  </w:style>
  <w:style w:type="paragraph" w:customStyle="1" w:styleId="Tabelas">
    <w:name w:val="Tabelas"/>
    <w:basedOn w:val="Normal"/>
    <w:uiPriority w:val="99"/>
    <w:rsid w:val="006C6165"/>
    <w:pPr>
      <w:spacing w:before="300" w:after="60"/>
    </w:pPr>
    <w:rPr>
      <w:rFonts w:ascii="Arial" w:eastAsia="Calibri" w:hAnsi="Arial"/>
      <w:lang w:eastAsia="en-US"/>
    </w:rPr>
  </w:style>
  <w:style w:type="paragraph" w:customStyle="1" w:styleId="NormalCTA">
    <w:name w:val="Normal CTA"/>
    <w:basedOn w:val="Normal"/>
    <w:link w:val="NormalCTAChar"/>
    <w:rsid w:val="00C17C39"/>
    <w:pPr>
      <w:suppressAutoHyphens/>
      <w:spacing w:before="120" w:after="120"/>
    </w:pPr>
    <w:rPr>
      <w:rFonts w:ascii="Arial" w:hAnsi="Arial" w:cs="Arial"/>
      <w:szCs w:val="20"/>
      <w:lang w:eastAsia="ar-SA"/>
    </w:rPr>
  </w:style>
  <w:style w:type="character" w:customStyle="1" w:styleId="NormalCTAChar">
    <w:name w:val="Normal CTA Char"/>
    <w:link w:val="NormalCTA"/>
    <w:rsid w:val="00C17C39"/>
    <w:rPr>
      <w:rFonts w:ascii="Arial" w:hAnsi="Arial" w:cs="Arial"/>
      <w:sz w:val="22"/>
      <w:lang w:eastAsia="ar-SA"/>
    </w:rPr>
  </w:style>
  <w:style w:type="table" w:styleId="Tabelacontempornea">
    <w:name w:val="Table Contemporary"/>
    <w:basedOn w:val="Tabelanormal"/>
    <w:rsid w:val="00FC52DC"/>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customStyle="1" w:styleId="Item-Titulo-Nivel1">
    <w:name w:val="Item - Titulo - Nivel 1"/>
    <w:basedOn w:val="Normal"/>
    <w:uiPriority w:val="99"/>
    <w:rsid w:val="001724FE"/>
    <w:pPr>
      <w:suppressAutoHyphens/>
      <w:spacing w:before="120" w:after="120"/>
    </w:pPr>
    <w:rPr>
      <w:rFonts w:ascii="Arial" w:hAnsi="Arial"/>
      <w:b/>
      <w:caps/>
      <w:szCs w:val="20"/>
      <w:lang w:eastAsia="ar-SA"/>
    </w:rPr>
  </w:style>
  <w:style w:type="paragraph" w:customStyle="1" w:styleId="SubItem10-Nivel2">
    <w:name w:val="Sub Item (10) - Nivel 2"/>
    <w:basedOn w:val="Normal"/>
    <w:uiPriority w:val="99"/>
    <w:rsid w:val="001724FE"/>
    <w:pPr>
      <w:suppressAutoHyphens/>
      <w:spacing w:before="60" w:after="60"/>
      <w:ind w:left="720" w:hanging="360"/>
    </w:pPr>
    <w:rPr>
      <w:rFonts w:ascii="Arial" w:hAnsi="Arial"/>
      <w:szCs w:val="20"/>
      <w:lang w:eastAsia="ar-SA"/>
    </w:rPr>
  </w:style>
  <w:style w:type="paragraph" w:customStyle="1" w:styleId="Corpodetexto21">
    <w:name w:val="Corpo de texto 21"/>
    <w:basedOn w:val="Normal"/>
    <w:uiPriority w:val="99"/>
    <w:rsid w:val="001724FE"/>
    <w:pPr>
      <w:suppressAutoHyphens/>
      <w:ind w:right="-1"/>
    </w:pPr>
    <w:rPr>
      <w:rFonts w:ascii="Arial" w:hAnsi="Arial"/>
      <w:sz w:val="20"/>
      <w:szCs w:val="20"/>
      <w:lang w:eastAsia="ar-SA"/>
    </w:rPr>
  </w:style>
  <w:style w:type="paragraph" w:customStyle="1" w:styleId="Ttuloquadro">
    <w:name w:val="Título quadro"/>
    <w:next w:val="Normal"/>
    <w:uiPriority w:val="99"/>
    <w:rsid w:val="00B567F6"/>
    <w:pPr>
      <w:spacing w:before="240" w:after="120"/>
      <w:ind w:firstLine="709"/>
    </w:pPr>
    <w:rPr>
      <w:rFonts w:ascii="Arial Negrito" w:eastAsia="Calibri" w:hAnsi="Arial Negrito"/>
      <w:b/>
      <w:smallCaps/>
      <w:sz w:val="24"/>
      <w:szCs w:val="24"/>
      <w:lang w:val="pt-BR" w:eastAsia="en-US"/>
    </w:rPr>
  </w:style>
  <w:style w:type="paragraph" w:customStyle="1" w:styleId="TabelasAnexos">
    <w:name w:val="Tabelas/Anexos"/>
    <w:basedOn w:val="Normal"/>
    <w:uiPriority w:val="99"/>
    <w:rsid w:val="007F0A38"/>
    <w:pPr>
      <w:spacing w:before="240" w:after="60"/>
    </w:pPr>
    <w:rPr>
      <w:rFonts w:ascii="Arial" w:eastAsia="Calibri" w:hAnsi="Arial"/>
      <w:lang w:eastAsia="en-US"/>
    </w:rPr>
  </w:style>
  <w:style w:type="paragraph" w:customStyle="1" w:styleId="Figuras">
    <w:name w:val="Figuras"/>
    <w:basedOn w:val="Legenda"/>
    <w:link w:val="FigurasChar"/>
    <w:rsid w:val="007F0A38"/>
    <w:rPr>
      <w:rFonts w:ascii="Arial" w:hAnsi="Arial"/>
      <w:b/>
      <w:noProof/>
    </w:rPr>
  </w:style>
  <w:style w:type="character" w:customStyle="1" w:styleId="FigurasChar">
    <w:name w:val="Figuras Char"/>
    <w:link w:val="Figuras"/>
    <w:rsid w:val="007F0A38"/>
    <w:rPr>
      <w:rFonts w:ascii="Arial" w:eastAsia="Calibri" w:hAnsi="Arial"/>
      <w:bCs/>
      <w:noProof/>
      <w:sz w:val="22"/>
    </w:rPr>
  </w:style>
  <w:style w:type="paragraph" w:styleId="ndice6">
    <w:name w:val="toc 6"/>
    <w:basedOn w:val="Normal"/>
    <w:next w:val="Normal"/>
    <w:autoRedefine/>
    <w:uiPriority w:val="39"/>
    <w:unhideWhenUsed/>
    <w:rsid w:val="00A46AB4"/>
    <w:pPr>
      <w:spacing w:after="100" w:line="259" w:lineRule="auto"/>
      <w:ind w:left="1100"/>
      <w:jc w:val="left"/>
    </w:pPr>
    <w:rPr>
      <w:rFonts w:cs="Times New Roman"/>
    </w:rPr>
  </w:style>
  <w:style w:type="paragraph" w:styleId="ndice7">
    <w:name w:val="toc 7"/>
    <w:basedOn w:val="Normal"/>
    <w:next w:val="Normal"/>
    <w:autoRedefine/>
    <w:uiPriority w:val="39"/>
    <w:unhideWhenUsed/>
    <w:rsid w:val="00A46AB4"/>
    <w:pPr>
      <w:spacing w:after="100" w:line="259" w:lineRule="auto"/>
      <w:ind w:left="1320"/>
      <w:jc w:val="left"/>
    </w:pPr>
    <w:rPr>
      <w:rFonts w:cs="Times New Roman"/>
    </w:rPr>
  </w:style>
  <w:style w:type="paragraph" w:styleId="ndice8">
    <w:name w:val="toc 8"/>
    <w:basedOn w:val="Normal"/>
    <w:next w:val="Normal"/>
    <w:autoRedefine/>
    <w:uiPriority w:val="39"/>
    <w:unhideWhenUsed/>
    <w:rsid w:val="00A46AB4"/>
    <w:pPr>
      <w:spacing w:after="100" w:line="259" w:lineRule="auto"/>
      <w:ind w:left="1540"/>
      <w:jc w:val="left"/>
    </w:pPr>
    <w:rPr>
      <w:rFonts w:cs="Times New Roman"/>
    </w:rPr>
  </w:style>
  <w:style w:type="paragraph" w:styleId="ndice9">
    <w:name w:val="toc 9"/>
    <w:basedOn w:val="Normal"/>
    <w:next w:val="Normal"/>
    <w:autoRedefine/>
    <w:uiPriority w:val="39"/>
    <w:unhideWhenUsed/>
    <w:rsid w:val="00A46AB4"/>
    <w:pPr>
      <w:spacing w:after="100" w:line="259" w:lineRule="auto"/>
      <w:ind w:left="1760"/>
      <w:jc w:val="left"/>
    </w:pPr>
    <w:rPr>
      <w:rFonts w:cs="Times New Roman"/>
    </w:rPr>
  </w:style>
  <w:style w:type="paragraph" w:customStyle="1" w:styleId="TextoexplicativodeSubttulo">
    <w:name w:val="Texto explicativo de Subtítulo"/>
    <w:basedOn w:val="Normal"/>
    <w:uiPriority w:val="99"/>
    <w:rsid w:val="000459A9"/>
    <w:pPr>
      <w:numPr>
        <w:numId w:val="2"/>
      </w:numPr>
      <w:suppressAutoHyphens/>
      <w:ind w:firstLine="0"/>
    </w:pPr>
    <w:rPr>
      <w:rFonts w:ascii="Arial" w:hAnsi="Arial"/>
      <w:szCs w:val="20"/>
      <w:lang w:eastAsia="ar-SA"/>
    </w:rPr>
  </w:style>
  <w:style w:type="paragraph" w:customStyle="1" w:styleId="xl64">
    <w:name w:val="xl64"/>
    <w:basedOn w:val="Normal"/>
    <w:uiPriority w:val="99"/>
    <w:rsid w:val="00005333"/>
    <w:pPr>
      <w:spacing w:before="100" w:beforeAutospacing="1" w:after="100" w:afterAutospacing="1"/>
      <w:jc w:val="left"/>
      <w:textAlignment w:val="center"/>
    </w:pPr>
    <w:rPr>
      <w:rFonts w:ascii="Times New Roman" w:hAnsi="Times New Roman"/>
    </w:rPr>
  </w:style>
  <w:style w:type="paragraph" w:customStyle="1" w:styleId="xl93">
    <w:name w:val="xl93"/>
    <w:basedOn w:val="Normal"/>
    <w:uiPriority w:val="99"/>
    <w:rsid w:val="00005333"/>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right"/>
      <w:textAlignment w:val="center"/>
    </w:pPr>
    <w:rPr>
      <w:rFonts w:ascii="Times New Roman" w:hAnsi="Times New Roman"/>
      <w:color w:val="000000"/>
    </w:rPr>
  </w:style>
  <w:style w:type="paragraph" w:customStyle="1" w:styleId="xl94">
    <w:name w:val="xl94"/>
    <w:basedOn w:val="Normal"/>
    <w:uiPriority w:val="99"/>
    <w:rsid w:val="00005333"/>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rFonts w:ascii="Times New Roman" w:hAnsi="Times New Roman"/>
    </w:rPr>
  </w:style>
  <w:style w:type="paragraph" w:customStyle="1" w:styleId="xl95">
    <w:name w:val="xl95"/>
    <w:basedOn w:val="Normal"/>
    <w:uiPriority w:val="99"/>
    <w:rsid w:val="00005333"/>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rFonts w:ascii="Times New Roman" w:hAnsi="Times New Roman"/>
      <w:sz w:val="20"/>
      <w:szCs w:val="20"/>
    </w:rPr>
  </w:style>
  <w:style w:type="paragraph" w:customStyle="1" w:styleId="xl96">
    <w:name w:val="xl96"/>
    <w:basedOn w:val="Normal"/>
    <w:uiPriority w:val="99"/>
    <w:rsid w:val="00005333"/>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b/>
      <w:bCs/>
      <w:color w:val="000000"/>
    </w:rPr>
  </w:style>
  <w:style w:type="paragraph" w:customStyle="1" w:styleId="xl97">
    <w:name w:val="xl97"/>
    <w:basedOn w:val="Normal"/>
    <w:uiPriority w:val="99"/>
    <w:rsid w:val="00005333"/>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b/>
      <w:bCs/>
      <w:color w:val="000000"/>
    </w:rPr>
  </w:style>
  <w:style w:type="paragraph" w:customStyle="1" w:styleId="xl98">
    <w:name w:val="xl98"/>
    <w:basedOn w:val="Normal"/>
    <w:uiPriority w:val="99"/>
    <w:rsid w:val="00005333"/>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b/>
      <w:bCs/>
      <w:color w:val="000000"/>
    </w:rPr>
  </w:style>
  <w:style w:type="paragraph" w:customStyle="1" w:styleId="xl99">
    <w:name w:val="xl99"/>
    <w:basedOn w:val="Normal"/>
    <w:uiPriority w:val="99"/>
    <w:rsid w:val="00005333"/>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b/>
      <w:bCs/>
      <w:color w:val="000000"/>
    </w:rPr>
  </w:style>
  <w:style w:type="paragraph" w:customStyle="1" w:styleId="xl100">
    <w:name w:val="xl100"/>
    <w:basedOn w:val="Normal"/>
    <w:uiPriority w:val="99"/>
    <w:rsid w:val="00005333"/>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rFonts w:ascii="Times New Roman" w:hAnsi="Times New Roman"/>
      <w:b/>
      <w:bCs/>
      <w:sz w:val="20"/>
      <w:szCs w:val="20"/>
    </w:rPr>
  </w:style>
  <w:style w:type="character" w:customStyle="1" w:styleId="apple-converted-space">
    <w:name w:val="apple-converted-space"/>
    <w:basedOn w:val="Tipodeletrapredefinidodopargrafo"/>
    <w:rsid w:val="00300B29"/>
  </w:style>
  <w:style w:type="paragraph" w:customStyle="1" w:styleId="Default">
    <w:name w:val="Default"/>
    <w:rsid w:val="00321F17"/>
    <w:pPr>
      <w:autoSpaceDE w:val="0"/>
      <w:autoSpaceDN w:val="0"/>
      <w:adjustRightInd w:val="0"/>
    </w:pPr>
    <w:rPr>
      <w:rFonts w:ascii="Arial" w:hAnsi="Arial" w:cs="Arial"/>
      <w:color w:val="000000"/>
      <w:sz w:val="24"/>
      <w:szCs w:val="24"/>
      <w:lang w:val="pt-BR" w:eastAsia="pt-BR"/>
    </w:rPr>
  </w:style>
  <w:style w:type="paragraph" w:styleId="Mapadodocumento">
    <w:name w:val="Document Map"/>
    <w:basedOn w:val="Normal"/>
    <w:link w:val="MapadodocumentoCarter"/>
    <w:uiPriority w:val="99"/>
    <w:rsid w:val="00B54BB8"/>
    <w:rPr>
      <w:rFonts w:ascii="Tahoma" w:hAnsi="Tahoma" w:cs="Tahoma"/>
      <w:sz w:val="16"/>
      <w:szCs w:val="16"/>
    </w:rPr>
  </w:style>
  <w:style w:type="character" w:customStyle="1" w:styleId="MapadodocumentoCarter">
    <w:name w:val="Mapa do documento Caráter"/>
    <w:link w:val="Mapadodocumento"/>
    <w:uiPriority w:val="99"/>
    <w:rsid w:val="00B54BB8"/>
    <w:rPr>
      <w:rFonts w:ascii="Tahoma" w:hAnsi="Tahoma" w:cs="Tahoma"/>
      <w:sz w:val="16"/>
      <w:szCs w:val="16"/>
    </w:rPr>
  </w:style>
  <w:style w:type="paragraph" w:customStyle="1" w:styleId="font5">
    <w:name w:val="font5"/>
    <w:basedOn w:val="Normal"/>
    <w:uiPriority w:val="99"/>
    <w:rsid w:val="00B54BB8"/>
    <w:pPr>
      <w:spacing w:before="100" w:beforeAutospacing="1" w:after="100" w:afterAutospacing="1"/>
      <w:jc w:val="left"/>
    </w:pPr>
    <w:rPr>
      <w:rFonts w:ascii="Calibri" w:hAnsi="Calibri"/>
      <w:color w:val="000000"/>
    </w:rPr>
  </w:style>
  <w:style w:type="paragraph" w:customStyle="1" w:styleId="xl63">
    <w:name w:val="xl63"/>
    <w:basedOn w:val="Normal"/>
    <w:uiPriority w:val="99"/>
    <w:rsid w:val="00B54BB8"/>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left"/>
      <w:textAlignment w:val="center"/>
    </w:pPr>
    <w:rPr>
      <w:rFonts w:ascii="Times New Roman" w:hAnsi="Times New Roman"/>
      <w:color w:val="000000"/>
    </w:rPr>
  </w:style>
  <w:style w:type="paragraph" w:customStyle="1" w:styleId="xl101">
    <w:name w:val="xl101"/>
    <w:basedOn w:val="Normal"/>
    <w:uiPriority w:val="99"/>
    <w:rsid w:val="00B54BB8"/>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right"/>
      <w:textAlignment w:val="center"/>
    </w:pPr>
    <w:rPr>
      <w:rFonts w:ascii="Times New Roman" w:hAnsi="Times New Roman"/>
      <w:color w:val="000000"/>
    </w:rPr>
  </w:style>
  <w:style w:type="paragraph" w:customStyle="1" w:styleId="xl102">
    <w:name w:val="xl102"/>
    <w:basedOn w:val="Normal"/>
    <w:uiPriority w:val="99"/>
    <w:rsid w:val="00B54BB8"/>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left"/>
      <w:textAlignment w:val="center"/>
    </w:pPr>
    <w:rPr>
      <w:rFonts w:ascii="Times New Roman" w:hAnsi="Times New Roman"/>
    </w:rPr>
  </w:style>
  <w:style w:type="paragraph" w:customStyle="1" w:styleId="xl103">
    <w:name w:val="xl103"/>
    <w:basedOn w:val="Normal"/>
    <w:uiPriority w:val="99"/>
    <w:rsid w:val="00B54BB8"/>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rFonts w:ascii="Times New Roman" w:hAnsi="Times New Roman"/>
      <w:i/>
      <w:iCs/>
    </w:rPr>
  </w:style>
  <w:style w:type="paragraph" w:customStyle="1" w:styleId="xl104">
    <w:name w:val="xl104"/>
    <w:basedOn w:val="Normal"/>
    <w:uiPriority w:val="99"/>
    <w:rsid w:val="00B54BB8"/>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rFonts w:ascii="Times New Roman" w:hAnsi="Times New Roman"/>
    </w:rPr>
  </w:style>
  <w:style w:type="paragraph" w:customStyle="1" w:styleId="xl105">
    <w:name w:val="xl105"/>
    <w:basedOn w:val="Normal"/>
    <w:uiPriority w:val="99"/>
    <w:rsid w:val="00B54BB8"/>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b/>
      <w:bCs/>
      <w:color w:val="000000"/>
    </w:rPr>
  </w:style>
  <w:style w:type="paragraph" w:customStyle="1" w:styleId="xl106">
    <w:name w:val="xl106"/>
    <w:basedOn w:val="Normal"/>
    <w:uiPriority w:val="99"/>
    <w:rsid w:val="00B54BB8"/>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rFonts w:ascii="Times New Roman" w:hAnsi="Times New Roman"/>
      <w:b/>
      <w:bCs/>
      <w:color w:val="000000"/>
    </w:rPr>
  </w:style>
  <w:style w:type="paragraph" w:customStyle="1" w:styleId="xl107">
    <w:name w:val="xl107"/>
    <w:basedOn w:val="Normal"/>
    <w:uiPriority w:val="99"/>
    <w:rsid w:val="00B54BB8"/>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b/>
      <w:bCs/>
      <w:color w:val="000000"/>
    </w:rPr>
  </w:style>
  <w:style w:type="paragraph" w:customStyle="1" w:styleId="xl108">
    <w:name w:val="xl108"/>
    <w:basedOn w:val="Normal"/>
    <w:uiPriority w:val="99"/>
    <w:rsid w:val="00B54BB8"/>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b/>
      <w:bCs/>
      <w:color w:val="000000"/>
    </w:rPr>
  </w:style>
  <w:style w:type="paragraph" w:customStyle="1" w:styleId="xl109">
    <w:name w:val="xl109"/>
    <w:basedOn w:val="Normal"/>
    <w:uiPriority w:val="99"/>
    <w:rsid w:val="00B54BB8"/>
    <w:pPr>
      <w:shd w:val="clear" w:color="000000" w:fill="B7DEE8"/>
      <w:spacing w:before="100" w:beforeAutospacing="1" w:after="100" w:afterAutospacing="1"/>
      <w:jc w:val="left"/>
      <w:textAlignment w:val="center"/>
    </w:pPr>
    <w:rPr>
      <w:rFonts w:ascii="Times New Roman" w:hAnsi="Times New Roman"/>
    </w:rPr>
  </w:style>
  <w:style w:type="paragraph" w:customStyle="1" w:styleId="xl110">
    <w:name w:val="xl110"/>
    <w:basedOn w:val="Normal"/>
    <w:uiPriority w:val="99"/>
    <w:rsid w:val="00B54BB8"/>
    <w:pPr>
      <w:shd w:val="clear" w:color="000000" w:fill="DAEEF3"/>
      <w:spacing w:before="100" w:beforeAutospacing="1" w:after="100" w:afterAutospacing="1"/>
      <w:jc w:val="left"/>
      <w:textAlignment w:val="center"/>
    </w:pPr>
    <w:rPr>
      <w:rFonts w:ascii="Times New Roman" w:hAnsi="Times New Roman"/>
    </w:rPr>
  </w:style>
  <w:style w:type="paragraph" w:customStyle="1" w:styleId="xl111">
    <w:name w:val="xl111"/>
    <w:basedOn w:val="Normal"/>
    <w:uiPriority w:val="99"/>
    <w:rsid w:val="00B54BB8"/>
    <w:pPr>
      <w:shd w:val="clear" w:color="000000" w:fill="92CDDC"/>
      <w:spacing w:before="100" w:beforeAutospacing="1" w:after="100" w:afterAutospacing="1"/>
      <w:jc w:val="left"/>
      <w:textAlignment w:val="center"/>
    </w:pPr>
    <w:rPr>
      <w:rFonts w:ascii="Times New Roman" w:hAnsi="Times New Roman"/>
    </w:rPr>
  </w:style>
  <w:style w:type="paragraph" w:customStyle="1" w:styleId="xl112">
    <w:name w:val="xl112"/>
    <w:basedOn w:val="Normal"/>
    <w:uiPriority w:val="99"/>
    <w:rsid w:val="00B54BB8"/>
    <w:pPr>
      <w:shd w:val="clear" w:color="000000" w:fill="BFBFBF"/>
      <w:spacing w:before="100" w:beforeAutospacing="1" w:after="100" w:afterAutospacing="1"/>
      <w:jc w:val="left"/>
      <w:textAlignment w:val="center"/>
    </w:pPr>
    <w:rPr>
      <w:rFonts w:ascii="Times New Roman" w:hAnsi="Times New Roman"/>
    </w:rPr>
  </w:style>
  <w:style w:type="paragraph" w:customStyle="1" w:styleId="xl113">
    <w:name w:val="xl113"/>
    <w:basedOn w:val="Normal"/>
    <w:uiPriority w:val="99"/>
    <w:rsid w:val="00B54BB8"/>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color w:val="000000"/>
    </w:rPr>
  </w:style>
  <w:style w:type="paragraph" w:customStyle="1" w:styleId="xl114">
    <w:name w:val="xl114"/>
    <w:basedOn w:val="Normal"/>
    <w:uiPriority w:val="99"/>
    <w:rsid w:val="00B54BB8"/>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rFonts w:ascii="Times New Roman" w:hAnsi="Times New Roman"/>
      <w:color w:val="000000"/>
    </w:rPr>
  </w:style>
  <w:style w:type="paragraph" w:customStyle="1" w:styleId="xl115">
    <w:name w:val="xl115"/>
    <w:basedOn w:val="Normal"/>
    <w:uiPriority w:val="99"/>
    <w:rsid w:val="00B54BB8"/>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left"/>
      <w:textAlignment w:val="center"/>
    </w:pPr>
    <w:rPr>
      <w:rFonts w:ascii="Times New Roman" w:hAnsi="Times New Roman"/>
      <w:i/>
      <w:iCs/>
      <w:color w:val="000000"/>
    </w:rPr>
  </w:style>
  <w:style w:type="paragraph" w:customStyle="1" w:styleId="xl116">
    <w:name w:val="xl116"/>
    <w:basedOn w:val="Normal"/>
    <w:uiPriority w:val="99"/>
    <w:rsid w:val="00B54BB8"/>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color w:val="000000"/>
    </w:rPr>
  </w:style>
  <w:style w:type="paragraph" w:customStyle="1" w:styleId="xl117">
    <w:name w:val="xl117"/>
    <w:basedOn w:val="Normal"/>
    <w:uiPriority w:val="99"/>
    <w:rsid w:val="00B54BB8"/>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right"/>
      <w:textAlignment w:val="center"/>
    </w:pPr>
    <w:rPr>
      <w:rFonts w:ascii="Times New Roman" w:hAnsi="Times New Roman"/>
      <w:color w:val="000000"/>
    </w:rPr>
  </w:style>
  <w:style w:type="paragraph" w:customStyle="1" w:styleId="xl118">
    <w:name w:val="xl118"/>
    <w:basedOn w:val="Normal"/>
    <w:uiPriority w:val="99"/>
    <w:rsid w:val="00B54BB8"/>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color w:val="000000"/>
    </w:rPr>
  </w:style>
  <w:style w:type="paragraph" w:customStyle="1" w:styleId="xl119">
    <w:name w:val="xl119"/>
    <w:basedOn w:val="Normal"/>
    <w:uiPriority w:val="99"/>
    <w:rsid w:val="00B54BB8"/>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right"/>
      <w:textAlignment w:val="center"/>
    </w:pPr>
    <w:rPr>
      <w:rFonts w:ascii="Times New Roman" w:hAnsi="Times New Roman"/>
      <w:color w:val="000000"/>
    </w:rPr>
  </w:style>
  <w:style w:type="paragraph" w:customStyle="1" w:styleId="Figura">
    <w:name w:val="Figura"/>
    <w:basedOn w:val="Corpodetexto3"/>
    <w:link w:val="FiguraChar"/>
    <w:autoRedefine/>
    <w:rsid w:val="00405266"/>
    <w:pPr>
      <w:spacing w:after="0"/>
      <w:jc w:val="center"/>
    </w:pPr>
    <w:rPr>
      <w:rFonts w:ascii="Calibri" w:hAnsi="Calibri"/>
      <w:noProof/>
      <w:snapToGrid w:val="0"/>
      <w:sz w:val="22"/>
      <w:szCs w:val="20"/>
    </w:rPr>
  </w:style>
  <w:style w:type="character" w:customStyle="1" w:styleId="FiguraChar">
    <w:name w:val="Figura Char"/>
    <w:link w:val="Figura"/>
    <w:rsid w:val="00405266"/>
    <w:rPr>
      <w:rFonts w:ascii="Calibri" w:hAnsi="Calibri"/>
      <w:noProof/>
      <w:snapToGrid w:val="0"/>
      <w:sz w:val="22"/>
    </w:rPr>
  </w:style>
  <w:style w:type="paragraph" w:customStyle="1" w:styleId="Referncias">
    <w:name w:val="Referências"/>
    <w:basedOn w:val="Normal"/>
    <w:link w:val="RefernciasChar"/>
    <w:rsid w:val="00EE0304"/>
    <w:pPr>
      <w:jc w:val="left"/>
    </w:pPr>
    <w:rPr>
      <w:rFonts w:ascii="Times New Roman" w:eastAsia="Calibri" w:hAnsi="Times New Roman"/>
    </w:rPr>
  </w:style>
  <w:style w:type="character" w:customStyle="1" w:styleId="RefernciasChar">
    <w:name w:val="Referências Char"/>
    <w:link w:val="Referncias"/>
    <w:rsid w:val="00EE0304"/>
    <w:rPr>
      <w:rFonts w:eastAsia="Calibri"/>
      <w:sz w:val="24"/>
      <w:szCs w:val="24"/>
    </w:rPr>
  </w:style>
  <w:style w:type="paragraph" w:customStyle="1" w:styleId="SubItem4-Nivel2">
    <w:name w:val="Sub Item (4) - Nivel 2"/>
    <w:basedOn w:val="Normal"/>
    <w:uiPriority w:val="99"/>
    <w:rsid w:val="00D84327"/>
    <w:pPr>
      <w:spacing w:before="60" w:after="60"/>
      <w:outlineLvl w:val="1"/>
    </w:pPr>
    <w:rPr>
      <w:rFonts w:ascii="Arial" w:hAnsi="Arial"/>
      <w:szCs w:val="20"/>
    </w:rPr>
  </w:style>
  <w:style w:type="paragraph" w:customStyle="1" w:styleId="FigurasFotos">
    <w:name w:val="Figuras/Fotos"/>
    <w:basedOn w:val="Legenda"/>
    <w:link w:val="FigurasFotosChar"/>
    <w:rsid w:val="00333114"/>
    <w:pPr>
      <w:spacing w:before="300" w:after="60"/>
    </w:pPr>
    <w:rPr>
      <w:lang w:eastAsia="en-US"/>
    </w:rPr>
  </w:style>
  <w:style w:type="character" w:customStyle="1" w:styleId="FigurasFotosChar">
    <w:name w:val="Figuras/Fotos Char"/>
    <w:link w:val="FigurasFotos"/>
    <w:rsid w:val="00333114"/>
    <w:rPr>
      <w:rFonts w:ascii="Calibri" w:eastAsia="Calibri" w:hAnsi="Calibri"/>
      <w:bCs/>
      <w:sz w:val="22"/>
      <w:szCs w:val="22"/>
      <w:lang w:eastAsia="en-US"/>
    </w:rPr>
  </w:style>
  <w:style w:type="paragraph" w:customStyle="1" w:styleId="Ttulointernotab">
    <w:name w:val="Título interno tab"/>
    <w:basedOn w:val="Normal"/>
    <w:link w:val="TtulointernotabChar"/>
    <w:rsid w:val="002E721C"/>
    <w:pPr>
      <w:ind w:firstLine="142"/>
      <w:jc w:val="center"/>
    </w:pPr>
    <w:rPr>
      <w:rFonts w:ascii="Times New Roman" w:eastAsia="Calibri" w:hAnsi="Times New Roman"/>
      <w:b/>
      <w:szCs w:val="20"/>
    </w:rPr>
  </w:style>
  <w:style w:type="character" w:customStyle="1" w:styleId="TtulointernotabChar">
    <w:name w:val="Título interno tab Char"/>
    <w:link w:val="Ttulointernotab"/>
    <w:rsid w:val="002E721C"/>
    <w:rPr>
      <w:rFonts w:eastAsia="Calibri"/>
      <w:b/>
      <w:sz w:val="24"/>
    </w:rPr>
  </w:style>
  <w:style w:type="paragraph" w:customStyle="1" w:styleId="xl120">
    <w:name w:val="xl120"/>
    <w:basedOn w:val="Normal"/>
    <w:uiPriority w:val="99"/>
    <w:rsid w:val="00ED19B5"/>
    <w:pPr>
      <w:spacing w:before="100" w:beforeAutospacing="1" w:after="100" w:afterAutospacing="1"/>
      <w:jc w:val="left"/>
      <w:textAlignment w:val="center"/>
    </w:pPr>
    <w:rPr>
      <w:rFonts w:ascii="Times New Roman" w:hAnsi="Times New Roman"/>
      <w:b/>
      <w:bCs/>
    </w:rPr>
  </w:style>
  <w:style w:type="character" w:styleId="Refdecomentrio">
    <w:name w:val="annotation reference"/>
    <w:semiHidden/>
    <w:unhideWhenUsed/>
    <w:rsid w:val="00473381"/>
    <w:rPr>
      <w:sz w:val="16"/>
      <w:szCs w:val="16"/>
    </w:rPr>
  </w:style>
  <w:style w:type="paragraph" w:styleId="Textodecomentrio">
    <w:name w:val="annotation text"/>
    <w:basedOn w:val="Normal"/>
    <w:link w:val="TextodecomentrioCarter"/>
    <w:uiPriority w:val="99"/>
    <w:unhideWhenUsed/>
    <w:rsid w:val="00473381"/>
    <w:rPr>
      <w:sz w:val="20"/>
      <w:szCs w:val="20"/>
    </w:rPr>
  </w:style>
  <w:style w:type="character" w:customStyle="1" w:styleId="TextodecomentrioCarter">
    <w:name w:val="Texto de comentário Caráter"/>
    <w:link w:val="Textodecomentrio"/>
    <w:uiPriority w:val="99"/>
    <w:rsid w:val="00473381"/>
    <w:rPr>
      <w:rFonts w:ascii="Calibri" w:hAnsi="Calibri"/>
    </w:rPr>
  </w:style>
  <w:style w:type="paragraph" w:styleId="Assuntodecomentrio">
    <w:name w:val="annotation subject"/>
    <w:basedOn w:val="Textodecomentrio"/>
    <w:next w:val="Textodecomentrio"/>
    <w:link w:val="AssuntodecomentrioCarter"/>
    <w:uiPriority w:val="99"/>
    <w:semiHidden/>
    <w:unhideWhenUsed/>
    <w:rsid w:val="00473381"/>
    <w:rPr>
      <w:b/>
      <w:bCs/>
    </w:rPr>
  </w:style>
  <w:style w:type="character" w:customStyle="1" w:styleId="AssuntodecomentrioCarter">
    <w:name w:val="Assunto de comentário Caráter"/>
    <w:link w:val="Assuntodecomentrio"/>
    <w:uiPriority w:val="99"/>
    <w:semiHidden/>
    <w:rsid w:val="00473381"/>
    <w:rPr>
      <w:rFonts w:ascii="Calibri" w:hAnsi="Calibri"/>
      <w:b/>
      <w:bCs/>
    </w:rPr>
  </w:style>
  <w:style w:type="character" w:customStyle="1" w:styleId="MenoPendente1">
    <w:name w:val="Menção Pendente1"/>
    <w:uiPriority w:val="99"/>
    <w:semiHidden/>
    <w:unhideWhenUsed/>
    <w:rsid w:val="006312E7"/>
    <w:rPr>
      <w:color w:val="808080"/>
      <w:shd w:val="clear" w:color="auto" w:fill="E6E6E6"/>
    </w:rPr>
  </w:style>
  <w:style w:type="paragraph" w:customStyle="1" w:styleId="msonormal0">
    <w:name w:val="msonormal"/>
    <w:basedOn w:val="Normal"/>
    <w:uiPriority w:val="99"/>
    <w:rsid w:val="003E7CCE"/>
    <w:pPr>
      <w:spacing w:before="100" w:beforeAutospacing="1" w:after="100" w:afterAutospacing="1"/>
      <w:jc w:val="left"/>
    </w:pPr>
    <w:rPr>
      <w:rFonts w:ascii="Times New Roman" w:hAnsi="Times New Roman"/>
    </w:rPr>
  </w:style>
  <w:style w:type="character" w:customStyle="1" w:styleId="Ttulo8Char1">
    <w:name w:val="Título 8 Char1"/>
    <w:aliases w:val="Heading 81 Char1"/>
    <w:uiPriority w:val="9"/>
    <w:semiHidden/>
    <w:rsid w:val="00B02620"/>
    <w:rPr>
      <w:rFonts w:ascii="Calibri Light" w:eastAsia="Times New Roman" w:hAnsi="Calibri Light" w:cs="Times New Roman"/>
      <w:color w:val="272727"/>
      <w:sz w:val="21"/>
      <w:szCs w:val="21"/>
    </w:rPr>
  </w:style>
  <w:style w:type="character" w:customStyle="1" w:styleId="Ttulo9Char1">
    <w:name w:val="Título 9 Char1"/>
    <w:aliases w:val="Heading 91 Char1"/>
    <w:uiPriority w:val="9"/>
    <w:semiHidden/>
    <w:rsid w:val="00B02620"/>
    <w:rPr>
      <w:rFonts w:ascii="Calibri Light" w:eastAsia="Times New Roman" w:hAnsi="Calibri Light" w:cs="Times New Roman"/>
      <w:i/>
      <w:iCs/>
      <w:color w:val="272727"/>
      <w:sz w:val="21"/>
      <w:szCs w:val="21"/>
    </w:rPr>
  </w:style>
  <w:style w:type="character" w:customStyle="1" w:styleId="MenoPendente2">
    <w:name w:val="Menção Pendente2"/>
    <w:uiPriority w:val="99"/>
    <w:semiHidden/>
    <w:rsid w:val="00B02620"/>
    <w:rPr>
      <w:color w:val="808080"/>
      <w:shd w:val="clear" w:color="auto" w:fill="E6E6E6"/>
    </w:rPr>
  </w:style>
  <w:style w:type="character" w:customStyle="1" w:styleId="MenoPendente3">
    <w:name w:val="Menção Pendente3"/>
    <w:uiPriority w:val="99"/>
    <w:semiHidden/>
    <w:rsid w:val="001275C8"/>
    <w:rPr>
      <w:color w:val="808080"/>
      <w:shd w:val="clear" w:color="auto" w:fill="E6E6E6"/>
    </w:rPr>
  </w:style>
  <w:style w:type="character" w:customStyle="1" w:styleId="MenoPendente4">
    <w:name w:val="Menção Pendente4"/>
    <w:uiPriority w:val="99"/>
    <w:semiHidden/>
    <w:unhideWhenUsed/>
    <w:rsid w:val="00892A39"/>
    <w:rPr>
      <w:color w:val="605E5C"/>
      <w:shd w:val="clear" w:color="auto" w:fill="E1DFDD"/>
    </w:rPr>
  </w:style>
  <w:style w:type="paragraph" w:customStyle="1" w:styleId="BioInsightNormal">
    <w:name w:val="BioInsight Normal"/>
    <w:basedOn w:val="Normal"/>
    <w:link w:val="BioInsightNormalCarcter"/>
    <w:qFormat/>
    <w:rsid w:val="00FB5FEF"/>
    <w:pPr>
      <w:spacing w:after="200" w:line="276" w:lineRule="auto"/>
    </w:pPr>
    <w:rPr>
      <w:rFonts w:eastAsia="Kozuka Gothic Pro R" w:cs="Times New Roman"/>
      <w:color w:val="808080"/>
      <w:kern w:val="72"/>
      <w:szCs w:val="40"/>
      <w:lang w:val="pt-PT" w:eastAsia="pt-PT"/>
    </w:rPr>
  </w:style>
  <w:style w:type="character" w:customStyle="1" w:styleId="BioInsightNormalCarcter">
    <w:name w:val="BioInsight Normal Carácter"/>
    <w:link w:val="BioInsightNormal"/>
    <w:rsid w:val="00FB5FEF"/>
    <w:rPr>
      <w:rFonts w:ascii="Calibri" w:eastAsia="Kozuka Gothic Pro R" w:hAnsi="Calibri" w:cs="Times New Roman"/>
      <w:color w:val="808080"/>
      <w:kern w:val="72"/>
      <w:sz w:val="22"/>
      <w:szCs w:val="40"/>
      <w:lang w:val="pt-PT" w:eastAsia="pt-PT"/>
    </w:rPr>
  </w:style>
  <w:style w:type="table" w:customStyle="1" w:styleId="TableNormal1">
    <w:name w:val="Table Normal1"/>
    <w:uiPriority w:val="2"/>
    <w:semiHidden/>
    <w:unhideWhenUsed/>
    <w:qFormat/>
    <w:rsid w:val="00453E0C"/>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453E0C"/>
    <w:pPr>
      <w:widowControl w:val="0"/>
      <w:jc w:val="left"/>
    </w:pPr>
    <w:rPr>
      <w:rFonts w:ascii="Arial" w:eastAsia="Arial" w:hAnsi="Arial" w:cs="Arial"/>
      <w:lang w:bidi="pt-BR"/>
    </w:rPr>
  </w:style>
  <w:style w:type="paragraph" w:customStyle="1" w:styleId="Pargrafo-PROFILL">
    <w:name w:val="Parágrafo - PROFILL"/>
    <w:basedOn w:val="Normal"/>
    <w:rsid w:val="00557649"/>
    <w:pPr>
      <w:numPr>
        <w:numId w:val="3"/>
      </w:numPr>
      <w:spacing w:before="60" w:after="60"/>
    </w:pPr>
    <w:rPr>
      <w:rFonts w:ascii="Arial" w:hAnsi="Arial" w:cs="Arial"/>
    </w:rPr>
  </w:style>
  <w:style w:type="paragraph" w:styleId="Reviso">
    <w:name w:val="Revision"/>
    <w:hidden/>
    <w:uiPriority w:val="99"/>
    <w:semiHidden/>
    <w:rsid w:val="006D01B8"/>
    <w:rPr>
      <w:rFonts w:ascii="Calibri" w:hAnsi="Calibri"/>
      <w:sz w:val="22"/>
      <w:szCs w:val="24"/>
      <w:lang w:val="pt-BR" w:eastAsia="pt-BR"/>
    </w:rPr>
  </w:style>
  <w:style w:type="character" w:customStyle="1" w:styleId="MenoPendente5">
    <w:name w:val="Menção Pendente5"/>
    <w:uiPriority w:val="99"/>
    <w:semiHidden/>
    <w:unhideWhenUsed/>
    <w:rsid w:val="00491062"/>
    <w:rPr>
      <w:color w:val="605E5C"/>
      <w:shd w:val="clear" w:color="auto" w:fill="E1DFDD"/>
    </w:rPr>
  </w:style>
  <w:style w:type="table" w:customStyle="1" w:styleId="Tabelacomgrade1">
    <w:name w:val="Tabela com grade1"/>
    <w:basedOn w:val="Tabelanormal"/>
    <w:next w:val="TabelacomGrelha"/>
    <w:uiPriority w:val="39"/>
    <w:rsid w:val="003430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NoResolvida">
    <w:name w:val="Unresolved Mention"/>
    <w:uiPriority w:val="99"/>
    <w:semiHidden/>
    <w:unhideWhenUsed/>
    <w:rsid w:val="001C23A3"/>
    <w:rPr>
      <w:color w:val="605E5C"/>
      <w:shd w:val="clear" w:color="auto" w:fill="E1DFDD"/>
    </w:rPr>
  </w:style>
  <w:style w:type="character" w:styleId="nfaseDiscreta">
    <w:name w:val="Subtle Emphasis"/>
    <w:aliases w:val="Fonte de elementos gráficos"/>
    <w:uiPriority w:val="19"/>
    <w:rsid w:val="005104DF"/>
    <w:rPr>
      <w:rFonts w:ascii="Calibri" w:hAnsi="Calibri"/>
      <w:i w:val="0"/>
      <w:iCs/>
      <w:color w:val="auto"/>
      <w:sz w:val="20"/>
    </w:rPr>
  </w:style>
  <w:style w:type="paragraph" w:customStyle="1" w:styleId="Fontes">
    <w:name w:val="Fontes"/>
    <w:basedOn w:val="Normal"/>
    <w:link w:val="FontesChar"/>
    <w:rsid w:val="005E31AE"/>
    <w:pPr>
      <w:spacing w:before="60" w:after="360"/>
      <w:jc w:val="center"/>
    </w:pPr>
    <w:rPr>
      <w:sz w:val="18"/>
    </w:rPr>
  </w:style>
  <w:style w:type="character" w:customStyle="1" w:styleId="FontesChar">
    <w:name w:val="Fontes Char"/>
    <w:link w:val="Fontes"/>
    <w:rsid w:val="005E31AE"/>
    <w:rPr>
      <w:rFonts w:ascii="Roboto Light" w:hAnsi="Roboto Light" w:cs="Pª«ª‘ˇ¯‡™"/>
      <w:sz w:val="18"/>
      <w:szCs w:val="22"/>
      <w:lang w:val="en-US"/>
    </w:rPr>
  </w:style>
  <w:style w:type="paragraph" w:customStyle="1" w:styleId="TabQuaFigFot">
    <w:name w:val="TabQuaFigFot"/>
    <w:basedOn w:val="Normal"/>
    <w:link w:val="TabQuaFigFotChar"/>
    <w:rsid w:val="00133B55"/>
    <w:pPr>
      <w:jc w:val="center"/>
    </w:pPr>
    <w:rPr>
      <w:sz w:val="20"/>
    </w:rPr>
  </w:style>
  <w:style w:type="character" w:customStyle="1" w:styleId="TabQuaFigFotChar">
    <w:name w:val="TabQuaFigFot Char"/>
    <w:link w:val="TabQuaFigFot"/>
    <w:rsid w:val="00133B55"/>
    <w:rPr>
      <w:rFonts w:ascii="Calibri" w:hAnsi="Calibri"/>
      <w:szCs w:val="24"/>
    </w:rPr>
  </w:style>
  <w:style w:type="paragraph" w:customStyle="1" w:styleId="Citaolonga">
    <w:name w:val="Citação longa"/>
    <w:basedOn w:val="Normal"/>
    <w:link w:val="CitaolongaChar"/>
    <w:rsid w:val="009A097D"/>
    <w:pPr>
      <w:ind w:left="2835"/>
    </w:pPr>
    <w:rPr>
      <w:sz w:val="20"/>
    </w:rPr>
  </w:style>
  <w:style w:type="character" w:customStyle="1" w:styleId="CitaolongaChar">
    <w:name w:val="Citação longa Char"/>
    <w:link w:val="Citaolonga"/>
    <w:rsid w:val="009A097D"/>
    <w:rPr>
      <w:rFonts w:ascii="Calibri" w:hAnsi="Calibri"/>
      <w:szCs w:val="24"/>
    </w:rPr>
  </w:style>
  <w:style w:type="numbering" w:customStyle="1" w:styleId="CurrentList1">
    <w:name w:val="Current List1"/>
    <w:uiPriority w:val="99"/>
    <w:rsid w:val="004359BF"/>
    <w:pPr>
      <w:numPr>
        <w:numId w:val="5"/>
      </w:numPr>
    </w:pPr>
  </w:style>
  <w:style w:type="paragraph" w:customStyle="1" w:styleId="Textonormal">
    <w:name w:val="Texto normal"/>
    <w:basedOn w:val="Normal"/>
    <w:rsid w:val="001154D5"/>
    <w:pPr>
      <w:jc w:val="left"/>
    </w:pPr>
  </w:style>
  <w:style w:type="paragraph" w:customStyle="1" w:styleId="BETtulosnonumerados">
    <w:name w:val="BE Títulos não numerados"/>
    <w:basedOn w:val="Normal"/>
    <w:qFormat/>
    <w:rsid w:val="001154D5"/>
    <w:rPr>
      <w:rFonts w:ascii="Roboto Black" w:hAnsi="Roboto Black"/>
      <w:b/>
      <w:bCs/>
      <w:sz w:val="40"/>
      <w:szCs w:val="40"/>
      <w:lang w:val="pt-BR"/>
    </w:rPr>
  </w:style>
  <w:style w:type="paragraph" w:customStyle="1" w:styleId="BEBullets">
    <w:name w:val="BE Bullets"/>
    <w:basedOn w:val="PargrafodaLista"/>
    <w:qFormat/>
    <w:rsid w:val="001154D5"/>
    <w:pPr>
      <w:numPr>
        <w:numId w:val="4"/>
      </w:numPr>
    </w:pPr>
    <w:rPr>
      <w:rFonts w:ascii="Roboto Light" w:hAnsi="Roboto Light"/>
    </w:rPr>
  </w:style>
  <w:style w:type="paragraph" w:customStyle="1" w:styleId="BETtulosmenoresnonumerados">
    <w:name w:val="BE Títulos menores não numerados"/>
    <w:basedOn w:val="BETtulosnonumerados"/>
    <w:qFormat/>
    <w:rsid w:val="00FB2B5D"/>
    <w:rPr>
      <w:sz w:val="32"/>
      <w:szCs w:val="32"/>
    </w:rPr>
  </w:style>
  <w:style w:type="character" w:styleId="TextodoMarcadordePosio">
    <w:name w:val="Placeholder Text"/>
    <w:uiPriority w:val="99"/>
    <w:semiHidden/>
    <w:rsid w:val="00232C42"/>
    <w:rPr>
      <w:color w:val="808080"/>
    </w:rPr>
  </w:style>
  <w:style w:type="paragraph" w:customStyle="1" w:styleId="TextoTabelafontemenor">
    <w:name w:val="Texto Tabela fonte menor"/>
    <w:basedOn w:val="TabQuaFigFot"/>
    <w:rsid w:val="00C930C0"/>
    <w:pPr>
      <w:spacing w:after="0"/>
      <w:jc w:val="left"/>
    </w:pPr>
    <w:rPr>
      <w:sz w:val="18"/>
      <w:szCs w:val="18"/>
    </w:rPr>
  </w:style>
  <w:style w:type="paragraph" w:customStyle="1" w:styleId="BETabelaFonteMenor">
    <w:name w:val="BE Tabela Fonte Menor"/>
    <w:basedOn w:val="TabQuaFigFot"/>
    <w:qFormat/>
    <w:rsid w:val="00C930C0"/>
    <w:pPr>
      <w:spacing w:after="0"/>
      <w:jc w:val="left"/>
    </w:pPr>
    <w:rPr>
      <w:sz w:val="18"/>
      <w:szCs w:val="18"/>
    </w:rPr>
  </w:style>
  <w:style w:type="paragraph" w:customStyle="1" w:styleId="BETabelaFonteMAIOR">
    <w:name w:val="BE Tabela Fonte MAIOR"/>
    <w:basedOn w:val="TabQuaFigFot"/>
    <w:qFormat/>
    <w:rsid w:val="00C930C0"/>
    <w:pPr>
      <w:spacing w:after="0"/>
    </w:pPr>
  </w:style>
  <w:style w:type="paragraph" w:customStyle="1" w:styleId="BELegenda">
    <w:name w:val="BE Legenda"/>
    <w:basedOn w:val="Legenda"/>
    <w:link w:val="BELegendaCarter"/>
    <w:autoRedefine/>
    <w:qFormat/>
    <w:rsid w:val="004D5514"/>
    <w:rPr>
      <w:b/>
      <w:bCs w:val="0"/>
      <w:sz w:val="24"/>
      <w:szCs w:val="28"/>
      <w:lang w:eastAsia="ar-SA"/>
    </w:rPr>
  </w:style>
  <w:style w:type="paragraph" w:styleId="ndicedeilustraes">
    <w:name w:val="table of figures"/>
    <w:basedOn w:val="Normal"/>
    <w:next w:val="Normal"/>
    <w:link w:val="ndicedeilustraesCarter"/>
    <w:uiPriority w:val="99"/>
    <w:unhideWhenUsed/>
    <w:rsid w:val="00F4117D"/>
    <w:pPr>
      <w:spacing w:after="0"/>
    </w:pPr>
  </w:style>
  <w:style w:type="character" w:customStyle="1" w:styleId="LegendaCarter">
    <w:name w:val="Legenda Caráter"/>
    <w:aliases w:val="Quadro Caráter"/>
    <w:basedOn w:val="Tipodeletrapredefinidodopargrafo"/>
    <w:link w:val="Legenda"/>
    <w:uiPriority w:val="35"/>
    <w:rsid w:val="00041DCC"/>
    <w:rPr>
      <w:rFonts w:ascii="Roboto Light" w:eastAsia="Calibri" w:hAnsi="Roboto Light" w:cs="Pª«ª‘ˇ¯‡™"/>
      <w:bCs/>
      <w:sz w:val="22"/>
      <w:szCs w:val="22"/>
      <w:lang w:val="en-US" w:eastAsia="pt-BR"/>
    </w:rPr>
  </w:style>
  <w:style w:type="character" w:customStyle="1" w:styleId="BELegendaCarter">
    <w:name w:val="BE Legenda Caráter"/>
    <w:basedOn w:val="LegendaCarter"/>
    <w:link w:val="BELegenda"/>
    <w:rsid w:val="004D5514"/>
    <w:rPr>
      <w:rFonts w:ascii="Roboto Light" w:eastAsia="Calibri" w:hAnsi="Roboto Light" w:cs="Pª«ª‘ˇ¯‡™"/>
      <w:b/>
      <w:bCs w:val="0"/>
      <w:sz w:val="24"/>
      <w:szCs w:val="28"/>
      <w:lang w:val="en-US" w:eastAsia="ar-SA"/>
    </w:rPr>
  </w:style>
  <w:style w:type="paragraph" w:customStyle="1" w:styleId="BEndice">
    <w:name w:val="BE índice"/>
    <w:basedOn w:val="ndicedeilustraes"/>
    <w:link w:val="BEndiceCarter"/>
    <w:qFormat/>
    <w:rsid w:val="00F4117D"/>
    <w:pPr>
      <w:tabs>
        <w:tab w:val="right" w:leader="dot" w:pos="9061"/>
      </w:tabs>
    </w:pPr>
    <w:rPr>
      <w:rFonts w:eastAsia="Calibri"/>
      <w:noProof/>
      <w:sz w:val="18"/>
      <w:szCs w:val="18"/>
    </w:rPr>
  </w:style>
  <w:style w:type="character" w:customStyle="1" w:styleId="ndicedeilustraesCarter">
    <w:name w:val="Índice de ilustrações Caráter"/>
    <w:basedOn w:val="Tipodeletrapredefinidodopargrafo"/>
    <w:link w:val="ndicedeilustraes"/>
    <w:uiPriority w:val="99"/>
    <w:rsid w:val="00F4117D"/>
    <w:rPr>
      <w:rFonts w:ascii="Roboto Light" w:hAnsi="Roboto Light" w:cs="Pª«ª‘ˇ¯‡™"/>
      <w:sz w:val="22"/>
      <w:szCs w:val="22"/>
      <w:lang w:val="en-US" w:eastAsia="pt-BR"/>
    </w:rPr>
  </w:style>
  <w:style w:type="character" w:customStyle="1" w:styleId="BEndiceCarter">
    <w:name w:val="BE índice Caráter"/>
    <w:basedOn w:val="ndicedeilustraesCarter"/>
    <w:link w:val="BEndice"/>
    <w:rsid w:val="00F4117D"/>
    <w:rPr>
      <w:rFonts w:ascii="Roboto Light" w:eastAsia="Calibri" w:hAnsi="Roboto Light" w:cs="Pª«ª‘ˇ¯‡™"/>
      <w:noProof/>
      <w:sz w:val="18"/>
      <w:szCs w:val="18"/>
      <w:lang w:val="en-US" w:eastAsia="pt-BR"/>
    </w:rPr>
  </w:style>
  <w:style w:type="paragraph" w:styleId="Cabealhodondice">
    <w:name w:val="TOC Heading"/>
    <w:basedOn w:val="Ttulo1"/>
    <w:next w:val="Normal"/>
    <w:uiPriority w:val="39"/>
    <w:unhideWhenUsed/>
    <w:qFormat/>
    <w:rsid w:val="00830E64"/>
    <w:pPr>
      <w:keepNext/>
      <w:keepLines/>
      <w:pageBreakBefore w:val="0"/>
      <w:widowControl/>
      <w:numPr>
        <w:numId w:val="0"/>
      </w:numPr>
      <w:tabs>
        <w:tab w:val="clear" w:pos="0"/>
      </w:tabs>
      <w:autoSpaceDE/>
      <w:autoSpaceDN/>
      <w:adjustRightInd/>
      <w:spacing w:before="240" w:after="0" w:line="259" w:lineRule="auto"/>
      <w:jc w:val="left"/>
      <w:outlineLvl w:val="9"/>
    </w:pPr>
    <w:rPr>
      <w:rFonts w:asciiTheme="majorHAnsi" w:eastAsiaTheme="majorEastAsia" w:hAnsiTheme="majorHAnsi" w:cstheme="majorBidi"/>
      <w:b w:val="0"/>
      <w:bCs w:val="0"/>
      <w:caps w:val="0"/>
      <w:color w:val="99232F" w:themeColor="accent1" w:themeShade="BF"/>
      <w:sz w:val="32"/>
      <w:szCs w:val="32"/>
      <w:lang w:val="pt-PT" w:eastAsia="pt-PT"/>
    </w:rPr>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table" w:styleId="Table">
    <w:name w:val="Table"/>
    <w:basedOn w:val="Tabela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pact">
    <w:name w:val="Compact"/>
    <w:basedOn w:val="Normal"/>
    <w:qFormat/>
    <w:pPr>
      <w:spacing w:after="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69494">
      <w:bodyDiv w:val="1"/>
      <w:marLeft w:val="0"/>
      <w:marRight w:val="0"/>
      <w:marTop w:val="0"/>
      <w:marBottom w:val="0"/>
      <w:divBdr>
        <w:top w:val="none" w:sz="0" w:space="0" w:color="auto"/>
        <w:left w:val="none" w:sz="0" w:space="0" w:color="auto"/>
        <w:bottom w:val="none" w:sz="0" w:space="0" w:color="auto"/>
        <w:right w:val="none" w:sz="0" w:space="0" w:color="auto"/>
      </w:divBdr>
      <w:divsChild>
        <w:div w:id="802775027">
          <w:marLeft w:val="0"/>
          <w:marRight w:val="0"/>
          <w:marTop w:val="0"/>
          <w:marBottom w:val="0"/>
          <w:divBdr>
            <w:top w:val="none" w:sz="0" w:space="0" w:color="auto"/>
            <w:left w:val="none" w:sz="0" w:space="0" w:color="auto"/>
            <w:bottom w:val="none" w:sz="0" w:space="0" w:color="auto"/>
            <w:right w:val="none" w:sz="0" w:space="0" w:color="auto"/>
          </w:divBdr>
          <w:divsChild>
            <w:div w:id="141277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94797">
      <w:bodyDiv w:val="1"/>
      <w:marLeft w:val="0"/>
      <w:marRight w:val="0"/>
      <w:marTop w:val="0"/>
      <w:marBottom w:val="0"/>
      <w:divBdr>
        <w:top w:val="none" w:sz="0" w:space="0" w:color="auto"/>
        <w:left w:val="none" w:sz="0" w:space="0" w:color="auto"/>
        <w:bottom w:val="none" w:sz="0" w:space="0" w:color="auto"/>
        <w:right w:val="none" w:sz="0" w:space="0" w:color="auto"/>
      </w:divBdr>
    </w:div>
    <w:div w:id="51855981">
      <w:bodyDiv w:val="1"/>
      <w:marLeft w:val="0"/>
      <w:marRight w:val="0"/>
      <w:marTop w:val="0"/>
      <w:marBottom w:val="0"/>
      <w:divBdr>
        <w:top w:val="none" w:sz="0" w:space="0" w:color="auto"/>
        <w:left w:val="none" w:sz="0" w:space="0" w:color="auto"/>
        <w:bottom w:val="none" w:sz="0" w:space="0" w:color="auto"/>
        <w:right w:val="none" w:sz="0" w:space="0" w:color="auto"/>
      </w:divBdr>
      <w:divsChild>
        <w:div w:id="1790855076">
          <w:marLeft w:val="0"/>
          <w:marRight w:val="0"/>
          <w:marTop w:val="0"/>
          <w:marBottom w:val="0"/>
          <w:divBdr>
            <w:top w:val="none" w:sz="0" w:space="0" w:color="auto"/>
            <w:left w:val="none" w:sz="0" w:space="0" w:color="auto"/>
            <w:bottom w:val="none" w:sz="0" w:space="0" w:color="auto"/>
            <w:right w:val="none" w:sz="0" w:space="0" w:color="auto"/>
          </w:divBdr>
          <w:divsChild>
            <w:div w:id="1673483656">
              <w:marLeft w:val="0"/>
              <w:marRight w:val="0"/>
              <w:marTop w:val="0"/>
              <w:marBottom w:val="0"/>
              <w:divBdr>
                <w:top w:val="none" w:sz="0" w:space="0" w:color="auto"/>
                <w:left w:val="none" w:sz="0" w:space="0" w:color="auto"/>
                <w:bottom w:val="none" w:sz="0" w:space="0" w:color="auto"/>
                <w:right w:val="none" w:sz="0" w:space="0" w:color="auto"/>
              </w:divBdr>
            </w:div>
            <w:div w:id="171943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6468">
      <w:bodyDiv w:val="1"/>
      <w:marLeft w:val="0"/>
      <w:marRight w:val="0"/>
      <w:marTop w:val="0"/>
      <w:marBottom w:val="0"/>
      <w:divBdr>
        <w:top w:val="none" w:sz="0" w:space="0" w:color="auto"/>
        <w:left w:val="none" w:sz="0" w:space="0" w:color="auto"/>
        <w:bottom w:val="none" w:sz="0" w:space="0" w:color="auto"/>
        <w:right w:val="none" w:sz="0" w:space="0" w:color="auto"/>
      </w:divBdr>
    </w:div>
    <w:div w:id="73431591">
      <w:bodyDiv w:val="1"/>
      <w:marLeft w:val="0"/>
      <w:marRight w:val="0"/>
      <w:marTop w:val="0"/>
      <w:marBottom w:val="0"/>
      <w:divBdr>
        <w:top w:val="none" w:sz="0" w:space="0" w:color="auto"/>
        <w:left w:val="none" w:sz="0" w:space="0" w:color="auto"/>
        <w:bottom w:val="none" w:sz="0" w:space="0" w:color="auto"/>
        <w:right w:val="none" w:sz="0" w:space="0" w:color="auto"/>
      </w:divBdr>
    </w:div>
    <w:div w:id="83839740">
      <w:bodyDiv w:val="1"/>
      <w:marLeft w:val="0"/>
      <w:marRight w:val="0"/>
      <w:marTop w:val="0"/>
      <w:marBottom w:val="0"/>
      <w:divBdr>
        <w:top w:val="none" w:sz="0" w:space="0" w:color="auto"/>
        <w:left w:val="none" w:sz="0" w:space="0" w:color="auto"/>
        <w:bottom w:val="none" w:sz="0" w:space="0" w:color="auto"/>
        <w:right w:val="none" w:sz="0" w:space="0" w:color="auto"/>
      </w:divBdr>
    </w:div>
    <w:div w:id="84769409">
      <w:bodyDiv w:val="1"/>
      <w:marLeft w:val="0"/>
      <w:marRight w:val="0"/>
      <w:marTop w:val="0"/>
      <w:marBottom w:val="0"/>
      <w:divBdr>
        <w:top w:val="none" w:sz="0" w:space="0" w:color="auto"/>
        <w:left w:val="none" w:sz="0" w:space="0" w:color="auto"/>
        <w:bottom w:val="none" w:sz="0" w:space="0" w:color="auto"/>
        <w:right w:val="none" w:sz="0" w:space="0" w:color="auto"/>
      </w:divBdr>
    </w:div>
    <w:div w:id="94063804">
      <w:bodyDiv w:val="1"/>
      <w:marLeft w:val="0"/>
      <w:marRight w:val="0"/>
      <w:marTop w:val="0"/>
      <w:marBottom w:val="0"/>
      <w:divBdr>
        <w:top w:val="none" w:sz="0" w:space="0" w:color="auto"/>
        <w:left w:val="none" w:sz="0" w:space="0" w:color="auto"/>
        <w:bottom w:val="none" w:sz="0" w:space="0" w:color="auto"/>
        <w:right w:val="none" w:sz="0" w:space="0" w:color="auto"/>
      </w:divBdr>
      <w:divsChild>
        <w:div w:id="402945499">
          <w:marLeft w:val="0"/>
          <w:marRight w:val="0"/>
          <w:marTop w:val="0"/>
          <w:marBottom w:val="0"/>
          <w:divBdr>
            <w:top w:val="none" w:sz="0" w:space="0" w:color="auto"/>
            <w:left w:val="none" w:sz="0" w:space="0" w:color="auto"/>
            <w:bottom w:val="none" w:sz="0" w:space="0" w:color="auto"/>
            <w:right w:val="none" w:sz="0" w:space="0" w:color="auto"/>
          </w:divBdr>
        </w:div>
      </w:divsChild>
    </w:div>
    <w:div w:id="98062208">
      <w:bodyDiv w:val="1"/>
      <w:marLeft w:val="0"/>
      <w:marRight w:val="0"/>
      <w:marTop w:val="0"/>
      <w:marBottom w:val="0"/>
      <w:divBdr>
        <w:top w:val="none" w:sz="0" w:space="0" w:color="auto"/>
        <w:left w:val="none" w:sz="0" w:space="0" w:color="auto"/>
        <w:bottom w:val="none" w:sz="0" w:space="0" w:color="auto"/>
        <w:right w:val="none" w:sz="0" w:space="0" w:color="auto"/>
      </w:divBdr>
    </w:div>
    <w:div w:id="100951982">
      <w:bodyDiv w:val="1"/>
      <w:marLeft w:val="0"/>
      <w:marRight w:val="0"/>
      <w:marTop w:val="0"/>
      <w:marBottom w:val="0"/>
      <w:divBdr>
        <w:top w:val="none" w:sz="0" w:space="0" w:color="auto"/>
        <w:left w:val="none" w:sz="0" w:space="0" w:color="auto"/>
        <w:bottom w:val="none" w:sz="0" w:space="0" w:color="auto"/>
        <w:right w:val="none" w:sz="0" w:space="0" w:color="auto"/>
      </w:divBdr>
    </w:div>
    <w:div w:id="110828337">
      <w:bodyDiv w:val="1"/>
      <w:marLeft w:val="0"/>
      <w:marRight w:val="0"/>
      <w:marTop w:val="0"/>
      <w:marBottom w:val="0"/>
      <w:divBdr>
        <w:top w:val="none" w:sz="0" w:space="0" w:color="auto"/>
        <w:left w:val="none" w:sz="0" w:space="0" w:color="auto"/>
        <w:bottom w:val="none" w:sz="0" w:space="0" w:color="auto"/>
        <w:right w:val="none" w:sz="0" w:space="0" w:color="auto"/>
      </w:divBdr>
    </w:div>
    <w:div w:id="116610831">
      <w:bodyDiv w:val="1"/>
      <w:marLeft w:val="0"/>
      <w:marRight w:val="0"/>
      <w:marTop w:val="0"/>
      <w:marBottom w:val="0"/>
      <w:divBdr>
        <w:top w:val="none" w:sz="0" w:space="0" w:color="auto"/>
        <w:left w:val="none" w:sz="0" w:space="0" w:color="auto"/>
        <w:bottom w:val="none" w:sz="0" w:space="0" w:color="auto"/>
        <w:right w:val="none" w:sz="0" w:space="0" w:color="auto"/>
      </w:divBdr>
    </w:div>
    <w:div w:id="119960136">
      <w:bodyDiv w:val="1"/>
      <w:marLeft w:val="0"/>
      <w:marRight w:val="0"/>
      <w:marTop w:val="0"/>
      <w:marBottom w:val="0"/>
      <w:divBdr>
        <w:top w:val="none" w:sz="0" w:space="0" w:color="auto"/>
        <w:left w:val="none" w:sz="0" w:space="0" w:color="auto"/>
        <w:bottom w:val="none" w:sz="0" w:space="0" w:color="auto"/>
        <w:right w:val="none" w:sz="0" w:space="0" w:color="auto"/>
      </w:divBdr>
    </w:div>
    <w:div w:id="120610894">
      <w:bodyDiv w:val="1"/>
      <w:marLeft w:val="0"/>
      <w:marRight w:val="0"/>
      <w:marTop w:val="0"/>
      <w:marBottom w:val="0"/>
      <w:divBdr>
        <w:top w:val="none" w:sz="0" w:space="0" w:color="auto"/>
        <w:left w:val="none" w:sz="0" w:space="0" w:color="auto"/>
        <w:bottom w:val="none" w:sz="0" w:space="0" w:color="auto"/>
        <w:right w:val="none" w:sz="0" w:space="0" w:color="auto"/>
      </w:divBdr>
    </w:div>
    <w:div w:id="122621480">
      <w:bodyDiv w:val="1"/>
      <w:marLeft w:val="0"/>
      <w:marRight w:val="0"/>
      <w:marTop w:val="0"/>
      <w:marBottom w:val="0"/>
      <w:divBdr>
        <w:top w:val="none" w:sz="0" w:space="0" w:color="auto"/>
        <w:left w:val="none" w:sz="0" w:space="0" w:color="auto"/>
        <w:bottom w:val="none" w:sz="0" w:space="0" w:color="auto"/>
        <w:right w:val="none" w:sz="0" w:space="0" w:color="auto"/>
      </w:divBdr>
    </w:div>
    <w:div w:id="134225501">
      <w:bodyDiv w:val="1"/>
      <w:marLeft w:val="0"/>
      <w:marRight w:val="0"/>
      <w:marTop w:val="0"/>
      <w:marBottom w:val="0"/>
      <w:divBdr>
        <w:top w:val="none" w:sz="0" w:space="0" w:color="auto"/>
        <w:left w:val="none" w:sz="0" w:space="0" w:color="auto"/>
        <w:bottom w:val="none" w:sz="0" w:space="0" w:color="auto"/>
        <w:right w:val="none" w:sz="0" w:space="0" w:color="auto"/>
      </w:divBdr>
    </w:div>
    <w:div w:id="141511433">
      <w:bodyDiv w:val="1"/>
      <w:marLeft w:val="0"/>
      <w:marRight w:val="0"/>
      <w:marTop w:val="0"/>
      <w:marBottom w:val="0"/>
      <w:divBdr>
        <w:top w:val="none" w:sz="0" w:space="0" w:color="auto"/>
        <w:left w:val="none" w:sz="0" w:space="0" w:color="auto"/>
        <w:bottom w:val="none" w:sz="0" w:space="0" w:color="auto"/>
        <w:right w:val="none" w:sz="0" w:space="0" w:color="auto"/>
      </w:divBdr>
    </w:div>
    <w:div w:id="145097895">
      <w:bodyDiv w:val="1"/>
      <w:marLeft w:val="0"/>
      <w:marRight w:val="0"/>
      <w:marTop w:val="0"/>
      <w:marBottom w:val="0"/>
      <w:divBdr>
        <w:top w:val="none" w:sz="0" w:space="0" w:color="auto"/>
        <w:left w:val="none" w:sz="0" w:space="0" w:color="auto"/>
        <w:bottom w:val="none" w:sz="0" w:space="0" w:color="auto"/>
        <w:right w:val="none" w:sz="0" w:space="0" w:color="auto"/>
      </w:divBdr>
    </w:div>
    <w:div w:id="147288666">
      <w:bodyDiv w:val="1"/>
      <w:marLeft w:val="0"/>
      <w:marRight w:val="0"/>
      <w:marTop w:val="0"/>
      <w:marBottom w:val="0"/>
      <w:divBdr>
        <w:top w:val="none" w:sz="0" w:space="0" w:color="auto"/>
        <w:left w:val="none" w:sz="0" w:space="0" w:color="auto"/>
        <w:bottom w:val="none" w:sz="0" w:space="0" w:color="auto"/>
        <w:right w:val="none" w:sz="0" w:space="0" w:color="auto"/>
      </w:divBdr>
    </w:div>
    <w:div w:id="148177791">
      <w:bodyDiv w:val="1"/>
      <w:marLeft w:val="0"/>
      <w:marRight w:val="0"/>
      <w:marTop w:val="0"/>
      <w:marBottom w:val="0"/>
      <w:divBdr>
        <w:top w:val="none" w:sz="0" w:space="0" w:color="auto"/>
        <w:left w:val="none" w:sz="0" w:space="0" w:color="auto"/>
        <w:bottom w:val="none" w:sz="0" w:space="0" w:color="auto"/>
        <w:right w:val="none" w:sz="0" w:space="0" w:color="auto"/>
      </w:divBdr>
    </w:div>
    <w:div w:id="154032387">
      <w:bodyDiv w:val="1"/>
      <w:marLeft w:val="0"/>
      <w:marRight w:val="0"/>
      <w:marTop w:val="0"/>
      <w:marBottom w:val="0"/>
      <w:divBdr>
        <w:top w:val="none" w:sz="0" w:space="0" w:color="auto"/>
        <w:left w:val="none" w:sz="0" w:space="0" w:color="auto"/>
        <w:bottom w:val="none" w:sz="0" w:space="0" w:color="auto"/>
        <w:right w:val="none" w:sz="0" w:space="0" w:color="auto"/>
      </w:divBdr>
    </w:div>
    <w:div w:id="155071826">
      <w:bodyDiv w:val="1"/>
      <w:marLeft w:val="0"/>
      <w:marRight w:val="0"/>
      <w:marTop w:val="0"/>
      <w:marBottom w:val="0"/>
      <w:divBdr>
        <w:top w:val="none" w:sz="0" w:space="0" w:color="auto"/>
        <w:left w:val="none" w:sz="0" w:space="0" w:color="auto"/>
        <w:bottom w:val="none" w:sz="0" w:space="0" w:color="auto"/>
        <w:right w:val="none" w:sz="0" w:space="0" w:color="auto"/>
      </w:divBdr>
    </w:div>
    <w:div w:id="171989474">
      <w:bodyDiv w:val="1"/>
      <w:marLeft w:val="0"/>
      <w:marRight w:val="0"/>
      <w:marTop w:val="0"/>
      <w:marBottom w:val="0"/>
      <w:divBdr>
        <w:top w:val="none" w:sz="0" w:space="0" w:color="auto"/>
        <w:left w:val="none" w:sz="0" w:space="0" w:color="auto"/>
        <w:bottom w:val="none" w:sz="0" w:space="0" w:color="auto"/>
        <w:right w:val="none" w:sz="0" w:space="0" w:color="auto"/>
      </w:divBdr>
    </w:div>
    <w:div w:id="172840080">
      <w:bodyDiv w:val="1"/>
      <w:marLeft w:val="0"/>
      <w:marRight w:val="0"/>
      <w:marTop w:val="0"/>
      <w:marBottom w:val="0"/>
      <w:divBdr>
        <w:top w:val="none" w:sz="0" w:space="0" w:color="auto"/>
        <w:left w:val="none" w:sz="0" w:space="0" w:color="auto"/>
        <w:bottom w:val="none" w:sz="0" w:space="0" w:color="auto"/>
        <w:right w:val="none" w:sz="0" w:space="0" w:color="auto"/>
      </w:divBdr>
    </w:div>
    <w:div w:id="177894018">
      <w:bodyDiv w:val="1"/>
      <w:marLeft w:val="0"/>
      <w:marRight w:val="0"/>
      <w:marTop w:val="0"/>
      <w:marBottom w:val="0"/>
      <w:divBdr>
        <w:top w:val="none" w:sz="0" w:space="0" w:color="auto"/>
        <w:left w:val="none" w:sz="0" w:space="0" w:color="auto"/>
        <w:bottom w:val="none" w:sz="0" w:space="0" w:color="auto"/>
        <w:right w:val="none" w:sz="0" w:space="0" w:color="auto"/>
      </w:divBdr>
      <w:divsChild>
        <w:div w:id="1478497742">
          <w:marLeft w:val="0"/>
          <w:marRight w:val="0"/>
          <w:marTop w:val="0"/>
          <w:marBottom w:val="0"/>
          <w:divBdr>
            <w:top w:val="none" w:sz="0" w:space="0" w:color="auto"/>
            <w:left w:val="none" w:sz="0" w:space="0" w:color="auto"/>
            <w:bottom w:val="none" w:sz="0" w:space="0" w:color="auto"/>
            <w:right w:val="none" w:sz="0" w:space="0" w:color="auto"/>
          </w:divBdr>
          <w:divsChild>
            <w:div w:id="126572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0521">
      <w:bodyDiv w:val="1"/>
      <w:marLeft w:val="0"/>
      <w:marRight w:val="0"/>
      <w:marTop w:val="0"/>
      <w:marBottom w:val="0"/>
      <w:divBdr>
        <w:top w:val="none" w:sz="0" w:space="0" w:color="auto"/>
        <w:left w:val="none" w:sz="0" w:space="0" w:color="auto"/>
        <w:bottom w:val="none" w:sz="0" w:space="0" w:color="auto"/>
        <w:right w:val="none" w:sz="0" w:space="0" w:color="auto"/>
      </w:divBdr>
    </w:div>
    <w:div w:id="194201009">
      <w:bodyDiv w:val="1"/>
      <w:marLeft w:val="0"/>
      <w:marRight w:val="0"/>
      <w:marTop w:val="0"/>
      <w:marBottom w:val="0"/>
      <w:divBdr>
        <w:top w:val="none" w:sz="0" w:space="0" w:color="auto"/>
        <w:left w:val="none" w:sz="0" w:space="0" w:color="auto"/>
        <w:bottom w:val="none" w:sz="0" w:space="0" w:color="auto"/>
        <w:right w:val="none" w:sz="0" w:space="0" w:color="auto"/>
      </w:divBdr>
    </w:div>
    <w:div w:id="195195909">
      <w:bodyDiv w:val="1"/>
      <w:marLeft w:val="0"/>
      <w:marRight w:val="0"/>
      <w:marTop w:val="0"/>
      <w:marBottom w:val="0"/>
      <w:divBdr>
        <w:top w:val="none" w:sz="0" w:space="0" w:color="auto"/>
        <w:left w:val="none" w:sz="0" w:space="0" w:color="auto"/>
        <w:bottom w:val="none" w:sz="0" w:space="0" w:color="auto"/>
        <w:right w:val="none" w:sz="0" w:space="0" w:color="auto"/>
      </w:divBdr>
    </w:div>
    <w:div w:id="201599236">
      <w:bodyDiv w:val="1"/>
      <w:marLeft w:val="0"/>
      <w:marRight w:val="0"/>
      <w:marTop w:val="0"/>
      <w:marBottom w:val="0"/>
      <w:divBdr>
        <w:top w:val="none" w:sz="0" w:space="0" w:color="auto"/>
        <w:left w:val="none" w:sz="0" w:space="0" w:color="auto"/>
        <w:bottom w:val="none" w:sz="0" w:space="0" w:color="auto"/>
        <w:right w:val="none" w:sz="0" w:space="0" w:color="auto"/>
      </w:divBdr>
    </w:div>
    <w:div w:id="202865645">
      <w:bodyDiv w:val="1"/>
      <w:marLeft w:val="0"/>
      <w:marRight w:val="0"/>
      <w:marTop w:val="0"/>
      <w:marBottom w:val="0"/>
      <w:divBdr>
        <w:top w:val="none" w:sz="0" w:space="0" w:color="auto"/>
        <w:left w:val="none" w:sz="0" w:space="0" w:color="auto"/>
        <w:bottom w:val="none" w:sz="0" w:space="0" w:color="auto"/>
        <w:right w:val="none" w:sz="0" w:space="0" w:color="auto"/>
      </w:divBdr>
      <w:divsChild>
        <w:div w:id="1855730672">
          <w:marLeft w:val="0"/>
          <w:marRight w:val="0"/>
          <w:marTop w:val="0"/>
          <w:marBottom w:val="0"/>
          <w:divBdr>
            <w:top w:val="none" w:sz="0" w:space="0" w:color="auto"/>
            <w:left w:val="none" w:sz="0" w:space="0" w:color="auto"/>
            <w:bottom w:val="none" w:sz="0" w:space="0" w:color="auto"/>
            <w:right w:val="none" w:sz="0" w:space="0" w:color="auto"/>
          </w:divBdr>
        </w:div>
      </w:divsChild>
    </w:div>
    <w:div w:id="211431274">
      <w:bodyDiv w:val="1"/>
      <w:marLeft w:val="0"/>
      <w:marRight w:val="0"/>
      <w:marTop w:val="0"/>
      <w:marBottom w:val="0"/>
      <w:divBdr>
        <w:top w:val="none" w:sz="0" w:space="0" w:color="auto"/>
        <w:left w:val="none" w:sz="0" w:space="0" w:color="auto"/>
        <w:bottom w:val="none" w:sz="0" w:space="0" w:color="auto"/>
        <w:right w:val="none" w:sz="0" w:space="0" w:color="auto"/>
      </w:divBdr>
    </w:div>
    <w:div w:id="217397569">
      <w:bodyDiv w:val="1"/>
      <w:marLeft w:val="0"/>
      <w:marRight w:val="0"/>
      <w:marTop w:val="0"/>
      <w:marBottom w:val="0"/>
      <w:divBdr>
        <w:top w:val="none" w:sz="0" w:space="0" w:color="auto"/>
        <w:left w:val="none" w:sz="0" w:space="0" w:color="auto"/>
        <w:bottom w:val="none" w:sz="0" w:space="0" w:color="auto"/>
        <w:right w:val="none" w:sz="0" w:space="0" w:color="auto"/>
      </w:divBdr>
    </w:div>
    <w:div w:id="226112596">
      <w:bodyDiv w:val="1"/>
      <w:marLeft w:val="0"/>
      <w:marRight w:val="0"/>
      <w:marTop w:val="0"/>
      <w:marBottom w:val="0"/>
      <w:divBdr>
        <w:top w:val="none" w:sz="0" w:space="0" w:color="auto"/>
        <w:left w:val="none" w:sz="0" w:space="0" w:color="auto"/>
        <w:bottom w:val="none" w:sz="0" w:space="0" w:color="auto"/>
        <w:right w:val="none" w:sz="0" w:space="0" w:color="auto"/>
      </w:divBdr>
    </w:div>
    <w:div w:id="235405919">
      <w:bodyDiv w:val="1"/>
      <w:marLeft w:val="0"/>
      <w:marRight w:val="0"/>
      <w:marTop w:val="0"/>
      <w:marBottom w:val="0"/>
      <w:divBdr>
        <w:top w:val="none" w:sz="0" w:space="0" w:color="auto"/>
        <w:left w:val="none" w:sz="0" w:space="0" w:color="auto"/>
        <w:bottom w:val="none" w:sz="0" w:space="0" w:color="auto"/>
        <w:right w:val="none" w:sz="0" w:space="0" w:color="auto"/>
      </w:divBdr>
    </w:div>
    <w:div w:id="239406282">
      <w:bodyDiv w:val="1"/>
      <w:marLeft w:val="0"/>
      <w:marRight w:val="0"/>
      <w:marTop w:val="0"/>
      <w:marBottom w:val="0"/>
      <w:divBdr>
        <w:top w:val="none" w:sz="0" w:space="0" w:color="auto"/>
        <w:left w:val="none" w:sz="0" w:space="0" w:color="auto"/>
        <w:bottom w:val="none" w:sz="0" w:space="0" w:color="auto"/>
        <w:right w:val="none" w:sz="0" w:space="0" w:color="auto"/>
      </w:divBdr>
    </w:div>
    <w:div w:id="247807028">
      <w:bodyDiv w:val="1"/>
      <w:marLeft w:val="0"/>
      <w:marRight w:val="0"/>
      <w:marTop w:val="0"/>
      <w:marBottom w:val="0"/>
      <w:divBdr>
        <w:top w:val="none" w:sz="0" w:space="0" w:color="auto"/>
        <w:left w:val="none" w:sz="0" w:space="0" w:color="auto"/>
        <w:bottom w:val="none" w:sz="0" w:space="0" w:color="auto"/>
        <w:right w:val="none" w:sz="0" w:space="0" w:color="auto"/>
      </w:divBdr>
    </w:div>
    <w:div w:id="253905005">
      <w:bodyDiv w:val="1"/>
      <w:marLeft w:val="0"/>
      <w:marRight w:val="0"/>
      <w:marTop w:val="0"/>
      <w:marBottom w:val="0"/>
      <w:divBdr>
        <w:top w:val="none" w:sz="0" w:space="0" w:color="auto"/>
        <w:left w:val="none" w:sz="0" w:space="0" w:color="auto"/>
        <w:bottom w:val="none" w:sz="0" w:space="0" w:color="auto"/>
        <w:right w:val="none" w:sz="0" w:space="0" w:color="auto"/>
      </w:divBdr>
    </w:div>
    <w:div w:id="255868369">
      <w:bodyDiv w:val="1"/>
      <w:marLeft w:val="0"/>
      <w:marRight w:val="0"/>
      <w:marTop w:val="0"/>
      <w:marBottom w:val="0"/>
      <w:divBdr>
        <w:top w:val="none" w:sz="0" w:space="0" w:color="auto"/>
        <w:left w:val="none" w:sz="0" w:space="0" w:color="auto"/>
        <w:bottom w:val="none" w:sz="0" w:space="0" w:color="auto"/>
        <w:right w:val="none" w:sz="0" w:space="0" w:color="auto"/>
      </w:divBdr>
    </w:div>
    <w:div w:id="263849335">
      <w:bodyDiv w:val="1"/>
      <w:marLeft w:val="0"/>
      <w:marRight w:val="0"/>
      <w:marTop w:val="0"/>
      <w:marBottom w:val="0"/>
      <w:divBdr>
        <w:top w:val="none" w:sz="0" w:space="0" w:color="auto"/>
        <w:left w:val="none" w:sz="0" w:space="0" w:color="auto"/>
        <w:bottom w:val="none" w:sz="0" w:space="0" w:color="auto"/>
        <w:right w:val="none" w:sz="0" w:space="0" w:color="auto"/>
      </w:divBdr>
    </w:div>
    <w:div w:id="264310063">
      <w:bodyDiv w:val="1"/>
      <w:marLeft w:val="0"/>
      <w:marRight w:val="0"/>
      <w:marTop w:val="0"/>
      <w:marBottom w:val="0"/>
      <w:divBdr>
        <w:top w:val="none" w:sz="0" w:space="0" w:color="auto"/>
        <w:left w:val="none" w:sz="0" w:space="0" w:color="auto"/>
        <w:bottom w:val="none" w:sz="0" w:space="0" w:color="auto"/>
        <w:right w:val="none" w:sz="0" w:space="0" w:color="auto"/>
      </w:divBdr>
    </w:div>
    <w:div w:id="280696769">
      <w:bodyDiv w:val="1"/>
      <w:marLeft w:val="0"/>
      <w:marRight w:val="0"/>
      <w:marTop w:val="0"/>
      <w:marBottom w:val="0"/>
      <w:divBdr>
        <w:top w:val="none" w:sz="0" w:space="0" w:color="auto"/>
        <w:left w:val="none" w:sz="0" w:space="0" w:color="auto"/>
        <w:bottom w:val="none" w:sz="0" w:space="0" w:color="auto"/>
        <w:right w:val="none" w:sz="0" w:space="0" w:color="auto"/>
      </w:divBdr>
    </w:div>
    <w:div w:id="308024241">
      <w:bodyDiv w:val="1"/>
      <w:marLeft w:val="0"/>
      <w:marRight w:val="0"/>
      <w:marTop w:val="0"/>
      <w:marBottom w:val="0"/>
      <w:divBdr>
        <w:top w:val="none" w:sz="0" w:space="0" w:color="auto"/>
        <w:left w:val="none" w:sz="0" w:space="0" w:color="auto"/>
        <w:bottom w:val="none" w:sz="0" w:space="0" w:color="auto"/>
        <w:right w:val="none" w:sz="0" w:space="0" w:color="auto"/>
      </w:divBdr>
    </w:div>
    <w:div w:id="310251888">
      <w:bodyDiv w:val="1"/>
      <w:marLeft w:val="0"/>
      <w:marRight w:val="0"/>
      <w:marTop w:val="0"/>
      <w:marBottom w:val="0"/>
      <w:divBdr>
        <w:top w:val="none" w:sz="0" w:space="0" w:color="auto"/>
        <w:left w:val="none" w:sz="0" w:space="0" w:color="auto"/>
        <w:bottom w:val="none" w:sz="0" w:space="0" w:color="auto"/>
        <w:right w:val="none" w:sz="0" w:space="0" w:color="auto"/>
      </w:divBdr>
    </w:div>
    <w:div w:id="317345652">
      <w:bodyDiv w:val="1"/>
      <w:marLeft w:val="0"/>
      <w:marRight w:val="0"/>
      <w:marTop w:val="0"/>
      <w:marBottom w:val="0"/>
      <w:divBdr>
        <w:top w:val="none" w:sz="0" w:space="0" w:color="auto"/>
        <w:left w:val="none" w:sz="0" w:space="0" w:color="auto"/>
        <w:bottom w:val="none" w:sz="0" w:space="0" w:color="auto"/>
        <w:right w:val="none" w:sz="0" w:space="0" w:color="auto"/>
      </w:divBdr>
    </w:div>
    <w:div w:id="331613443">
      <w:bodyDiv w:val="1"/>
      <w:marLeft w:val="0"/>
      <w:marRight w:val="0"/>
      <w:marTop w:val="0"/>
      <w:marBottom w:val="0"/>
      <w:divBdr>
        <w:top w:val="none" w:sz="0" w:space="0" w:color="auto"/>
        <w:left w:val="none" w:sz="0" w:space="0" w:color="auto"/>
        <w:bottom w:val="none" w:sz="0" w:space="0" w:color="auto"/>
        <w:right w:val="none" w:sz="0" w:space="0" w:color="auto"/>
      </w:divBdr>
    </w:div>
    <w:div w:id="336884143">
      <w:bodyDiv w:val="1"/>
      <w:marLeft w:val="0"/>
      <w:marRight w:val="0"/>
      <w:marTop w:val="0"/>
      <w:marBottom w:val="0"/>
      <w:divBdr>
        <w:top w:val="none" w:sz="0" w:space="0" w:color="auto"/>
        <w:left w:val="none" w:sz="0" w:space="0" w:color="auto"/>
        <w:bottom w:val="none" w:sz="0" w:space="0" w:color="auto"/>
        <w:right w:val="none" w:sz="0" w:space="0" w:color="auto"/>
      </w:divBdr>
    </w:div>
    <w:div w:id="344792504">
      <w:bodyDiv w:val="1"/>
      <w:marLeft w:val="0"/>
      <w:marRight w:val="0"/>
      <w:marTop w:val="0"/>
      <w:marBottom w:val="0"/>
      <w:divBdr>
        <w:top w:val="none" w:sz="0" w:space="0" w:color="auto"/>
        <w:left w:val="none" w:sz="0" w:space="0" w:color="auto"/>
        <w:bottom w:val="none" w:sz="0" w:space="0" w:color="auto"/>
        <w:right w:val="none" w:sz="0" w:space="0" w:color="auto"/>
      </w:divBdr>
    </w:div>
    <w:div w:id="348025651">
      <w:bodyDiv w:val="1"/>
      <w:marLeft w:val="0"/>
      <w:marRight w:val="0"/>
      <w:marTop w:val="0"/>
      <w:marBottom w:val="0"/>
      <w:divBdr>
        <w:top w:val="none" w:sz="0" w:space="0" w:color="auto"/>
        <w:left w:val="none" w:sz="0" w:space="0" w:color="auto"/>
        <w:bottom w:val="none" w:sz="0" w:space="0" w:color="auto"/>
        <w:right w:val="none" w:sz="0" w:space="0" w:color="auto"/>
      </w:divBdr>
    </w:div>
    <w:div w:id="353071322">
      <w:bodyDiv w:val="1"/>
      <w:marLeft w:val="0"/>
      <w:marRight w:val="0"/>
      <w:marTop w:val="0"/>
      <w:marBottom w:val="0"/>
      <w:divBdr>
        <w:top w:val="none" w:sz="0" w:space="0" w:color="auto"/>
        <w:left w:val="none" w:sz="0" w:space="0" w:color="auto"/>
        <w:bottom w:val="none" w:sz="0" w:space="0" w:color="auto"/>
        <w:right w:val="none" w:sz="0" w:space="0" w:color="auto"/>
      </w:divBdr>
    </w:div>
    <w:div w:id="357242979">
      <w:bodyDiv w:val="1"/>
      <w:marLeft w:val="0"/>
      <w:marRight w:val="0"/>
      <w:marTop w:val="0"/>
      <w:marBottom w:val="0"/>
      <w:divBdr>
        <w:top w:val="none" w:sz="0" w:space="0" w:color="auto"/>
        <w:left w:val="none" w:sz="0" w:space="0" w:color="auto"/>
        <w:bottom w:val="none" w:sz="0" w:space="0" w:color="auto"/>
        <w:right w:val="none" w:sz="0" w:space="0" w:color="auto"/>
      </w:divBdr>
      <w:divsChild>
        <w:div w:id="39598131">
          <w:marLeft w:val="0"/>
          <w:marRight w:val="0"/>
          <w:marTop w:val="0"/>
          <w:marBottom w:val="0"/>
          <w:divBdr>
            <w:top w:val="none" w:sz="0" w:space="0" w:color="auto"/>
            <w:left w:val="none" w:sz="0" w:space="0" w:color="auto"/>
            <w:bottom w:val="none" w:sz="0" w:space="0" w:color="auto"/>
            <w:right w:val="none" w:sz="0" w:space="0" w:color="auto"/>
          </w:divBdr>
          <w:divsChild>
            <w:div w:id="165054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679036">
      <w:bodyDiv w:val="1"/>
      <w:marLeft w:val="0"/>
      <w:marRight w:val="0"/>
      <w:marTop w:val="0"/>
      <w:marBottom w:val="0"/>
      <w:divBdr>
        <w:top w:val="none" w:sz="0" w:space="0" w:color="auto"/>
        <w:left w:val="none" w:sz="0" w:space="0" w:color="auto"/>
        <w:bottom w:val="none" w:sz="0" w:space="0" w:color="auto"/>
        <w:right w:val="none" w:sz="0" w:space="0" w:color="auto"/>
      </w:divBdr>
    </w:div>
    <w:div w:id="387874514">
      <w:bodyDiv w:val="1"/>
      <w:marLeft w:val="0"/>
      <w:marRight w:val="0"/>
      <w:marTop w:val="0"/>
      <w:marBottom w:val="0"/>
      <w:divBdr>
        <w:top w:val="none" w:sz="0" w:space="0" w:color="auto"/>
        <w:left w:val="none" w:sz="0" w:space="0" w:color="auto"/>
        <w:bottom w:val="none" w:sz="0" w:space="0" w:color="auto"/>
        <w:right w:val="none" w:sz="0" w:space="0" w:color="auto"/>
      </w:divBdr>
    </w:div>
    <w:div w:id="396590372">
      <w:bodyDiv w:val="1"/>
      <w:marLeft w:val="0"/>
      <w:marRight w:val="0"/>
      <w:marTop w:val="0"/>
      <w:marBottom w:val="0"/>
      <w:divBdr>
        <w:top w:val="none" w:sz="0" w:space="0" w:color="auto"/>
        <w:left w:val="none" w:sz="0" w:space="0" w:color="auto"/>
        <w:bottom w:val="none" w:sz="0" w:space="0" w:color="auto"/>
        <w:right w:val="none" w:sz="0" w:space="0" w:color="auto"/>
      </w:divBdr>
    </w:div>
    <w:div w:id="406074451">
      <w:bodyDiv w:val="1"/>
      <w:marLeft w:val="0"/>
      <w:marRight w:val="0"/>
      <w:marTop w:val="0"/>
      <w:marBottom w:val="0"/>
      <w:divBdr>
        <w:top w:val="none" w:sz="0" w:space="0" w:color="auto"/>
        <w:left w:val="none" w:sz="0" w:space="0" w:color="auto"/>
        <w:bottom w:val="none" w:sz="0" w:space="0" w:color="auto"/>
        <w:right w:val="none" w:sz="0" w:space="0" w:color="auto"/>
      </w:divBdr>
    </w:div>
    <w:div w:id="413479932">
      <w:bodyDiv w:val="1"/>
      <w:marLeft w:val="0"/>
      <w:marRight w:val="0"/>
      <w:marTop w:val="0"/>
      <w:marBottom w:val="0"/>
      <w:divBdr>
        <w:top w:val="none" w:sz="0" w:space="0" w:color="auto"/>
        <w:left w:val="none" w:sz="0" w:space="0" w:color="auto"/>
        <w:bottom w:val="none" w:sz="0" w:space="0" w:color="auto"/>
        <w:right w:val="none" w:sz="0" w:space="0" w:color="auto"/>
      </w:divBdr>
    </w:div>
    <w:div w:id="443428147">
      <w:bodyDiv w:val="1"/>
      <w:marLeft w:val="0"/>
      <w:marRight w:val="0"/>
      <w:marTop w:val="0"/>
      <w:marBottom w:val="0"/>
      <w:divBdr>
        <w:top w:val="none" w:sz="0" w:space="0" w:color="auto"/>
        <w:left w:val="none" w:sz="0" w:space="0" w:color="auto"/>
        <w:bottom w:val="none" w:sz="0" w:space="0" w:color="auto"/>
        <w:right w:val="none" w:sz="0" w:space="0" w:color="auto"/>
      </w:divBdr>
    </w:div>
    <w:div w:id="457533057">
      <w:bodyDiv w:val="1"/>
      <w:marLeft w:val="0"/>
      <w:marRight w:val="0"/>
      <w:marTop w:val="0"/>
      <w:marBottom w:val="0"/>
      <w:divBdr>
        <w:top w:val="none" w:sz="0" w:space="0" w:color="auto"/>
        <w:left w:val="none" w:sz="0" w:space="0" w:color="auto"/>
        <w:bottom w:val="none" w:sz="0" w:space="0" w:color="auto"/>
        <w:right w:val="none" w:sz="0" w:space="0" w:color="auto"/>
      </w:divBdr>
    </w:div>
    <w:div w:id="475294295">
      <w:bodyDiv w:val="1"/>
      <w:marLeft w:val="0"/>
      <w:marRight w:val="0"/>
      <w:marTop w:val="0"/>
      <w:marBottom w:val="0"/>
      <w:divBdr>
        <w:top w:val="none" w:sz="0" w:space="0" w:color="auto"/>
        <w:left w:val="none" w:sz="0" w:space="0" w:color="auto"/>
        <w:bottom w:val="none" w:sz="0" w:space="0" w:color="auto"/>
        <w:right w:val="none" w:sz="0" w:space="0" w:color="auto"/>
      </w:divBdr>
      <w:divsChild>
        <w:div w:id="1548028953">
          <w:marLeft w:val="0"/>
          <w:marRight w:val="0"/>
          <w:marTop w:val="0"/>
          <w:marBottom w:val="0"/>
          <w:divBdr>
            <w:top w:val="none" w:sz="0" w:space="0" w:color="auto"/>
            <w:left w:val="none" w:sz="0" w:space="0" w:color="auto"/>
            <w:bottom w:val="none" w:sz="0" w:space="0" w:color="auto"/>
            <w:right w:val="none" w:sz="0" w:space="0" w:color="auto"/>
          </w:divBdr>
          <w:divsChild>
            <w:div w:id="128064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726490">
      <w:bodyDiv w:val="1"/>
      <w:marLeft w:val="0"/>
      <w:marRight w:val="0"/>
      <w:marTop w:val="0"/>
      <w:marBottom w:val="0"/>
      <w:divBdr>
        <w:top w:val="none" w:sz="0" w:space="0" w:color="auto"/>
        <w:left w:val="none" w:sz="0" w:space="0" w:color="auto"/>
        <w:bottom w:val="none" w:sz="0" w:space="0" w:color="auto"/>
        <w:right w:val="none" w:sz="0" w:space="0" w:color="auto"/>
      </w:divBdr>
    </w:div>
    <w:div w:id="489954395">
      <w:bodyDiv w:val="1"/>
      <w:marLeft w:val="0"/>
      <w:marRight w:val="0"/>
      <w:marTop w:val="0"/>
      <w:marBottom w:val="0"/>
      <w:divBdr>
        <w:top w:val="none" w:sz="0" w:space="0" w:color="auto"/>
        <w:left w:val="none" w:sz="0" w:space="0" w:color="auto"/>
        <w:bottom w:val="none" w:sz="0" w:space="0" w:color="auto"/>
        <w:right w:val="none" w:sz="0" w:space="0" w:color="auto"/>
      </w:divBdr>
    </w:div>
    <w:div w:id="493642243">
      <w:bodyDiv w:val="1"/>
      <w:marLeft w:val="0"/>
      <w:marRight w:val="0"/>
      <w:marTop w:val="0"/>
      <w:marBottom w:val="0"/>
      <w:divBdr>
        <w:top w:val="none" w:sz="0" w:space="0" w:color="auto"/>
        <w:left w:val="none" w:sz="0" w:space="0" w:color="auto"/>
        <w:bottom w:val="none" w:sz="0" w:space="0" w:color="auto"/>
        <w:right w:val="none" w:sz="0" w:space="0" w:color="auto"/>
      </w:divBdr>
    </w:div>
    <w:div w:id="510263812">
      <w:bodyDiv w:val="1"/>
      <w:marLeft w:val="0"/>
      <w:marRight w:val="0"/>
      <w:marTop w:val="0"/>
      <w:marBottom w:val="0"/>
      <w:divBdr>
        <w:top w:val="none" w:sz="0" w:space="0" w:color="auto"/>
        <w:left w:val="none" w:sz="0" w:space="0" w:color="auto"/>
        <w:bottom w:val="none" w:sz="0" w:space="0" w:color="auto"/>
        <w:right w:val="none" w:sz="0" w:space="0" w:color="auto"/>
      </w:divBdr>
    </w:div>
    <w:div w:id="510950862">
      <w:bodyDiv w:val="1"/>
      <w:marLeft w:val="0"/>
      <w:marRight w:val="0"/>
      <w:marTop w:val="0"/>
      <w:marBottom w:val="0"/>
      <w:divBdr>
        <w:top w:val="none" w:sz="0" w:space="0" w:color="auto"/>
        <w:left w:val="none" w:sz="0" w:space="0" w:color="auto"/>
        <w:bottom w:val="none" w:sz="0" w:space="0" w:color="auto"/>
        <w:right w:val="none" w:sz="0" w:space="0" w:color="auto"/>
      </w:divBdr>
    </w:div>
    <w:div w:id="520053014">
      <w:bodyDiv w:val="1"/>
      <w:marLeft w:val="0"/>
      <w:marRight w:val="0"/>
      <w:marTop w:val="0"/>
      <w:marBottom w:val="0"/>
      <w:divBdr>
        <w:top w:val="none" w:sz="0" w:space="0" w:color="auto"/>
        <w:left w:val="none" w:sz="0" w:space="0" w:color="auto"/>
        <w:bottom w:val="none" w:sz="0" w:space="0" w:color="auto"/>
        <w:right w:val="none" w:sz="0" w:space="0" w:color="auto"/>
      </w:divBdr>
    </w:div>
    <w:div w:id="530218126">
      <w:bodyDiv w:val="1"/>
      <w:marLeft w:val="0"/>
      <w:marRight w:val="0"/>
      <w:marTop w:val="0"/>
      <w:marBottom w:val="0"/>
      <w:divBdr>
        <w:top w:val="none" w:sz="0" w:space="0" w:color="auto"/>
        <w:left w:val="none" w:sz="0" w:space="0" w:color="auto"/>
        <w:bottom w:val="none" w:sz="0" w:space="0" w:color="auto"/>
        <w:right w:val="none" w:sz="0" w:space="0" w:color="auto"/>
      </w:divBdr>
    </w:div>
    <w:div w:id="540360387">
      <w:bodyDiv w:val="1"/>
      <w:marLeft w:val="0"/>
      <w:marRight w:val="0"/>
      <w:marTop w:val="0"/>
      <w:marBottom w:val="0"/>
      <w:divBdr>
        <w:top w:val="none" w:sz="0" w:space="0" w:color="auto"/>
        <w:left w:val="none" w:sz="0" w:space="0" w:color="auto"/>
        <w:bottom w:val="none" w:sz="0" w:space="0" w:color="auto"/>
        <w:right w:val="none" w:sz="0" w:space="0" w:color="auto"/>
      </w:divBdr>
    </w:div>
    <w:div w:id="543637199">
      <w:bodyDiv w:val="1"/>
      <w:marLeft w:val="0"/>
      <w:marRight w:val="0"/>
      <w:marTop w:val="0"/>
      <w:marBottom w:val="0"/>
      <w:divBdr>
        <w:top w:val="none" w:sz="0" w:space="0" w:color="auto"/>
        <w:left w:val="none" w:sz="0" w:space="0" w:color="auto"/>
        <w:bottom w:val="none" w:sz="0" w:space="0" w:color="auto"/>
        <w:right w:val="none" w:sz="0" w:space="0" w:color="auto"/>
      </w:divBdr>
    </w:div>
    <w:div w:id="545415448">
      <w:bodyDiv w:val="1"/>
      <w:marLeft w:val="0"/>
      <w:marRight w:val="0"/>
      <w:marTop w:val="0"/>
      <w:marBottom w:val="0"/>
      <w:divBdr>
        <w:top w:val="none" w:sz="0" w:space="0" w:color="auto"/>
        <w:left w:val="none" w:sz="0" w:space="0" w:color="auto"/>
        <w:bottom w:val="none" w:sz="0" w:space="0" w:color="auto"/>
        <w:right w:val="none" w:sz="0" w:space="0" w:color="auto"/>
      </w:divBdr>
      <w:divsChild>
        <w:div w:id="2004091081">
          <w:marLeft w:val="0"/>
          <w:marRight w:val="0"/>
          <w:marTop w:val="0"/>
          <w:marBottom w:val="0"/>
          <w:divBdr>
            <w:top w:val="none" w:sz="0" w:space="0" w:color="auto"/>
            <w:left w:val="none" w:sz="0" w:space="0" w:color="auto"/>
            <w:bottom w:val="none" w:sz="0" w:space="0" w:color="auto"/>
            <w:right w:val="none" w:sz="0" w:space="0" w:color="auto"/>
          </w:divBdr>
          <w:divsChild>
            <w:div w:id="78165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379314">
      <w:bodyDiv w:val="1"/>
      <w:marLeft w:val="0"/>
      <w:marRight w:val="0"/>
      <w:marTop w:val="0"/>
      <w:marBottom w:val="0"/>
      <w:divBdr>
        <w:top w:val="none" w:sz="0" w:space="0" w:color="auto"/>
        <w:left w:val="none" w:sz="0" w:space="0" w:color="auto"/>
        <w:bottom w:val="none" w:sz="0" w:space="0" w:color="auto"/>
        <w:right w:val="none" w:sz="0" w:space="0" w:color="auto"/>
      </w:divBdr>
    </w:div>
    <w:div w:id="568082052">
      <w:bodyDiv w:val="1"/>
      <w:marLeft w:val="0"/>
      <w:marRight w:val="0"/>
      <w:marTop w:val="0"/>
      <w:marBottom w:val="0"/>
      <w:divBdr>
        <w:top w:val="none" w:sz="0" w:space="0" w:color="auto"/>
        <w:left w:val="none" w:sz="0" w:space="0" w:color="auto"/>
        <w:bottom w:val="none" w:sz="0" w:space="0" w:color="auto"/>
        <w:right w:val="none" w:sz="0" w:space="0" w:color="auto"/>
      </w:divBdr>
    </w:div>
    <w:div w:id="573048253">
      <w:bodyDiv w:val="1"/>
      <w:marLeft w:val="0"/>
      <w:marRight w:val="0"/>
      <w:marTop w:val="0"/>
      <w:marBottom w:val="0"/>
      <w:divBdr>
        <w:top w:val="none" w:sz="0" w:space="0" w:color="auto"/>
        <w:left w:val="none" w:sz="0" w:space="0" w:color="auto"/>
        <w:bottom w:val="none" w:sz="0" w:space="0" w:color="auto"/>
        <w:right w:val="none" w:sz="0" w:space="0" w:color="auto"/>
      </w:divBdr>
    </w:div>
    <w:div w:id="578684430">
      <w:bodyDiv w:val="1"/>
      <w:marLeft w:val="0"/>
      <w:marRight w:val="0"/>
      <w:marTop w:val="0"/>
      <w:marBottom w:val="0"/>
      <w:divBdr>
        <w:top w:val="none" w:sz="0" w:space="0" w:color="auto"/>
        <w:left w:val="none" w:sz="0" w:space="0" w:color="auto"/>
        <w:bottom w:val="none" w:sz="0" w:space="0" w:color="auto"/>
        <w:right w:val="none" w:sz="0" w:space="0" w:color="auto"/>
      </w:divBdr>
    </w:div>
    <w:div w:id="594828547">
      <w:bodyDiv w:val="1"/>
      <w:marLeft w:val="0"/>
      <w:marRight w:val="0"/>
      <w:marTop w:val="0"/>
      <w:marBottom w:val="0"/>
      <w:divBdr>
        <w:top w:val="none" w:sz="0" w:space="0" w:color="auto"/>
        <w:left w:val="none" w:sz="0" w:space="0" w:color="auto"/>
        <w:bottom w:val="none" w:sz="0" w:space="0" w:color="auto"/>
        <w:right w:val="none" w:sz="0" w:space="0" w:color="auto"/>
      </w:divBdr>
    </w:div>
    <w:div w:id="598223480">
      <w:bodyDiv w:val="1"/>
      <w:marLeft w:val="0"/>
      <w:marRight w:val="0"/>
      <w:marTop w:val="0"/>
      <w:marBottom w:val="0"/>
      <w:divBdr>
        <w:top w:val="none" w:sz="0" w:space="0" w:color="auto"/>
        <w:left w:val="none" w:sz="0" w:space="0" w:color="auto"/>
        <w:bottom w:val="none" w:sz="0" w:space="0" w:color="auto"/>
        <w:right w:val="none" w:sz="0" w:space="0" w:color="auto"/>
      </w:divBdr>
    </w:div>
    <w:div w:id="600380610">
      <w:bodyDiv w:val="1"/>
      <w:marLeft w:val="0"/>
      <w:marRight w:val="0"/>
      <w:marTop w:val="0"/>
      <w:marBottom w:val="0"/>
      <w:divBdr>
        <w:top w:val="none" w:sz="0" w:space="0" w:color="auto"/>
        <w:left w:val="none" w:sz="0" w:space="0" w:color="auto"/>
        <w:bottom w:val="none" w:sz="0" w:space="0" w:color="auto"/>
        <w:right w:val="none" w:sz="0" w:space="0" w:color="auto"/>
      </w:divBdr>
    </w:div>
    <w:div w:id="605964119">
      <w:bodyDiv w:val="1"/>
      <w:marLeft w:val="0"/>
      <w:marRight w:val="0"/>
      <w:marTop w:val="0"/>
      <w:marBottom w:val="0"/>
      <w:divBdr>
        <w:top w:val="none" w:sz="0" w:space="0" w:color="auto"/>
        <w:left w:val="none" w:sz="0" w:space="0" w:color="auto"/>
        <w:bottom w:val="none" w:sz="0" w:space="0" w:color="auto"/>
        <w:right w:val="none" w:sz="0" w:space="0" w:color="auto"/>
      </w:divBdr>
    </w:div>
    <w:div w:id="612980564">
      <w:bodyDiv w:val="1"/>
      <w:marLeft w:val="0"/>
      <w:marRight w:val="0"/>
      <w:marTop w:val="0"/>
      <w:marBottom w:val="0"/>
      <w:divBdr>
        <w:top w:val="none" w:sz="0" w:space="0" w:color="auto"/>
        <w:left w:val="none" w:sz="0" w:space="0" w:color="auto"/>
        <w:bottom w:val="none" w:sz="0" w:space="0" w:color="auto"/>
        <w:right w:val="none" w:sz="0" w:space="0" w:color="auto"/>
      </w:divBdr>
    </w:div>
    <w:div w:id="613363055">
      <w:bodyDiv w:val="1"/>
      <w:marLeft w:val="0"/>
      <w:marRight w:val="0"/>
      <w:marTop w:val="0"/>
      <w:marBottom w:val="0"/>
      <w:divBdr>
        <w:top w:val="none" w:sz="0" w:space="0" w:color="auto"/>
        <w:left w:val="none" w:sz="0" w:space="0" w:color="auto"/>
        <w:bottom w:val="none" w:sz="0" w:space="0" w:color="auto"/>
        <w:right w:val="none" w:sz="0" w:space="0" w:color="auto"/>
      </w:divBdr>
    </w:div>
    <w:div w:id="642202016">
      <w:bodyDiv w:val="1"/>
      <w:marLeft w:val="0"/>
      <w:marRight w:val="0"/>
      <w:marTop w:val="0"/>
      <w:marBottom w:val="0"/>
      <w:divBdr>
        <w:top w:val="none" w:sz="0" w:space="0" w:color="auto"/>
        <w:left w:val="none" w:sz="0" w:space="0" w:color="auto"/>
        <w:bottom w:val="none" w:sz="0" w:space="0" w:color="auto"/>
        <w:right w:val="none" w:sz="0" w:space="0" w:color="auto"/>
      </w:divBdr>
    </w:div>
    <w:div w:id="642274777">
      <w:bodyDiv w:val="1"/>
      <w:marLeft w:val="0"/>
      <w:marRight w:val="0"/>
      <w:marTop w:val="0"/>
      <w:marBottom w:val="0"/>
      <w:divBdr>
        <w:top w:val="none" w:sz="0" w:space="0" w:color="auto"/>
        <w:left w:val="none" w:sz="0" w:space="0" w:color="auto"/>
        <w:bottom w:val="none" w:sz="0" w:space="0" w:color="auto"/>
        <w:right w:val="none" w:sz="0" w:space="0" w:color="auto"/>
      </w:divBdr>
    </w:div>
    <w:div w:id="647369574">
      <w:bodyDiv w:val="1"/>
      <w:marLeft w:val="0"/>
      <w:marRight w:val="0"/>
      <w:marTop w:val="0"/>
      <w:marBottom w:val="0"/>
      <w:divBdr>
        <w:top w:val="none" w:sz="0" w:space="0" w:color="auto"/>
        <w:left w:val="none" w:sz="0" w:space="0" w:color="auto"/>
        <w:bottom w:val="none" w:sz="0" w:space="0" w:color="auto"/>
        <w:right w:val="none" w:sz="0" w:space="0" w:color="auto"/>
      </w:divBdr>
    </w:div>
    <w:div w:id="651450573">
      <w:bodyDiv w:val="1"/>
      <w:marLeft w:val="0"/>
      <w:marRight w:val="0"/>
      <w:marTop w:val="0"/>
      <w:marBottom w:val="0"/>
      <w:divBdr>
        <w:top w:val="none" w:sz="0" w:space="0" w:color="auto"/>
        <w:left w:val="none" w:sz="0" w:space="0" w:color="auto"/>
        <w:bottom w:val="none" w:sz="0" w:space="0" w:color="auto"/>
        <w:right w:val="none" w:sz="0" w:space="0" w:color="auto"/>
      </w:divBdr>
    </w:div>
    <w:div w:id="655842021">
      <w:bodyDiv w:val="1"/>
      <w:marLeft w:val="0"/>
      <w:marRight w:val="0"/>
      <w:marTop w:val="0"/>
      <w:marBottom w:val="0"/>
      <w:divBdr>
        <w:top w:val="none" w:sz="0" w:space="0" w:color="auto"/>
        <w:left w:val="none" w:sz="0" w:space="0" w:color="auto"/>
        <w:bottom w:val="none" w:sz="0" w:space="0" w:color="auto"/>
        <w:right w:val="none" w:sz="0" w:space="0" w:color="auto"/>
      </w:divBdr>
    </w:div>
    <w:div w:id="665206106">
      <w:bodyDiv w:val="1"/>
      <w:marLeft w:val="0"/>
      <w:marRight w:val="0"/>
      <w:marTop w:val="0"/>
      <w:marBottom w:val="0"/>
      <w:divBdr>
        <w:top w:val="none" w:sz="0" w:space="0" w:color="auto"/>
        <w:left w:val="none" w:sz="0" w:space="0" w:color="auto"/>
        <w:bottom w:val="none" w:sz="0" w:space="0" w:color="auto"/>
        <w:right w:val="none" w:sz="0" w:space="0" w:color="auto"/>
      </w:divBdr>
    </w:div>
    <w:div w:id="668560652">
      <w:bodyDiv w:val="1"/>
      <w:marLeft w:val="0"/>
      <w:marRight w:val="0"/>
      <w:marTop w:val="0"/>
      <w:marBottom w:val="0"/>
      <w:divBdr>
        <w:top w:val="none" w:sz="0" w:space="0" w:color="auto"/>
        <w:left w:val="none" w:sz="0" w:space="0" w:color="auto"/>
        <w:bottom w:val="none" w:sz="0" w:space="0" w:color="auto"/>
        <w:right w:val="none" w:sz="0" w:space="0" w:color="auto"/>
      </w:divBdr>
    </w:div>
    <w:div w:id="669799362">
      <w:bodyDiv w:val="1"/>
      <w:marLeft w:val="0"/>
      <w:marRight w:val="0"/>
      <w:marTop w:val="0"/>
      <w:marBottom w:val="0"/>
      <w:divBdr>
        <w:top w:val="none" w:sz="0" w:space="0" w:color="auto"/>
        <w:left w:val="none" w:sz="0" w:space="0" w:color="auto"/>
        <w:bottom w:val="none" w:sz="0" w:space="0" w:color="auto"/>
        <w:right w:val="none" w:sz="0" w:space="0" w:color="auto"/>
      </w:divBdr>
    </w:div>
    <w:div w:id="671177180">
      <w:bodyDiv w:val="1"/>
      <w:marLeft w:val="0"/>
      <w:marRight w:val="0"/>
      <w:marTop w:val="0"/>
      <w:marBottom w:val="0"/>
      <w:divBdr>
        <w:top w:val="none" w:sz="0" w:space="0" w:color="auto"/>
        <w:left w:val="none" w:sz="0" w:space="0" w:color="auto"/>
        <w:bottom w:val="none" w:sz="0" w:space="0" w:color="auto"/>
        <w:right w:val="none" w:sz="0" w:space="0" w:color="auto"/>
      </w:divBdr>
    </w:div>
    <w:div w:id="675110855">
      <w:bodyDiv w:val="1"/>
      <w:marLeft w:val="0"/>
      <w:marRight w:val="0"/>
      <w:marTop w:val="0"/>
      <w:marBottom w:val="0"/>
      <w:divBdr>
        <w:top w:val="none" w:sz="0" w:space="0" w:color="auto"/>
        <w:left w:val="none" w:sz="0" w:space="0" w:color="auto"/>
        <w:bottom w:val="none" w:sz="0" w:space="0" w:color="auto"/>
        <w:right w:val="none" w:sz="0" w:space="0" w:color="auto"/>
      </w:divBdr>
    </w:div>
    <w:div w:id="696853436">
      <w:bodyDiv w:val="1"/>
      <w:marLeft w:val="0"/>
      <w:marRight w:val="0"/>
      <w:marTop w:val="0"/>
      <w:marBottom w:val="0"/>
      <w:divBdr>
        <w:top w:val="none" w:sz="0" w:space="0" w:color="auto"/>
        <w:left w:val="none" w:sz="0" w:space="0" w:color="auto"/>
        <w:bottom w:val="none" w:sz="0" w:space="0" w:color="auto"/>
        <w:right w:val="none" w:sz="0" w:space="0" w:color="auto"/>
      </w:divBdr>
    </w:div>
    <w:div w:id="707144540">
      <w:bodyDiv w:val="1"/>
      <w:marLeft w:val="0"/>
      <w:marRight w:val="0"/>
      <w:marTop w:val="0"/>
      <w:marBottom w:val="0"/>
      <w:divBdr>
        <w:top w:val="none" w:sz="0" w:space="0" w:color="auto"/>
        <w:left w:val="none" w:sz="0" w:space="0" w:color="auto"/>
        <w:bottom w:val="none" w:sz="0" w:space="0" w:color="auto"/>
        <w:right w:val="none" w:sz="0" w:space="0" w:color="auto"/>
      </w:divBdr>
    </w:div>
    <w:div w:id="716394361">
      <w:bodyDiv w:val="1"/>
      <w:marLeft w:val="0"/>
      <w:marRight w:val="0"/>
      <w:marTop w:val="0"/>
      <w:marBottom w:val="0"/>
      <w:divBdr>
        <w:top w:val="none" w:sz="0" w:space="0" w:color="auto"/>
        <w:left w:val="none" w:sz="0" w:space="0" w:color="auto"/>
        <w:bottom w:val="none" w:sz="0" w:space="0" w:color="auto"/>
        <w:right w:val="none" w:sz="0" w:space="0" w:color="auto"/>
      </w:divBdr>
    </w:div>
    <w:div w:id="718287198">
      <w:bodyDiv w:val="1"/>
      <w:marLeft w:val="0"/>
      <w:marRight w:val="0"/>
      <w:marTop w:val="0"/>
      <w:marBottom w:val="0"/>
      <w:divBdr>
        <w:top w:val="none" w:sz="0" w:space="0" w:color="auto"/>
        <w:left w:val="none" w:sz="0" w:space="0" w:color="auto"/>
        <w:bottom w:val="none" w:sz="0" w:space="0" w:color="auto"/>
        <w:right w:val="none" w:sz="0" w:space="0" w:color="auto"/>
      </w:divBdr>
    </w:div>
    <w:div w:id="740441841">
      <w:bodyDiv w:val="1"/>
      <w:marLeft w:val="0"/>
      <w:marRight w:val="0"/>
      <w:marTop w:val="0"/>
      <w:marBottom w:val="0"/>
      <w:divBdr>
        <w:top w:val="none" w:sz="0" w:space="0" w:color="auto"/>
        <w:left w:val="none" w:sz="0" w:space="0" w:color="auto"/>
        <w:bottom w:val="none" w:sz="0" w:space="0" w:color="auto"/>
        <w:right w:val="none" w:sz="0" w:space="0" w:color="auto"/>
      </w:divBdr>
    </w:div>
    <w:div w:id="748116524">
      <w:bodyDiv w:val="1"/>
      <w:marLeft w:val="0"/>
      <w:marRight w:val="0"/>
      <w:marTop w:val="0"/>
      <w:marBottom w:val="0"/>
      <w:divBdr>
        <w:top w:val="none" w:sz="0" w:space="0" w:color="auto"/>
        <w:left w:val="none" w:sz="0" w:space="0" w:color="auto"/>
        <w:bottom w:val="none" w:sz="0" w:space="0" w:color="auto"/>
        <w:right w:val="none" w:sz="0" w:space="0" w:color="auto"/>
      </w:divBdr>
    </w:div>
    <w:div w:id="756367490">
      <w:bodyDiv w:val="1"/>
      <w:marLeft w:val="0"/>
      <w:marRight w:val="0"/>
      <w:marTop w:val="0"/>
      <w:marBottom w:val="0"/>
      <w:divBdr>
        <w:top w:val="none" w:sz="0" w:space="0" w:color="auto"/>
        <w:left w:val="none" w:sz="0" w:space="0" w:color="auto"/>
        <w:bottom w:val="none" w:sz="0" w:space="0" w:color="auto"/>
        <w:right w:val="none" w:sz="0" w:space="0" w:color="auto"/>
      </w:divBdr>
    </w:div>
    <w:div w:id="784543617">
      <w:bodyDiv w:val="1"/>
      <w:marLeft w:val="0"/>
      <w:marRight w:val="0"/>
      <w:marTop w:val="0"/>
      <w:marBottom w:val="0"/>
      <w:divBdr>
        <w:top w:val="none" w:sz="0" w:space="0" w:color="auto"/>
        <w:left w:val="none" w:sz="0" w:space="0" w:color="auto"/>
        <w:bottom w:val="none" w:sz="0" w:space="0" w:color="auto"/>
        <w:right w:val="none" w:sz="0" w:space="0" w:color="auto"/>
      </w:divBdr>
    </w:div>
    <w:div w:id="788429638">
      <w:bodyDiv w:val="1"/>
      <w:marLeft w:val="0"/>
      <w:marRight w:val="0"/>
      <w:marTop w:val="0"/>
      <w:marBottom w:val="0"/>
      <w:divBdr>
        <w:top w:val="none" w:sz="0" w:space="0" w:color="auto"/>
        <w:left w:val="none" w:sz="0" w:space="0" w:color="auto"/>
        <w:bottom w:val="none" w:sz="0" w:space="0" w:color="auto"/>
        <w:right w:val="none" w:sz="0" w:space="0" w:color="auto"/>
      </w:divBdr>
    </w:div>
    <w:div w:id="794104399">
      <w:bodyDiv w:val="1"/>
      <w:marLeft w:val="0"/>
      <w:marRight w:val="0"/>
      <w:marTop w:val="0"/>
      <w:marBottom w:val="0"/>
      <w:divBdr>
        <w:top w:val="none" w:sz="0" w:space="0" w:color="auto"/>
        <w:left w:val="none" w:sz="0" w:space="0" w:color="auto"/>
        <w:bottom w:val="none" w:sz="0" w:space="0" w:color="auto"/>
        <w:right w:val="none" w:sz="0" w:space="0" w:color="auto"/>
      </w:divBdr>
    </w:div>
    <w:div w:id="804351868">
      <w:bodyDiv w:val="1"/>
      <w:marLeft w:val="0"/>
      <w:marRight w:val="0"/>
      <w:marTop w:val="0"/>
      <w:marBottom w:val="0"/>
      <w:divBdr>
        <w:top w:val="none" w:sz="0" w:space="0" w:color="auto"/>
        <w:left w:val="none" w:sz="0" w:space="0" w:color="auto"/>
        <w:bottom w:val="none" w:sz="0" w:space="0" w:color="auto"/>
        <w:right w:val="none" w:sz="0" w:space="0" w:color="auto"/>
      </w:divBdr>
    </w:div>
    <w:div w:id="820775581">
      <w:bodyDiv w:val="1"/>
      <w:marLeft w:val="0"/>
      <w:marRight w:val="0"/>
      <w:marTop w:val="0"/>
      <w:marBottom w:val="0"/>
      <w:divBdr>
        <w:top w:val="none" w:sz="0" w:space="0" w:color="auto"/>
        <w:left w:val="none" w:sz="0" w:space="0" w:color="auto"/>
        <w:bottom w:val="none" w:sz="0" w:space="0" w:color="auto"/>
        <w:right w:val="none" w:sz="0" w:space="0" w:color="auto"/>
      </w:divBdr>
    </w:div>
    <w:div w:id="821697394">
      <w:bodyDiv w:val="1"/>
      <w:marLeft w:val="0"/>
      <w:marRight w:val="0"/>
      <w:marTop w:val="0"/>
      <w:marBottom w:val="0"/>
      <w:divBdr>
        <w:top w:val="none" w:sz="0" w:space="0" w:color="auto"/>
        <w:left w:val="none" w:sz="0" w:space="0" w:color="auto"/>
        <w:bottom w:val="none" w:sz="0" w:space="0" w:color="auto"/>
        <w:right w:val="none" w:sz="0" w:space="0" w:color="auto"/>
      </w:divBdr>
    </w:div>
    <w:div w:id="822938089">
      <w:bodyDiv w:val="1"/>
      <w:marLeft w:val="0"/>
      <w:marRight w:val="0"/>
      <w:marTop w:val="0"/>
      <w:marBottom w:val="0"/>
      <w:divBdr>
        <w:top w:val="none" w:sz="0" w:space="0" w:color="auto"/>
        <w:left w:val="none" w:sz="0" w:space="0" w:color="auto"/>
        <w:bottom w:val="none" w:sz="0" w:space="0" w:color="auto"/>
        <w:right w:val="none" w:sz="0" w:space="0" w:color="auto"/>
      </w:divBdr>
    </w:div>
    <w:div w:id="848057845">
      <w:bodyDiv w:val="1"/>
      <w:marLeft w:val="0"/>
      <w:marRight w:val="0"/>
      <w:marTop w:val="0"/>
      <w:marBottom w:val="0"/>
      <w:divBdr>
        <w:top w:val="none" w:sz="0" w:space="0" w:color="auto"/>
        <w:left w:val="none" w:sz="0" w:space="0" w:color="auto"/>
        <w:bottom w:val="none" w:sz="0" w:space="0" w:color="auto"/>
        <w:right w:val="none" w:sz="0" w:space="0" w:color="auto"/>
      </w:divBdr>
    </w:div>
    <w:div w:id="848299994">
      <w:bodyDiv w:val="1"/>
      <w:marLeft w:val="0"/>
      <w:marRight w:val="0"/>
      <w:marTop w:val="0"/>
      <w:marBottom w:val="0"/>
      <w:divBdr>
        <w:top w:val="none" w:sz="0" w:space="0" w:color="auto"/>
        <w:left w:val="none" w:sz="0" w:space="0" w:color="auto"/>
        <w:bottom w:val="none" w:sz="0" w:space="0" w:color="auto"/>
        <w:right w:val="none" w:sz="0" w:space="0" w:color="auto"/>
      </w:divBdr>
    </w:div>
    <w:div w:id="852108543">
      <w:bodyDiv w:val="1"/>
      <w:marLeft w:val="0"/>
      <w:marRight w:val="0"/>
      <w:marTop w:val="0"/>
      <w:marBottom w:val="0"/>
      <w:divBdr>
        <w:top w:val="none" w:sz="0" w:space="0" w:color="auto"/>
        <w:left w:val="none" w:sz="0" w:space="0" w:color="auto"/>
        <w:bottom w:val="none" w:sz="0" w:space="0" w:color="auto"/>
        <w:right w:val="none" w:sz="0" w:space="0" w:color="auto"/>
      </w:divBdr>
    </w:div>
    <w:div w:id="916206162">
      <w:bodyDiv w:val="1"/>
      <w:marLeft w:val="0"/>
      <w:marRight w:val="0"/>
      <w:marTop w:val="0"/>
      <w:marBottom w:val="0"/>
      <w:divBdr>
        <w:top w:val="none" w:sz="0" w:space="0" w:color="auto"/>
        <w:left w:val="none" w:sz="0" w:space="0" w:color="auto"/>
        <w:bottom w:val="none" w:sz="0" w:space="0" w:color="auto"/>
        <w:right w:val="none" w:sz="0" w:space="0" w:color="auto"/>
      </w:divBdr>
    </w:div>
    <w:div w:id="917835372">
      <w:bodyDiv w:val="1"/>
      <w:marLeft w:val="0"/>
      <w:marRight w:val="0"/>
      <w:marTop w:val="0"/>
      <w:marBottom w:val="0"/>
      <w:divBdr>
        <w:top w:val="none" w:sz="0" w:space="0" w:color="auto"/>
        <w:left w:val="none" w:sz="0" w:space="0" w:color="auto"/>
        <w:bottom w:val="none" w:sz="0" w:space="0" w:color="auto"/>
        <w:right w:val="none" w:sz="0" w:space="0" w:color="auto"/>
      </w:divBdr>
    </w:div>
    <w:div w:id="920989246">
      <w:bodyDiv w:val="1"/>
      <w:marLeft w:val="0"/>
      <w:marRight w:val="0"/>
      <w:marTop w:val="0"/>
      <w:marBottom w:val="0"/>
      <w:divBdr>
        <w:top w:val="none" w:sz="0" w:space="0" w:color="auto"/>
        <w:left w:val="none" w:sz="0" w:space="0" w:color="auto"/>
        <w:bottom w:val="none" w:sz="0" w:space="0" w:color="auto"/>
        <w:right w:val="none" w:sz="0" w:space="0" w:color="auto"/>
      </w:divBdr>
      <w:divsChild>
        <w:div w:id="1163206573">
          <w:marLeft w:val="0"/>
          <w:marRight w:val="0"/>
          <w:marTop w:val="0"/>
          <w:marBottom w:val="0"/>
          <w:divBdr>
            <w:top w:val="none" w:sz="0" w:space="0" w:color="auto"/>
            <w:left w:val="none" w:sz="0" w:space="0" w:color="auto"/>
            <w:bottom w:val="none" w:sz="0" w:space="0" w:color="auto"/>
            <w:right w:val="none" w:sz="0" w:space="0" w:color="auto"/>
          </w:divBdr>
          <w:divsChild>
            <w:div w:id="37180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992773">
      <w:bodyDiv w:val="1"/>
      <w:marLeft w:val="0"/>
      <w:marRight w:val="0"/>
      <w:marTop w:val="0"/>
      <w:marBottom w:val="0"/>
      <w:divBdr>
        <w:top w:val="none" w:sz="0" w:space="0" w:color="auto"/>
        <w:left w:val="none" w:sz="0" w:space="0" w:color="auto"/>
        <w:bottom w:val="none" w:sz="0" w:space="0" w:color="auto"/>
        <w:right w:val="none" w:sz="0" w:space="0" w:color="auto"/>
      </w:divBdr>
    </w:div>
    <w:div w:id="925575094">
      <w:bodyDiv w:val="1"/>
      <w:marLeft w:val="0"/>
      <w:marRight w:val="0"/>
      <w:marTop w:val="0"/>
      <w:marBottom w:val="0"/>
      <w:divBdr>
        <w:top w:val="none" w:sz="0" w:space="0" w:color="auto"/>
        <w:left w:val="none" w:sz="0" w:space="0" w:color="auto"/>
        <w:bottom w:val="none" w:sz="0" w:space="0" w:color="auto"/>
        <w:right w:val="none" w:sz="0" w:space="0" w:color="auto"/>
      </w:divBdr>
    </w:div>
    <w:div w:id="927156423">
      <w:bodyDiv w:val="1"/>
      <w:marLeft w:val="0"/>
      <w:marRight w:val="0"/>
      <w:marTop w:val="0"/>
      <w:marBottom w:val="0"/>
      <w:divBdr>
        <w:top w:val="none" w:sz="0" w:space="0" w:color="auto"/>
        <w:left w:val="none" w:sz="0" w:space="0" w:color="auto"/>
        <w:bottom w:val="none" w:sz="0" w:space="0" w:color="auto"/>
        <w:right w:val="none" w:sz="0" w:space="0" w:color="auto"/>
      </w:divBdr>
    </w:div>
    <w:div w:id="955139337">
      <w:bodyDiv w:val="1"/>
      <w:marLeft w:val="0"/>
      <w:marRight w:val="0"/>
      <w:marTop w:val="0"/>
      <w:marBottom w:val="0"/>
      <w:divBdr>
        <w:top w:val="none" w:sz="0" w:space="0" w:color="auto"/>
        <w:left w:val="none" w:sz="0" w:space="0" w:color="auto"/>
        <w:bottom w:val="none" w:sz="0" w:space="0" w:color="auto"/>
        <w:right w:val="none" w:sz="0" w:space="0" w:color="auto"/>
      </w:divBdr>
    </w:div>
    <w:div w:id="977538640">
      <w:bodyDiv w:val="1"/>
      <w:marLeft w:val="0"/>
      <w:marRight w:val="0"/>
      <w:marTop w:val="0"/>
      <w:marBottom w:val="0"/>
      <w:divBdr>
        <w:top w:val="none" w:sz="0" w:space="0" w:color="auto"/>
        <w:left w:val="none" w:sz="0" w:space="0" w:color="auto"/>
        <w:bottom w:val="none" w:sz="0" w:space="0" w:color="auto"/>
        <w:right w:val="none" w:sz="0" w:space="0" w:color="auto"/>
      </w:divBdr>
      <w:divsChild>
        <w:div w:id="329412530">
          <w:marLeft w:val="0"/>
          <w:marRight w:val="0"/>
          <w:marTop w:val="0"/>
          <w:marBottom w:val="0"/>
          <w:divBdr>
            <w:top w:val="none" w:sz="0" w:space="0" w:color="auto"/>
            <w:left w:val="none" w:sz="0" w:space="0" w:color="auto"/>
            <w:bottom w:val="none" w:sz="0" w:space="0" w:color="auto"/>
            <w:right w:val="none" w:sz="0" w:space="0" w:color="auto"/>
          </w:divBdr>
        </w:div>
        <w:div w:id="513108839">
          <w:marLeft w:val="0"/>
          <w:marRight w:val="0"/>
          <w:marTop w:val="0"/>
          <w:marBottom w:val="0"/>
          <w:divBdr>
            <w:top w:val="none" w:sz="0" w:space="0" w:color="auto"/>
            <w:left w:val="none" w:sz="0" w:space="0" w:color="auto"/>
            <w:bottom w:val="none" w:sz="0" w:space="0" w:color="auto"/>
            <w:right w:val="none" w:sz="0" w:space="0" w:color="auto"/>
          </w:divBdr>
        </w:div>
        <w:div w:id="584800380">
          <w:marLeft w:val="0"/>
          <w:marRight w:val="0"/>
          <w:marTop w:val="0"/>
          <w:marBottom w:val="0"/>
          <w:divBdr>
            <w:top w:val="none" w:sz="0" w:space="0" w:color="auto"/>
            <w:left w:val="none" w:sz="0" w:space="0" w:color="auto"/>
            <w:bottom w:val="none" w:sz="0" w:space="0" w:color="auto"/>
            <w:right w:val="none" w:sz="0" w:space="0" w:color="auto"/>
          </w:divBdr>
        </w:div>
        <w:div w:id="1059674661">
          <w:marLeft w:val="0"/>
          <w:marRight w:val="0"/>
          <w:marTop w:val="0"/>
          <w:marBottom w:val="0"/>
          <w:divBdr>
            <w:top w:val="none" w:sz="0" w:space="0" w:color="auto"/>
            <w:left w:val="none" w:sz="0" w:space="0" w:color="auto"/>
            <w:bottom w:val="none" w:sz="0" w:space="0" w:color="auto"/>
            <w:right w:val="none" w:sz="0" w:space="0" w:color="auto"/>
          </w:divBdr>
        </w:div>
        <w:div w:id="1351032064">
          <w:marLeft w:val="0"/>
          <w:marRight w:val="0"/>
          <w:marTop w:val="0"/>
          <w:marBottom w:val="0"/>
          <w:divBdr>
            <w:top w:val="none" w:sz="0" w:space="0" w:color="auto"/>
            <w:left w:val="none" w:sz="0" w:space="0" w:color="auto"/>
            <w:bottom w:val="none" w:sz="0" w:space="0" w:color="auto"/>
            <w:right w:val="none" w:sz="0" w:space="0" w:color="auto"/>
          </w:divBdr>
        </w:div>
        <w:div w:id="1449885653">
          <w:marLeft w:val="0"/>
          <w:marRight w:val="0"/>
          <w:marTop w:val="0"/>
          <w:marBottom w:val="0"/>
          <w:divBdr>
            <w:top w:val="none" w:sz="0" w:space="0" w:color="auto"/>
            <w:left w:val="none" w:sz="0" w:space="0" w:color="auto"/>
            <w:bottom w:val="none" w:sz="0" w:space="0" w:color="auto"/>
            <w:right w:val="none" w:sz="0" w:space="0" w:color="auto"/>
          </w:divBdr>
        </w:div>
        <w:div w:id="1541743913">
          <w:marLeft w:val="0"/>
          <w:marRight w:val="0"/>
          <w:marTop w:val="0"/>
          <w:marBottom w:val="0"/>
          <w:divBdr>
            <w:top w:val="none" w:sz="0" w:space="0" w:color="auto"/>
            <w:left w:val="none" w:sz="0" w:space="0" w:color="auto"/>
            <w:bottom w:val="none" w:sz="0" w:space="0" w:color="auto"/>
            <w:right w:val="none" w:sz="0" w:space="0" w:color="auto"/>
          </w:divBdr>
        </w:div>
        <w:div w:id="1692684680">
          <w:marLeft w:val="0"/>
          <w:marRight w:val="0"/>
          <w:marTop w:val="0"/>
          <w:marBottom w:val="0"/>
          <w:divBdr>
            <w:top w:val="none" w:sz="0" w:space="0" w:color="auto"/>
            <w:left w:val="none" w:sz="0" w:space="0" w:color="auto"/>
            <w:bottom w:val="none" w:sz="0" w:space="0" w:color="auto"/>
            <w:right w:val="none" w:sz="0" w:space="0" w:color="auto"/>
          </w:divBdr>
        </w:div>
        <w:div w:id="2093307179">
          <w:marLeft w:val="0"/>
          <w:marRight w:val="0"/>
          <w:marTop w:val="0"/>
          <w:marBottom w:val="0"/>
          <w:divBdr>
            <w:top w:val="none" w:sz="0" w:space="0" w:color="auto"/>
            <w:left w:val="none" w:sz="0" w:space="0" w:color="auto"/>
            <w:bottom w:val="none" w:sz="0" w:space="0" w:color="auto"/>
            <w:right w:val="none" w:sz="0" w:space="0" w:color="auto"/>
          </w:divBdr>
        </w:div>
      </w:divsChild>
    </w:div>
    <w:div w:id="979267734">
      <w:bodyDiv w:val="1"/>
      <w:marLeft w:val="0"/>
      <w:marRight w:val="0"/>
      <w:marTop w:val="0"/>
      <w:marBottom w:val="0"/>
      <w:divBdr>
        <w:top w:val="none" w:sz="0" w:space="0" w:color="auto"/>
        <w:left w:val="none" w:sz="0" w:space="0" w:color="auto"/>
        <w:bottom w:val="none" w:sz="0" w:space="0" w:color="auto"/>
        <w:right w:val="none" w:sz="0" w:space="0" w:color="auto"/>
      </w:divBdr>
    </w:div>
    <w:div w:id="983198453">
      <w:bodyDiv w:val="1"/>
      <w:marLeft w:val="0"/>
      <w:marRight w:val="0"/>
      <w:marTop w:val="0"/>
      <w:marBottom w:val="0"/>
      <w:divBdr>
        <w:top w:val="none" w:sz="0" w:space="0" w:color="auto"/>
        <w:left w:val="none" w:sz="0" w:space="0" w:color="auto"/>
        <w:bottom w:val="none" w:sz="0" w:space="0" w:color="auto"/>
        <w:right w:val="none" w:sz="0" w:space="0" w:color="auto"/>
      </w:divBdr>
    </w:div>
    <w:div w:id="987130068">
      <w:bodyDiv w:val="1"/>
      <w:marLeft w:val="0"/>
      <w:marRight w:val="0"/>
      <w:marTop w:val="0"/>
      <w:marBottom w:val="0"/>
      <w:divBdr>
        <w:top w:val="none" w:sz="0" w:space="0" w:color="auto"/>
        <w:left w:val="none" w:sz="0" w:space="0" w:color="auto"/>
        <w:bottom w:val="none" w:sz="0" w:space="0" w:color="auto"/>
        <w:right w:val="none" w:sz="0" w:space="0" w:color="auto"/>
      </w:divBdr>
    </w:div>
    <w:div w:id="1002859890">
      <w:bodyDiv w:val="1"/>
      <w:marLeft w:val="0"/>
      <w:marRight w:val="0"/>
      <w:marTop w:val="0"/>
      <w:marBottom w:val="0"/>
      <w:divBdr>
        <w:top w:val="none" w:sz="0" w:space="0" w:color="auto"/>
        <w:left w:val="none" w:sz="0" w:space="0" w:color="auto"/>
        <w:bottom w:val="none" w:sz="0" w:space="0" w:color="auto"/>
        <w:right w:val="none" w:sz="0" w:space="0" w:color="auto"/>
      </w:divBdr>
    </w:div>
    <w:div w:id="1017850995">
      <w:bodyDiv w:val="1"/>
      <w:marLeft w:val="0"/>
      <w:marRight w:val="0"/>
      <w:marTop w:val="0"/>
      <w:marBottom w:val="0"/>
      <w:divBdr>
        <w:top w:val="none" w:sz="0" w:space="0" w:color="auto"/>
        <w:left w:val="none" w:sz="0" w:space="0" w:color="auto"/>
        <w:bottom w:val="none" w:sz="0" w:space="0" w:color="auto"/>
        <w:right w:val="none" w:sz="0" w:space="0" w:color="auto"/>
      </w:divBdr>
    </w:div>
    <w:div w:id="1019089697">
      <w:bodyDiv w:val="1"/>
      <w:marLeft w:val="0"/>
      <w:marRight w:val="0"/>
      <w:marTop w:val="0"/>
      <w:marBottom w:val="0"/>
      <w:divBdr>
        <w:top w:val="none" w:sz="0" w:space="0" w:color="auto"/>
        <w:left w:val="none" w:sz="0" w:space="0" w:color="auto"/>
        <w:bottom w:val="none" w:sz="0" w:space="0" w:color="auto"/>
        <w:right w:val="none" w:sz="0" w:space="0" w:color="auto"/>
      </w:divBdr>
    </w:div>
    <w:div w:id="1022391721">
      <w:bodyDiv w:val="1"/>
      <w:marLeft w:val="0"/>
      <w:marRight w:val="0"/>
      <w:marTop w:val="0"/>
      <w:marBottom w:val="0"/>
      <w:divBdr>
        <w:top w:val="none" w:sz="0" w:space="0" w:color="auto"/>
        <w:left w:val="none" w:sz="0" w:space="0" w:color="auto"/>
        <w:bottom w:val="none" w:sz="0" w:space="0" w:color="auto"/>
        <w:right w:val="none" w:sz="0" w:space="0" w:color="auto"/>
      </w:divBdr>
    </w:div>
    <w:div w:id="1026829911">
      <w:bodyDiv w:val="1"/>
      <w:marLeft w:val="0"/>
      <w:marRight w:val="0"/>
      <w:marTop w:val="0"/>
      <w:marBottom w:val="0"/>
      <w:divBdr>
        <w:top w:val="none" w:sz="0" w:space="0" w:color="auto"/>
        <w:left w:val="none" w:sz="0" w:space="0" w:color="auto"/>
        <w:bottom w:val="none" w:sz="0" w:space="0" w:color="auto"/>
        <w:right w:val="none" w:sz="0" w:space="0" w:color="auto"/>
      </w:divBdr>
    </w:div>
    <w:div w:id="1028793885">
      <w:bodyDiv w:val="1"/>
      <w:marLeft w:val="0"/>
      <w:marRight w:val="0"/>
      <w:marTop w:val="0"/>
      <w:marBottom w:val="0"/>
      <w:divBdr>
        <w:top w:val="none" w:sz="0" w:space="0" w:color="auto"/>
        <w:left w:val="none" w:sz="0" w:space="0" w:color="auto"/>
        <w:bottom w:val="none" w:sz="0" w:space="0" w:color="auto"/>
        <w:right w:val="none" w:sz="0" w:space="0" w:color="auto"/>
      </w:divBdr>
    </w:div>
    <w:div w:id="1041367848">
      <w:bodyDiv w:val="1"/>
      <w:marLeft w:val="0"/>
      <w:marRight w:val="0"/>
      <w:marTop w:val="0"/>
      <w:marBottom w:val="0"/>
      <w:divBdr>
        <w:top w:val="none" w:sz="0" w:space="0" w:color="auto"/>
        <w:left w:val="none" w:sz="0" w:space="0" w:color="auto"/>
        <w:bottom w:val="none" w:sz="0" w:space="0" w:color="auto"/>
        <w:right w:val="none" w:sz="0" w:space="0" w:color="auto"/>
      </w:divBdr>
    </w:div>
    <w:div w:id="1050494776">
      <w:bodyDiv w:val="1"/>
      <w:marLeft w:val="0"/>
      <w:marRight w:val="0"/>
      <w:marTop w:val="0"/>
      <w:marBottom w:val="0"/>
      <w:divBdr>
        <w:top w:val="none" w:sz="0" w:space="0" w:color="auto"/>
        <w:left w:val="none" w:sz="0" w:space="0" w:color="auto"/>
        <w:bottom w:val="none" w:sz="0" w:space="0" w:color="auto"/>
        <w:right w:val="none" w:sz="0" w:space="0" w:color="auto"/>
      </w:divBdr>
    </w:div>
    <w:div w:id="1054348842">
      <w:bodyDiv w:val="1"/>
      <w:marLeft w:val="0"/>
      <w:marRight w:val="0"/>
      <w:marTop w:val="0"/>
      <w:marBottom w:val="0"/>
      <w:divBdr>
        <w:top w:val="none" w:sz="0" w:space="0" w:color="auto"/>
        <w:left w:val="none" w:sz="0" w:space="0" w:color="auto"/>
        <w:bottom w:val="none" w:sz="0" w:space="0" w:color="auto"/>
        <w:right w:val="none" w:sz="0" w:space="0" w:color="auto"/>
      </w:divBdr>
    </w:div>
    <w:div w:id="1065223202">
      <w:bodyDiv w:val="1"/>
      <w:marLeft w:val="0"/>
      <w:marRight w:val="0"/>
      <w:marTop w:val="0"/>
      <w:marBottom w:val="0"/>
      <w:divBdr>
        <w:top w:val="none" w:sz="0" w:space="0" w:color="auto"/>
        <w:left w:val="none" w:sz="0" w:space="0" w:color="auto"/>
        <w:bottom w:val="none" w:sz="0" w:space="0" w:color="auto"/>
        <w:right w:val="none" w:sz="0" w:space="0" w:color="auto"/>
      </w:divBdr>
    </w:div>
    <w:div w:id="1069158928">
      <w:bodyDiv w:val="1"/>
      <w:marLeft w:val="0"/>
      <w:marRight w:val="0"/>
      <w:marTop w:val="0"/>
      <w:marBottom w:val="0"/>
      <w:divBdr>
        <w:top w:val="none" w:sz="0" w:space="0" w:color="auto"/>
        <w:left w:val="none" w:sz="0" w:space="0" w:color="auto"/>
        <w:bottom w:val="none" w:sz="0" w:space="0" w:color="auto"/>
        <w:right w:val="none" w:sz="0" w:space="0" w:color="auto"/>
      </w:divBdr>
    </w:div>
    <w:div w:id="1079984264">
      <w:bodyDiv w:val="1"/>
      <w:marLeft w:val="0"/>
      <w:marRight w:val="0"/>
      <w:marTop w:val="0"/>
      <w:marBottom w:val="0"/>
      <w:divBdr>
        <w:top w:val="none" w:sz="0" w:space="0" w:color="auto"/>
        <w:left w:val="none" w:sz="0" w:space="0" w:color="auto"/>
        <w:bottom w:val="none" w:sz="0" w:space="0" w:color="auto"/>
        <w:right w:val="none" w:sz="0" w:space="0" w:color="auto"/>
      </w:divBdr>
    </w:div>
    <w:div w:id="1096094712">
      <w:bodyDiv w:val="1"/>
      <w:marLeft w:val="0"/>
      <w:marRight w:val="0"/>
      <w:marTop w:val="0"/>
      <w:marBottom w:val="0"/>
      <w:divBdr>
        <w:top w:val="none" w:sz="0" w:space="0" w:color="auto"/>
        <w:left w:val="none" w:sz="0" w:space="0" w:color="auto"/>
        <w:bottom w:val="none" w:sz="0" w:space="0" w:color="auto"/>
        <w:right w:val="none" w:sz="0" w:space="0" w:color="auto"/>
      </w:divBdr>
    </w:div>
    <w:div w:id="1103916156">
      <w:bodyDiv w:val="1"/>
      <w:marLeft w:val="0"/>
      <w:marRight w:val="0"/>
      <w:marTop w:val="0"/>
      <w:marBottom w:val="0"/>
      <w:divBdr>
        <w:top w:val="none" w:sz="0" w:space="0" w:color="auto"/>
        <w:left w:val="none" w:sz="0" w:space="0" w:color="auto"/>
        <w:bottom w:val="none" w:sz="0" w:space="0" w:color="auto"/>
        <w:right w:val="none" w:sz="0" w:space="0" w:color="auto"/>
      </w:divBdr>
    </w:div>
    <w:div w:id="1122190635">
      <w:bodyDiv w:val="1"/>
      <w:marLeft w:val="0"/>
      <w:marRight w:val="0"/>
      <w:marTop w:val="0"/>
      <w:marBottom w:val="0"/>
      <w:divBdr>
        <w:top w:val="none" w:sz="0" w:space="0" w:color="auto"/>
        <w:left w:val="none" w:sz="0" w:space="0" w:color="auto"/>
        <w:bottom w:val="none" w:sz="0" w:space="0" w:color="auto"/>
        <w:right w:val="none" w:sz="0" w:space="0" w:color="auto"/>
      </w:divBdr>
    </w:div>
    <w:div w:id="1126242824">
      <w:bodyDiv w:val="1"/>
      <w:marLeft w:val="0"/>
      <w:marRight w:val="0"/>
      <w:marTop w:val="0"/>
      <w:marBottom w:val="0"/>
      <w:divBdr>
        <w:top w:val="none" w:sz="0" w:space="0" w:color="auto"/>
        <w:left w:val="none" w:sz="0" w:space="0" w:color="auto"/>
        <w:bottom w:val="none" w:sz="0" w:space="0" w:color="auto"/>
        <w:right w:val="none" w:sz="0" w:space="0" w:color="auto"/>
      </w:divBdr>
    </w:div>
    <w:div w:id="1149320158">
      <w:bodyDiv w:val="1"/>
      <w:marLeft w:val="0"/>
      <w:marRight w:val="0"/>
      <w:marTop w:val="0"/>
      <w:marBottom w:val="0"/>
      <w:divBdr>
        <w:top w:val="none" w:sz="0" w:space="0" w:color="auto"/>
        <w:left w:val="none" w:sz="0" w:space="0" w:color="auto"/>
        <w:bottom w:val="none" w:sz="0" w:space="0" w:color="auto"/>
        <w:right w:val="none" w:sz="0" w:space="0" w:color="auto"/>
      </w:divBdr>
    </w:div>
    <w:div w:id="1150362955">
      <w:bodyDiv w:val="1"/>
      <w:marLeft w:val="0"/>
      <w:marRight w:val="0"/>
      <w:marTop w:val="0"/>
      <w:marBottom w:val="0"/>
      <w:divBdr>
        <w:top w:val="none" w:sz="0" w:space="0" w:color="auto"/>
        <w:left w:val="none" w:sz="0" w:space="0" w:color="auto"/>
        <w:bottom w:val="none" w:sz="0" w:space="0" w:color="auto"/>
        <w:right w:val="none" w:sz="0" w:space="0" w:color="auto"/>
      </w:divBdr>
    </w:div>
    <w:div w:id="1152872096">
      <w:bodyDiv w:val="1"/>
      <w:marLeft w:val="0"/>
      <w:marRight w:val="0"/>
      <w:marTop w:val="0"/>
      <w:marBottom w:val="0"/>
      <w:divBdr>
        <w:top w:val="none" w:sz="0" w:space="0" w:color="auto"/>
        <w:left w:val="none" w:sz="0" w:space="0" w:color="auto"/>
        <w:bottom w:val="none" w:sz="0" w:space="0" w:color="auto"/>
        <w:right w:val="none" w:sz="0" w:space="0" w:color="auto"/>
      </w:divBdr>
    </w:div>
    <w:div w:id="1161046582">
      <w:bodyDiv w:val="1"/>
      <w:marLeft w:val="0"/>
      <w:marRight w:val="0"/>
      <w:marTop w:val="0"/>
      <w:marBottom w:val="0"/>
      <w:divBdr>
        <w:top w:val="none" w:sz="0" w:space="0" w:color="auto"/>
        <w:left w:val="none" w:sz="0" w:space="0" w:color="auto"/>
        <w:bottom w:val="none" w:sz="0" w:space="0" w:color="auto"/>
        <w:right w:val="none" w:sz="0" w:space="0" w:color="auto"/>
      </w:divBdr>
    </w:div>
    <w:div w:id="1163279113">
      <w:bodyDiv w:val="1"/>
      <w:marLeft w:val="0"/>
      <w:marRight w:val="0"/>
      <w:marTop w:val="0"/>
      <w:marBottom w:val="0"/>
      <w:divBdr>
        <w:top w:val="none" w:sz="0" w:space="0" w:color="auto"/>
        <w:left w:val="none" w:sz="0" w:space="0" w:color="auto"/>
        <w:bottom w:val="none" w:sz="0" w:space="0" w:color="auto"/>
        <w:right w:val="none" w:sz="0" w:space="0" w:color="auto"/>
      </w:divBdr>
    </w:div>
    <w:div w:id="1163399726">
      <w:bodyDiv w:val="1"/>
      <w:marLeft w:val="0"/>
      <w:marRight w:val="0"/>
      <w:marTop w:val="0"/>
      <w:marBottom w:val="0"/>
      <w:divBdr>
        <w:top w:val="none" w:sz="0" w:space="0" w:color="auto"/>
        <w:left w:val="none" w:sz="0" w:space="0" w:color="auto"/>
        <w:bottom w:val="none" w:sz="0" w:space="0" w:color="auto"/>
        <w:right w:val="none" w:sz="0" w:space="0" w:color="auto"/>
      </w:divBdr>
    </w:div>
    <w:div w:id="1173496979">
      <w:bodyDiv w:val="1"/>
      <w:marLeft w:val="0"/>
      <w:marRight w:val="0"/>
      <w:marTop w:val="0"/>
      <w:marBottom w:val="0"/>
      <w:divBdr>
        <w:top w:val="none" w:sz="0" w:space="0" w:color="auto"/>
        <w:left w:val="none" w:sz="0" w:space="0" w:color="auto"/>
        <w:bottom w:val="none" w:sz="0" w:space="0" w:color="auto"/>
        <w:right w:val="none" w:sz="0" w:space="0" w:color="auto"/>
      </w:divBdr>
    </w:div>
    <w:div w:id="1179008375">
      <w:bodyDiv w:val="1"/>
      <w:marLeft w:val="0"/>
      <w:marRight w:val="0"/>
      <w:marTop w:val="0"/>
      <w:marBottom w:val="0"/>
      <w:divBdr>
        <w:top w:val="none" w:sz="0" w:space="0" w:color="auto"/>
        <w:left w:val="none" w:sz="0" w:space="0" w:color="auto"/>
        <w:bottom w:val="none" w:sz="0" w:space="0" w:color="auto"/>
        <w:right w:val="none" w:sz="0" w:space="0" w:color="auto"/>
      </w:divBdr>
    </w:div>
    <w:div w:id="1182208296">
      <w:bodyDiv w:val="1"/>
      <w:marLeft w:val="0"/>
      <w:marRight w:val="0"/>
      <w:marTop w:val="0"/>
      <w:marBottom w:val="0"/>
      <w:divBdr>
        <w:top w:val="none" w:sz="0" w:space="0" w:color="auto"/>
        <w:left w:val="none" w:sz="0" w:space="0" w:color="auto"/>
        <w:bottom w:val="none" w:sz="0" w:space="0" w:color="auto"/>
        <w:right w:val="none" w:sz="0" w:space="0" w:color="auto"/>
      </w:divBdr>
    </w:div>
    <w:div w:id="1184174407">
      <w:bodyDiv w:val="1"/>
      <w:marLeft w:val="0"/>
      <w:marRight w:val="0"/>
      <w:marTop w:val="0"/>
      <w:marBottom w:val="0"/>
      <w:divBdr>
        <w:top w:val="none" w:sz="0" w:space="0" w:color="auto"/>
        <w:left w:val="none" w:sz="0" w:space="0" w:color="auto"/>
        <w:bottom w:val="none" w:sz="0" w:space="0" w:color="auto"/>
        <w:right w:val="none" w:sz="0" w:space="0" w:color="auto"/>
      </w:divBdr>
    </w:div>
    <w:div w:id="1188374828">
      <w:bodyDiv w:val="1"/>
      <w:marLeft w:val="0"/>
      <w:marRight w:val="0"/>
      <w:marTop w:val="0"/>
      <w:marBottom w:val="0"/>
      <w:divBdr>
        <w:top w:val="none" w:sz="0" w:space="0" w:color="auto"/>
        <w:left w:val="none" w:sz="0" w:space="0" w:color="auto"/>
        <w:bottom w:val="none" w:sz="0" w:space="0" w:color="auto"/>
        <w:right w:val="none" w:sz="0" w:space="0" w:color="auto"/>
      </w:divBdr>
    </w:div>
    <w:div w:id="1192915950">
      <w:bodyDiv w:val="1"/>
      <w:marLeft w:val="0"/>
      <w:marRight w:val="0"/>
      <w:marTop w:val="0"/>
      <w:marBottom w:val="0"/>
      <w:divBdr>
        <w:top w:val="none" w:sz="0" w:space="0" w:color="auto"/>
        <w:left w:val="none" w:sz="0" w:space="0" w:color="auto"/>
        <w:bottom w:val="none" w:sz="0" w:space="0" w:color="auto"/>
        <w:right w:val="none" w:sz="0" w:space="0" w:color="auto"/>
      </w:divBdr>
    </w:div>
    <w:div w:id="1201435413">
      <w:bodyDiv w:val="1"/>
      <w:marLeft w:val="0"/>
      <w:marRight w:val="0"/>
      <w:marTop w:val="0"/>
      <w:marBottom w:val="0"/>
      <w:divBdr>
        <w:top w:val="none" w:sz="0" w:space="0" w:color="auto"/>
        <w:left w:val="none" w:sz="0" w:space="0" w:color="auto"/>
        <w:bottom w:val="none" w:sz="0" w:space="0" w:color="auto"/>
        <w:right w:val="none" w:sz="0" w:space="0" w:color="auto"/>
      </w:divBdr>
    </w:div>
    <w:div w:id="1209104919">
      <w:bodyDiv w:val="1"/>
      <w:marLeft w:val="0"/>
      <w:marRight w:val="0"/>
      <w:marTop w:val="0"/>
      <w:marBottom w:val="0"/>
      <w:divBdr>
        <w:top w:val="none" w:sz="0" w:space="0" w:color="auto"/>
        <w:left w:val="none" w:sz="0" w:space="0" w:color="auto"/>
        <w:bottom w:val="none" w:sz="0" w:space="0" w:color="auto"/>
        <w:right w:val="none" w:sz="0" w:space="0" w:color="auto"/>
      </w:divBdr>
    </w:div>
    <w:div w:id="1214123287">
      <w:bodyDiv w:val="1"/>
      <w:marLeft w:val="0"/>
      <w:marRight w:val="0"/>
      <w:marTop w:val="0"/>
      <w:marBottom w:val="0"/>
      <w:divBdr>
        <w:top w:val="none" w:sz="0" w:space="0" w:color="auto"/>
        <w:left w:val="none" w:sz="0" w:space="0" w:color="auto"/>
        <w:bottom w:val="none" w:sz="0" w:space="0" w:color="auto"/>
        <w:right w:val="none" w:sz="0" w:space="0" w:color="auto"/>
      </w:divBdr>
    </w:div>
    <w:div w:id="1214318333">
      <w:bodyDiv w:val="1"/>
      <w:marLeft w:val="0"/>
      <w:marRight w:val="0"/>
      <w:marTop w:val="0"/>
      <w:marBottom w:val="0"/>
      <w:divBdr>
        <w:top w:val="none" w:sz="0" w:space="0" w:color="auto"/>
        <w:left w:val="none" w:sz="0" w:space="0" w:color="auto"/>
        <w:bottom w:val="none" w:sz="0" w:space="0" w:color="auto"/>
        <w:right w:val="none" w:sz="0" w:space="0" w:color="auto"/>
      </w:divBdr>
    </w:div>
    <w:div w:id="1217473781">
      <w:bodyDiv w:val="1"/>
      <w:marLeft w:val="0"/>
      <w:marRight w:val="0"/>
      <w:marTop w:val="0"/>
      <w:marBottom w:val="0"/>
      <w:divBdr>
        <w:top w:val="none" w:sz="0" w:space="0" w:color="auto"/>
        <w:left w:val="none" w:sz="0" w:space="0" w:color="auto"/>
        <w:bottom w:val="none" w:sz="0" w:space="0" w:color="auto"/>
        <w:right w:val="none" w:sz="0" w:space="0" w:color="auto"/>
      </w:divBdr>
    </w:div>
    <w:div w:id="1220552426">
      <w:bodyDiv w:val="1"/>
      <w:marLeft w:val="0"/>
      <w:marRight w:val="0"/>
      <w:marTop w:val="0"/>
      <w:marBottom w:val="0"/>
      <w:divBdr>
        <w:top w:val="none" w:sz="0" w:space="0" w:color="auto"/>
        <w:left w:val="none" w:sz="0" w:space="0" w:color="auto"/>
        <w:bottom w:val="none" w:sz="0" w:space="0" w:color="auto"/>
        <w:right w:val="none" w:sz="0" w:space="0" w:color="auto"/>
      </w:divBdr>
      <w:divsChild>
        <w:div w:id="711811855">
          <w:marLeft w:val="0"/>
          <w:marRight w:val="0"/>
          <w:marTop w:val="0"/>
          <w:marBottom w:val="0"/>
          <w:divBdr>
            <w:top w:val="none" w:sz="0" w:space="0" w:color="auto"/>
            <w:left w:val="none" w:sz="0" w:space="0" w:color="auto"/>
            <w:bottom w:val="none" w:sz="0" w:space="0" w:color="auto"/>
            <w:right w:val="none" w:sz="0" w:space="0" w:color="auto"/>
          </w:divBdr>
        </w:div>
        <w:div w:id="866599042">
          <w:marLeft w:val="0"/>
          <w:marRight w:val="0"/>
          <w:marTop w:val="0"/>
          <w:marBottom w:val="0"/>
          <w:divBdr>
            <w:top w:val="none" w:sz="0" w:space="0" w:color="auto"/>
            <w:left w:val="none" w:sz="0" w:space="0" w:color="auto"/>
            <w:bottom w:val="none" w:sz="0" w:space="0" w:color="auto"/>
            <w:right w:val="none" w:sz="0" w:space="0" w:color="auto"/>
          </w:divBdr>
          <w:divsChild>
            <w:div w:id="1222905398">
              <w:marLeft w:val="0"/>
              <w:marRight w:val="0"/>
              <w:marTop w:val="0"/>
              <w:marBottom w:val="0"/>
              <w:divBdr>
                <w:top w:val="none" w:sz="0" w:space="0" w:color="auto"/>
                <w:left w:val="none" w:sz="0" w:space="0" w:color="auto"/>
                <w:bottom w:val="none" w:sz="0" w:space="0" w:color="auto"/>
                <w:right w:val="none" w:sz="0" w:space="0" w:color="auto"/>
              </w:divBdr>
              <w:divsChild>
                <w:div w:id="1598174650">
                  <w:marLeft w:val="0"/>
                  <w:marRight w:val="0"/>
                  <w:marTop w:val="0"/>
                  <w:marBottom w:val="360"/>
                  <w:divBdr>
                    <w:top w:val="none" w:sz="0" w:space="0" w:color="auto"/>
                    <w:left w:val="none" w:sz="0" w:space="0" w:color="auto"/>
                    <w:bottom w:val="dotted" w:sz="6" w:space="18" w:color="CCCCCC"/>
                    <w:right w:val="none" w:sz="0" w:space="0" w:color="auto"/>
                  </w:divBdr>
                  <w:divsChild>
                    <w:div w:id="162356500">
                      <w:marLeft w:val="0"/>
                      <w:marRight w:val="0"/>
                      <w:marTop w:val="0"/>
                      <w:marBottom w:val="0"/>
                      <w:divBdr>
                        <w:top w:val="none" w:sz="0" w:space="0" w:color="auto"/>
                        <w:left w:val="none" w:sz="0" w:space="0" w:color="auto"/>
                        <w:bottom w:val="none" w:sz="0" w:space="0" w:color="auto"/>
                        <w:right w:val="none" w:sz="0" w:space="0" w:color="auto"/>
                      </w:divBdr>
                      <w:divsChild>
                        <w:div w:id="1933004315">
                          <w:marLeft w:val="0"/>
                          <w:marRight w:val="0"/>
                          <w:marTop w:val="0"/>
                          <w:marBottom w:val="0"/>
                          <w:divBdr>
                            <w:top w:val="none" w:sz="0" w:space="0" w:color="auto"/>
                            <w:left w:val="none" w:sz="0" w:space="0" w:color="auto"/>
                            <w:bottom w:val="none" w:sz="0" w:space="0" w:color="auto"/>
                            <w:right w:val="none" w:sz="0" w:space="0" w:color="auto"/>
                          </w:divBdr>
                        </w:div>
                      </w:divsChild>
                    </w:div>
                    <w:div w:id="906888143">
                      <w:marLeft w:val="0"/>
                      <w:marRight w:val="0"/>
                      <w:marTop w:val="0"/>
                      <w:marBottom w:val="0"/>
                      <w:divBdr>
                        <w:top w:val="none" w:sz="0" w:space="0" w:color="auto"/>
                        <w:left w:val="none" w:sz="0" w:space="0" w:color="auto"/>
                        <w:bottom w:val="none" w:sz="0" w:space="0" w:color="auto"/>
                        <w:right w:val="none" w:sz="0" w:space="0" w:color="auto"/>
                      </w:divBdr>
                      <w:divsChild>
                        <w:div w:id="1885172218">
                          <w:marLeft w:val="0"/>
                          <w:marRight w:val="0"/>
                          <w:marTop w:val="0"/>
                          <w:marBottom w:val="0"/>
                          <w:divBdr>
                            <w:top w:val="none" w:sz="0" w:space="0" w:color="auto"/>
                            <w:left w:val="none" w:sz="0" w:space="0" w:color="auto"/>
                            <w:bottom w:val="none" w:sz="0" w:space="0" w:color="auto"/>
                            <w:right w:val="none" w:sz="0" w:space="0" w:color="auto"/>
                          </w:divBdr>
                          <w:divsChild>
                            <w:div w:id="156310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35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2644377">
      <w:bodyDiv w:val="1"/>
      <w:marLeft w:val="0"/>
      <w:marRight w:val="0"/>
      <w:marTop w:val="0"/>
      <w:marBottom w:val="0"/>
      <w:divBdr>
        <w:top w:val="none" w:sz="0" w:space="0" w:color="auto"/>
        <w:left w:val="none" w:sz="0" w:space="0" w:color="auto"/>
        <w:bottom w:val="none" w:sz="0" w:space="0" w:color="auto"/>
        <w:right w:val="none" w:sz="0" w:space="0" w:color="auto"/>
      </w:divBdr>
    </w:div>
    <w:div w:id="1243442816">
      <w:bodyDiv w:val="1"/>
      <w:marLeft w:val="0"/>
      <w:marRight w:val="0"/>
      <w:marTop w:val="0"/>
      <w:marBottom w:val="0"/>
      <w:divBdr>
        <w:top w:val="none" w:sz="0" w:space="0" w:color="auto"/>
        <w:left w:val="none" w:sz="0" w:space="0" w:color="auto"/>
        <w:bottom w:val="none" w:sz="0" w:space="0" w:color="auto"/>
        <w:right w:val="none" w:sz="0" w:space="0" w:color="auto"/>
      </w:divBdr>
    </w:div>
    <w:div w:id="1250041817">
      <w:bodyDiv w:val="1"/>
      <w:marLeft w:val="0"/>
      <w:marRight w:val="0"/>
      <w:marTop w:val="0"/>
      <w:marBottom w:val="0"/>
      <w:divBdr>
        <w:top w:val="none" w:sz="0" w:space="0" w:color="auto"/>
        <w:left w:val="none" w:sz="0" w:space="0" w:color="auto"/>
        <w:bottom w:val="none" w:sz="0" w:space="0" w:color="auto"/>
        <w:right w:val="none" w:sz="0" w:space="0" w:color="auto"/>
      </w:divBdr>
    </w:div>
    <w:div w:id="1256522965">
      <w:bodyDiv w:val="1"/>
      <w:marLeft w:val="0"/>
      <w:marRight w:val="0"/>
      <w:marTop w:val="0"/>
      <w:marBottom w:val="0"/>
      <w:divBdr>
        <w:top w:val="none" w:sz="0" w:space="0" w:color="auto"/>
        <w:left w:val="none" w:sz="0" w:space="0" w:color="auto"/>
        <w:bottom w:val="none" w:sz="0" w:space="0" w:color="auto"/>
        <w:right w:val="none" w:sz="0" w:space="0" w:color="auto"/>
      </w:divBdr>
    </w:div>
    <w:div w:id="1259607296">
      <w:bodyDiv w:val="1"/>
      <w:marLeft w:val="0"/>
      <w:marRight w:val="0"/>
      <w:marTop w:val="0"/>
      <w:marBottom w:val="0"/>
      <w:divBdr>
        <w:top w:val="none" w:sz="0" w:space="0" w:color="auto"/>
        <w:left w:val="none" w:sz="0" w:space="0" w:color="auto"/>
        <w:bottom w:val="none" w:sz="0" w:space="0" w:color="auto"/>
        <w:right w:val="none" w:sz="0" w:space="0" w:color="auto"/>
      </w:divBdr>
    </w:div>
    <w:div w:id="1263880197">
      <w:bodyDiv w:val="1"/>
      <w:marLeft w:val="0"/>
      <w:marRight w:val="0"/>
      <w:marTop w:val="0"/>
      <w:marBottom w:val="0"/>
      <w:divBdr>
        <w:top w:val="none" w:sz="0" w:space="0" w:color="auto"/>
        <w:left w:val="none" w:sz="0" w:space="0" w:color="auto"/>
        <w:bottom w:val="none" w:sz="0" w:space="0" w:color="auto"/>
        <w:right w:val="none" w:sz="0" w:space="0" w:color="auto"/>
      </w:divBdr>
    </w:div>
    <w:div w:id="1280063421">
      <w:bodyDiv w:val="1"/>
      <w:marLeft w:val="0"/>
      <w:marRight w:val="0"/>
      <w:marTop w:val="0"/>
      <w:marBottom w:val="0"/>
      <w:divBdr>
        <w:top w:val="none" w:sz="0" w:space="0" w:color="auto"/>
        <w:left w:val="none" w:sz="0" w:space="0" w:color="auto"/>
        <w:bottom w:val="none" w:sz="0" w:space="0" w:color="auto"/>
        <w:right w:val="none" w:sz="0" w:space="0" w:color="auto"/>
      </w:divBdr>
    </w:div>
    <w:div w:id="1286499048">
      <w:bodyDiv w:val="1"/>
      <w:marLeft w:val="0"/>
      <w:marRight w:val="0"/>
      <w:marTop w:val="0"/>
      <w:marBottom w:val="0"/>
      <w:divBdr>
        <w:top w:val="none" w:sz="0" w:space="0" w:color="auto"/>
        <w:left w:val="none" w:sz="0" w:space="0" w:color="auto"/>
        <w:bottom w:val="none" w:sz="0" w:space="0" w:color="auto"/>
        <w:right w:val="none" w:sz="0" w:space="0" w:color="auto"/>
      </w:divBdr>
    </w:div>
    <w:div w:id="1286617839">
      <w:bodyDiv w:val="1"/>
      <w:marLeft w:val="0"/>
      <w:marRight w:val="0"/>
      <w:marTop w:val="0"/>
      <w:marBottom w:val="0"/>
      <w:divBdr>
        <w:top w:val="none" w:sz="0" w:space="0" w:color="auto"/>
        <w:left w:val="none" w:sz="0" w:space="0" w:color="auto"/>
        <w:bottom w:val="none" w:sz="0" w:space="0" w:color="auto"/>
        <w:right w:val="none" w:sz="0" w:space="0" w:color="auto"/>
      </w:divBdr>
    </w:div>
    <w:div w:id="1294869106">
      <w:bodyDiv w:val="1"/>
      <w:marLeft w:val="0"/>
      <w:marRight w:val="0"/>
      <w:marTop w:val="0"/>
      <w:marBottom w:val="0"/>
      <w:divBdr>
        <w:top w:val="none" w:sz="0" w:space="0" w:color="auto"/>
        <w:left w:val="none" w:sz="0" w:space="0" w:color="auto"/>
        <w:bottom w:val="none" w:sz="0" w:space="0" w:color="auto"/>
        <w:right w:val="none" w:sz="0" w:space="0" w:color="auto"/>
      </w:divBdr>
      <w:divsChild>
        <w:div w:id="1669407955">
          <w:marLeft w:val="0"/>
          <w:marRight w:val="0"/>
          <w:marTop w:val="0"/>
          <w:marBottom w:val="0"/>
          <w:divBdr>
            <w:top w:val="none" w:sz="0" w:space="0" w:color="auto"/>
            <w:left w:val="none" w:sz="0" w:space="0" w:color="auto"/>
            <w:bottom w:val="none" w:sz="0" w:space="0" w:color="auto"/>
            <w:right w:val="none" w:sz="0" w:space="0" w:color="auto"/>
          </w:divBdr>
          <w:divsChild>
            <w:div w:id="1581017605">
              <w:marLeft w:val="0"/>
              <w:marRight w:val="0"/>
              <w:marTop w:val="0"/>
              <w:marBottom w:val="0"/>
              <w:divBdr>
                <w:top w:val="none" w:sz="0" w:space="0" w:color="auto"/>
                <w:left w:val="none" w:sz="0" w:space="0" w:color="auto"/>
                <w:bottom w:val="none" w:sz="0" w:space="0" w:color="auto"/>
                <w:right w:val="none" w:sz="0" w:space="0" w:color="auto"/>
              </w:divBdr>
              <w:divsChild>
                <w:div w:id="1726022962">
                  <w:marLeft w:val="0"/>
                  <w:marRight w:val="0"/>
                  <w:marTop w:val="0"/>
                  <w:marBottom w:val="0"/>
                  <w:divBdr>
                    <w:top w:val="none" w:sz="0" w:space="0" w:color="auto"/>
                    <w:left w:val="none" w:sz="0" w:space="0" w:color="auto"/>
                    <w:bottom w:val="none" w:sz="0" w:space="0" w:color="auto"/>
                    <w:right w:val="none" w:sz="0" w:space="0" w:color="auto"/>
                  </w:divBdr>
                  <w:divsChild>
                    <w:div w:id="2049407834">
                      <w:marLeft w:val="0"/>
                      <w:marRight w:val="0"/>
                      <w:marTop w:val="0"/>
                      <w:marBottom w:val="0"/>
                      <w:divBdr>
                        <w:top w:val="none" w:sz="0" w:space="0" w:color="auto"/>
                        <w:left w:val="none" w:sz="0" w:space="0" w:color="auto"/>
                        <w:bottom w:val="none" w:sz="0" w:space="0" w:color="auto"/>
                        <w:right w:val="none" w:sz="0" w:space="0" w:color="auto"/>
                      </w:divBdr>
                      <w:divsChild>
                        <w:div w:id="1941134606">
                          <w:marLeft w:val="0"/>
                          <w:marRight w:val="0"/>
                          <w:marTop w:val="0"/>
                          <w:marBottom w:val="0"/>
                          <w:divBdr>
                            <w:top w:val="none" w:sz="0" w:space="0" w:color="auto"/>
                            <w:left w:val="none" w:sz="0" w:space="0" w:color="auto"/>
                            <w:bottom w:val="none" w:sz="0" w:space="0" w:color="auto"/>
                            <w:right w:val="none" w:sz="0" w:space="0" w:color="auto"/>
                          </w:divBdr>
                          <w:divsChild>
                            <w:div w:id="68428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1764206">
      <w:bodyDiv w:val="1"/>
      <w:marLeft w:val="0"/>
      <w:marRight w:val="0"/>
      <w:marTop w:val="0"/>
      <w:marBottom w:val="0"/>
      <w:divBdr>
        <w:top w:val="none" w:sz="0" w:space="0" w:color="auto"/>
        <w:left w:val="none" w:sz="0" w:space="0" w:color="auto"/>
        <w:bottom w:val="none" w:sz="0" w:space="0" w:color="auto"/>
        <w:right w:val="none" w:sz="0" w:space="0" w:color="auto"/>
      </w:divBdr>
    </w:div>
    <w:div w:id="1306162693">
      <w:bodyDiv w:val="1"/>
      <w:marLeft w:val="0"/>
      <w:marRight w:val="0"/>
      <w:marTop w:val="0"/>
      <w:marBottom w:val="0"/>
      <w:divBdr>
        <w:top w:val="none" w:sz="0" w:space="0" w:color="auto"/>
        <w:left w:val="none" w:sz="0" w:space="0" w:color="auto"/>
        <w:bottom w:val="none" w:sz="0" w:space="0" w:color="auto"/>
        <w:right w:val="none" w:sz="0" w:space="0" w:color="auto"/>
      </w:divBdr>
      <w:divsChild>
        <w:div w:id="457726707">
          <w:marLeft w:val="0"/>
          <w:marRight w:val="0"/>
          <w:marTop w:val="0"/>
          <w:marBottom w:val="0"/>
          <w:divBdr>
            <w:top w:val="none" w:sz="0" w:space="0" w:color="auto"/>
            <w:left w:val="none" w:sz="0" w:space="0" w:color="auto"/>
            <w:bottom w:val="none" w:sz="0" w:space="0" w:color="auto"/>
            <w:right w:val="none" w:sz="0" w:space="0" w:color="auto"/>
          </w:divBdr>
          <w:divsChild>
            <w:div w:id="99899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473119">
      <w:bodyDiv w:val="1"/>
      <w:marLeft w:val="0"/>
      <w:marRight w:val="0"/>
      <w:marTop w:val="0"/>
      <w:marBottom w:val="0"/>
      <w:divBdr>
        <w:top w:val="none" w:sz="0" w:space="0" w:color="auto"/>
        <w:left w:val="none" w:sz="0" w:space="0" w:color="auto"/>
        <w:bottom w:val="none" w:sz="0" w:space="0" w:color="auto"/>
        <w:right w:val="none" w:sz="0" w:space="0" w:color="auto"/>
      </w:divBdr>
    </w:div>
    <w:div w:id="1320187679">
      <w:bodyDiv w:val="1"/>
      <w:marLeft w:val="0"/>
      <w:marRight w:val="0"/>
      <w:marTop w:val="0"/>
      <w:marBottom w:val="0"/>
      <w:divBdr>
        <w:top w:val="none" w:sz="0" w:space="0" w:color="auto"/>
        <w:left w:val="none" w:sz="0" w:space="0" w:color="auto"/>
        <w:bottom w:val="none" w:sz="0" w:space="0" w:color="auto"/>
        <w:right w:val="none" w:sz="0" w:space="0" w:color="auto"/>
      </w:divBdr>
    </w:div>
    <w:div w:id="1326586257">
      <w:bodyDiv w:val="1"/>
      <w:marLeft w:val="0"/>
      <w:marRight w:val="0"/>
      <w:marTop w:val="0"/>
      <w:marBottom w:val="0"/>
      <w:divBdr>
        <w:top w:val="none" w:sz="0" w:space="0" w:color="auto"/>
        <w:left w:val="none" w:sz="0" w:space="0" w:color="auto"/>
        <w:bottom w:val="none" w:sz="0" w:space="0" w:color="auto"/>
        <w:right w:val="none" w:sz="0" w:space="0" w:color="auto"/>
      </w:divBdr>
    </w:div>
    <w:div w:id="1331324169">
      <w:bodyDiv w:val="1"/>
      <w:marLeft w:val="0"/>
      <w:marRight w:val="0"/>
      <w:marTop w:val="0"/>
      <w:marBottom w:val="0"/>
      <w:divBdr>
        <w:top w:val="none" w:sz="0" w:space="0" w:color="auto"/>
        <w:left w:val="none" w:sz="0" w:space="0" w:color="auto"/>
        <w:bottom w:val="none" w:sz="0" w:space="0" w:color="auto"/>
        <w:right w:val="none" w:sz="0" w:space="0" w:color="auto"/>
      </w:divBdr>
    </w:div>
    <w:div w:id="1332179414">
      <w:bodyDiv w:val="1"/>
      <w:marLeft w:val="0"/>
      <w:marRight w:val="0"/>
      <w:marTop w:val="0"/>
      <w:marBottom w:val="0"/>
      <w:divBdr>
        <w:top w:val="none" w:sz="0" w:space="0" w:color="auto"/>
        <w:left w:val="none" w:sz="0" w:space="0" w:color="auto"/>
        <w:bottom w:val="none" w:sz="0" w:space="0" w:color="auto"/>
        <w:right w:val="none" w:sz="0" w:space="0" w:color="auto"/>
      </w:divBdr>
    </w:div>
    <w:div w:id="1334602424">
      <w:bodyDiv w:val="1"/>
      <w:marLeft w:val="0"/>
      <w:marRight w:val="0"/>
      <w:marTop w:val="0"/>
      <w:marBottom w:val="0"/>
      <w:divBdr>
        <w:top w:val="none" w:sz="0" w:space="0" w:color="auto"/>
        <w:left w:val="none" w:sz="0" w:space="0" w:color="auto"/>
        <w:bottom w:val="none" w:sz="0" w:space="0" w:color="auto"/>
        <w:right w:val="none" w:sz="0" w:space="0" w:color="auto"/>
      </w:divBdr>
    </w:div>
    <w:div w:id="1347709886">
      <w:bodyDiv w:val="1"/>
      <w:marLeft w:val="0"/>
      <w:marRight w:val="0"/>
      <w:marTop w:val="0"/>
      <w:marBottom w:val="0"/>
      <w:divBdr>
        <w:top w:val="none" w:sz="0" w:space="0" w:color="auto"/>
        <w:left w:val="none" w:sz="0" w:space="0" w:color="auto"/>
        <w:bottom w:val="none" w:sz="0" w:space="0" w:color="auto"/>
        <w:right w:val="none" w:sz="0" w:space="0" w:color="auto"/>
      </w:divBdr>
    </w:div>
    <w:div w:id="1349671886">
      <w:bodyDiv w:val="1"/>
      <w:marLeft w:val="0"/>
      <w:marRight w:val="0"/>
      <w:marTop w:val="0"/>
      <w:marBottom w:val="0"/>
      <w:divBdr>
        <w:top w:val="none" w:sz="0" w:space="0" w:color="auto"/>
        <w:left w:val="none" w:sz="0" w:space="0" w:color="auto"/>
        <w:bottom w:val="none" w:sz="0" w:space="0" w:color="auto"/>
        <w:right w:val="none" w:sz="0" w:space="0" w:color="auto"/>
      </w:divBdr>
    </w:div>
    <w:div w:id="1355573021">
      <w:bodyDiv w:val="1"/>
      <w:marLeft w:val="0"/>
      <w:marRight w:val="0"/>
      <w:marTop w:val="0"/>
      <w:marBottom w:val="0"/>
      <w:divBdr>
        <w:top w:val="none" w:sz="0" w:space="0" w:color="auto"/>
        <w:left w:val="none" w:sz="0" w:space="0" w:color="auto"/>
        <w:bottom w:val="none" w:sz="0" w:space="0" w:color="auto"/>
        <w:right w:val="none" w:sz="0" w:space="0" w:color="auto"/>
      </w:divBdr>
    </w:div>
    <w:div w:id="1357077075">
      <w:bodyDiv w:val="1"/>
      <w:marLeft w:val="0"/>
      <w:marRight w:val="0"/>
      <w:marTop w:val="0"/>
      <w:marBottom w:val="0"/>
      <w:divBdr>
        <w:top w:val="none" w:sz="0" w:space="0" w:color="auto"/>
        <w:left w:val="none" w:sz="0" w:space="0" w:color="auto"/>
        <w:bottom w:val="none" w:sz="0" w:space="0" w:color="auto"/>
        <w:right w:val="none" w:sz="0" w:space="0" w:color="auto"/>
      </w:divBdr>
    </w:div>
    <w:div w:id="1364208745">
      <w:bodyDiv w:val="1"/>
      <w:marLeft w:val="0"/>
      <w:marRight w:val="0"/>
      <w:marTop w:val="0"/>
      <w:marBottom w:val="0"/>
      <w:divBdr>
        <w:top w:val="none" w:sz="0" w:space="0" w:color="auto"/>
        <w:left w:val="none" w:sz="0" w:space="0" w:color="auto"/>
        <w:bottom w:val="none" w:sz="0" w:space="0" w:color="auto"/>
        <w:right w:val="none" w:sz="0" w:space="0" w:color="auto"/>
      </w:divBdr>
    </w:div>
    <w:div w:id="1367218673">
      <w:bodyDiv w:val="1"/>
      <w:marLeft w:val="0"/>
      <w:marRight w:val="0"/>
      <w:marTop w:val="0"/>
      <w:marBottom w:val="0"/>
      <w:divBdr>
        <w:top w:val="none" w:sz="0" w:space="0" w:color="auto"/>
        <w:left w:val="none" w:sz="0" w:space="0" w:color="auto"/>
        <w:bottom w:val="none" w:sz="0" w:space="0" w:color="auto"/>
        <w:right w:val="none" w:sz="0" w:space="0" w:color="auto"/>
      </w:divBdr>
    </w:div>
    <w:div w:id="1368723695">
      <w:bodyDiv w:val="1"/>
      <w:marLeft w:val="0"/>
      <w:marRight w:val="0"/>
      <w:marTop w:val="0"/>
      <w:marBottom w:val="0"/>
      <w:divBdr>
        <w:top w:val="none" w:sz="0" w:space="0" w:color="auto"/>
        <w:left w:val="none" w:sz="0" w:space="0" w:color="auto"/>
        <w:bottom w:val="none" w:sz="0" w:space="0" w:color="auto"/>
        <w:right w:val="none" w:sz="0" w:space="0" w:color="auto"/>
      </w:divBdr>
    </w:div>
    <w:div w:id="1370107844">
      <w:bodyDiv w:val="1"/>
      <w:marLeft w:val="0"/>
      <w:marRight w:val="0"/>
      <w:marTop w:val="0"/>
      <w:marBottom w:val="0"/>
      <w:divBdr>
        <w:top w:val="none" w:sz="0" w:space="0" w:color="auto"/>
        <w:left w:val="none" w:sz="0" w:space="0" w:color="auto"/>
        <w:bottom w:val="none" w:sz="0" w:space="0" w:color="auto"/>
        <w:right w:val="none" w:sz="0" w:space="0" w:color="auto"/>
      </w:divBdr>
    </w:div>
    <w:div w:id="1380930910">
      <w:bodyDiv w:val="1"/>
      <w:marLeft w:val="0"/>
      <w:marRight w:val="0"/>
      <w:marTop w:val="0"/>
      <w:marBottom w:val="0"/>
      <w:divBdr>
        <w:top w:val="none" w:sz="0" w:space="0" w:color="auto"/>
        <w:left w:val="none" w:sz="0" w:space="0" w:color="auto"/>
        <w:bottom w:val="none" w:sz="0" w:space="0" w:color="auto"/>
        <w:right w:val="none" w:sz="0" w:space="0" w:color="auto"/>
      </w:divBdr>
    </w:div>
    <w:div w:id="1395079543">
      <w:bodyDiv w:val="1"/>
      <w:marLeft w:val="0"/>
      <w:marRight w:val="0"/>
      <w:marTop w:val="0"/>
      <w:marBottom w:val="0"/>
      <w:divBdr>
        <w:top w:val="none" w:sz="0" w:space="0" w:color="auto"/>
        <w:left w:val="none" w:sz="0" w:space="0" w:color="auto"/>
        <w:bottom w:val="none" w:sz="0" w:space="0" w:color="auto"/>
        <w:right w:val="none" w:sz="0" w:space="0" w:color="auto"/>
      </w:divBdr>
    </w:div>
    <w:div w:id="1397892381">
      <w:bodyDiv w:val="1"/>
      <w:marLeft w:val="0"/>
      <w:marRight w:val="0"/>
      <w:marTop w:val="0"/>
      <w:marBottom w:val="0"/>
      <w:divBdr>
        <w:top w:val="none" w:sz="0" w:space="0" w:color="auto"/>
        <w:left w:val="none" w:sz="0" w:space="0" w:color="auto"/>
        <w:bottom w:val="none" w:sz="0" w:space="0" w:color="auto"/>
        <w:right w:val="none" w:sz="0" w:space="0" w:color="auto"/>
      </w:divBdr>
      <w:divsChild>
        <w:div w:id="970673363">
          <w:marLeft w:val="0"/>
          <w:marRight w:val="0"/>
          <w:marTop w:val="0"/>
          <w:marBottom w:val="0"/>
          <w:divBdr>
            <w:top w:val="none" w:sz="0" w:space="0" w:color="auto"/>
            <w:left w:val="none" w:sz="0" w:space="0" w:color="auto"/>
            <w:bottom w:val="none" w:sz="0" w:space="0" w:color="auto"/>
            <w:right w:val="none" w:sz="0" w:space="0" w:color="auto"/>
          </w:divBdr>
          <w:divsChild>
            <w:div w:id="79779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643708">
      <w:bodyDiv w:val="1"/>
      <w:marLeft w:val="0"/>
      <w:marRight w:val="0"/>
      <w:marTop w:val="0"/>
      <w:marBottom w:val="0"/>
      <w:divBdr>
        <w:top w:val="none" w:sz="0" w:space="0" w:color="auto"/>
        <w:left w:val="none" w:sz="0" w:space="0" w:color="auto"/>
        <w:bottom w:val="none" w:sz="0" w:space="0" w:color="auto"/>
        <w:right w:val="none" w:sz="0" w:space="0" w:color="auto"/>
      </w:divBdr>
    </w:div>
    <w:div w:id="1425036332">
      <w:bodyDiv w:val="1"/>
      <w:marLeft w:val="0"/>
      <w:marRight w:val="0"/>
      <w:marTop w:val="0"/>
      <w:marBottom w:val="0"/>
      <w:divBdr>
        <w:top w:val="none" w:sz="0" w:space="0" w:color="auto"/>
        <w:left w:val="none" w:sz="0" w:space="0" w:color="auto"/>
        <w:bottom w:val="none" w:sz="0" w:space="0" w:color="auto"/>
        <w:right w:val="none" w:sz="0" w:space="0" w:color="auto"/>
      </w:divBdr>
    </w:div>
    <w:div w:id="1441338116">
      <w:bodyDiv w:val="1"/>
      <w:marLeft w:val="0"/>
      <w:marRight w:val="0"/>
      <w:marTop w:val="0"/>
      <w:marBottom w:val="0"/>
      <w:divBdr>
        <w:top w:val="none" w:sz="0" w:space="0" w:color="auto"/>
        <w:left w:val="none" w:sz="0" w:space="0" w:color="auto"/>
        <w:bottom w:val="none" w:sz="0" w:space="0" w:color="auto"/>
        <w:right w:val="none" w:sz="0" w:space="0" w:color="auto"/>
      </w:divBdr>
      <w:divsChild>
        <w:div w:id="1597857484">
          <w:marLeft w:val="0"/>
          <w:marRight w:val="0"/>
          <w:marTop w:val="0"/>
          <w:marBottom w:val="0"/>
          <w:divBdr>
            <w:top w:val="none" w:sz="0" w:space="0" w:color="auto"/>
            <w:left w:val="none" w:sz="0" w:space="0" w:color="auto"/>
            <w:bottom w:val="none" w:sz="0" w:space="0" w:color="auto"/>
            <w:right w:val="none" w:sz="0" w:space="0" w:color="auto"/>
          </w:divBdr>
        </w:div>
      </w:divsChild>
    </w:div>
    <w:div w:id="1470856771">
      <w:bodyDiv w:val="1"/>
      <w:marLeft w:val="0"/>
      <w:marRight w:val="0"/>
      <w:marTop w:val="0"/>
      <w:marBottom w:val="0"/>
      <w:divBdr>
        <w:top w:val="none" w:sz="0" w:space="0" w:color="auto"/>
        <w:left w:val="none" w:sz="0" w:space="0" w:color="auto"/>
        <w:bottom w:val="none" w:sz="0" w:space="0" w:color="auto"/>
        <w:right w:val="none" w:sz="0" w:space="0" w:color="auto"/>
      </w:divBdr>
    </w:div>
    <w:div w:id="1474785272">
      <w:bodyDiv w:val="1"/>
      <w:marLeft w:val="0"/>
      <w:marRight w:val="0"/>
      <w:marTop w:val="0"/>
      <w:marBottom w:val="0"/>
      <w:divBdr>
        <w:top w:val="none" w:sz="0" w:space="0" w:color="auto"/>
        <w:left w:val="none" w:sz="0" w:space="0" w:color="auto"/>
        <w:bottom w:val="none" w:sz="0" w:space="0" w:color="auto"/>
        <w:right w:val="none" w:sz="0" w:space="0" w:color="auto"/>
      </w:divBdr>
    </w:div>
    <w:div w:id="1487673544">
      <w:bodyDiv w:val="1"/>
      <w:marLeft w:val="0"/>
      <w:marRight w:val="0"/>
      <w:marTop w:val="0"/>
      <w:marBottom w:val="0"/>
      <w:divBdr>
        <w:top w:val="none" w:sz="0" w:space="0" w:color="auto"/>
        <w:left w:val="none" w:sz="0" w:space="0" w:color="auto"/>
        <w:bottom w:val="none" w:sz="0" w:space="0" w:color="auto"/>
        <w:right w:val="none" w:sz="0" w:space="0" w:color="auto"/>
      </w:divBdr>
    </w:div>
    <w:div w:id="1501040730">
      <w:bodyDiv w:val="1"/>
      <w:marLeft w:val="0"/>
      <w:marRight w:val="0"/>
      <w:marTop w:val="0"/>
      <w:marBottom w:val="0"/>
      <w:divBdr>
        <w:top w:val="none" w:sz="0" w:space="0" w:color="auto"/>
        <w:left w:val="none" w:sz="0" w:space="0" w:color="auto"/>
        <w:bottom w:val="none" w:sz="0" w:space="0" w:color="auto"/>
        <w:right w:val="none" w:sz="0" w:space="0" w:color="auto"/>
      </w:divBdr>
    </w:div>
    <w:div w:id="1504777015">
      <w:bodyDiv w:val="1"/>
      <w:marLeft w:val="0"/>
      <w:marRight w:val="0"/>
      <w:marTop w:val="0"/>
      <w:marBottom w:val="0"/>
      <w:divBdr>
        <w:top w:val="none" w:sz="0" w:space="0" w:color="auto"/>
        <w:left w:val="none" w:sz="0" w:space="0" w:color="auto"/>
        <w:bottom w:val="none" w:sz="0" w:space="0" w:color="auto"/>
        <w:right w:val="none" w:sz="0" w:space="0" w:color="auto"/>
      </w:divBdr>
    </w:div>
    <w:div w:id="1507403729">
      <w:bodyDiv w:val="1"/>
      <w:marLeft w:val="0"/>
      <w:marRight w:val="0"/>
      <w:marTop w:val="0"/>
      <w:marBottom w:val="0"/>
      <w:divBdr>
        <w:top w:val="none" w:sz="0" w:space="0" w:color="auto"/>
        <w:left w:val="none" w:sz="0" w:space="0" w:color="auto"/>
        <w:bottom w:val="none" w:sz="0" w:space="0" w:color="auto"/>
        <w:right w:val="none" w:sz="0" w:space="0" w:color="auto"/>
      </w:divBdr>
    </w:div>
    <w:div w:id="1508859420">
      <w:bodyDiv w:val="1"/>
      <w:marLeft w:val="0"/>
      <w:marRight w:val="0"/>
      <w:marTop w:val="0"/>
      <w:marBottom w:val="0"/>
      <w:divBdr>
        <w:top w:val="none" w:sz="0" w:space="0" w:color="auto"/>
        <w:left w:val="none" w:sz="0" w:space="0" w:color="auto"/>
        <w:bottom w:val="none" w:sz="0" w:space="0" w:color="auto"/>
        <w:right w:val="none" w:sz="0" w:space="0" w:color="auto"/>
      </w:divBdr>
    </w:div>
    <w:div w:id="1511875415">
      <w:bodyDiv w:val="1"/>
      <w:marLeft w:val="0"/>
      <w:marRight w:val="0"/>
      <w:marTop w:val="0"/>
      <w:marBottom w:val="0"/>
      <w:divBdr>
        <w:top w:val="none" w:sz="0" w:space="0" w:color="auto"/>
        <w:left w:val="none" w:sz="0" w:space="0" w:color="auto"/>
        <w:bottom w:val="none" w:sz="0" w:space="0" w:color="auto"/>
        <w:right w:val="none" w:sz="0" w:space="0" w:color="auto"/>
      </w:divBdr>
    </w:div>
    <w:div w:id="1512256126">
      <w:bodyDiv w:val="1"/>
      <w:marLeft w:val="0"/>
      <w:marRight w:val="0"/>
      <w:marTop w:val="0"/>
      <w:marBottom w:val="0"/>
      <w:divBdr>
        <w:top w:val="none" w:sz="0" w:space="0" w:color="auto"/>
        <w:left w:val="none" w:sz="0" w:space="0" w:color="auto"/>
        <w:bottom w:val="none" w:sz="0" w:space="0" w:color="auto"/>
        <w:right w:val="none" w:sz="0" w:space="0" w:color="auto"/>
      </w:divBdr>
    </w:div>
    <w:div w:id="1512798851">
      <w:bodyDiv w:val="1"/>
      <w:marLeft w:val="0"/>
      <w:marRight w:val="0"/>
      <w:marTop w:val="0"/>
      <w:marBottom w:val="0"/>
      <w:divBdr>
        <w:top w:val="none" w:sz="0" w:space="0" w:color="auto"/>
        <w:left w:val="none" w:sz="0" w:space="0" w:color="auto"/>
        <w:bottom w:val="none" w:sz="0" w:space="0" w:color="auto"/>
        <w:right w:val="none" w:sz="0" w:space="0" w:color="auto"/>
      </w:divBdr>
    </w:div>
    <w:div w:id="1519781703">
      <w:bodyDiv w:val="1"/>
      <w:marLeft w:val="0"/>
      <w:marRight w:val="0"/>
      <w:marTop w:val="0"/>
      <w:marBottom w:val="0"/>
      <w:divBdr>
        <w:top w:val="none" w:sz="0" w:space="0" w:color="auto"/>
        <w:left w:val="none" w:sz="0" w:space="0" w:color="auto"/>
        <w:bottom w:val="none" w:sz="0" w:space="0" w:color="auto"/>
        <w:right w:val="none" w:sz="0" w:space="0" w:color="auto"/>
      </w:divBdr>
    </w:div>
    <w:div w:id="1542548371">
      <w:bodyDiv w:val="1"/>
      <w:marLeft w:val="0"/>
      <w:marRight w:val="0"/>
      <w:marTop w:val="0"/>
      <w:marBottom w:val="0"/>
      <w:divBdr>
        <w:top w:val="none" w:sz="0" w:space="0" w:color="auto"/>
        <w:left w:val="none" w:sz="0" w:space="0" w:color="auto"/>
        <w:bottom w:val="none" w:sz="0" w:space="0" w:color="auto"/>
        <w:right w:val="none" w:sz="0" w:space="0" w:color="auto"/>
      </w:divBdr>
      <w:divsChild>
        <w:div w:id="725764847">
          <w:marLeft w:val="0"/>
          <w:marRight w:val="0"/>
          <w:marTop w:val="0"/>
          <w:marBottom w:val="0"/>
          <w:divBdr>
            <w:top w:val="none" w:sz="0" w:space="0" w:color="auto"/>
            <w:left w:val="none" w:sz="0" w:space="0" w:color="auto"/>
            <w:bottom w:val="none" w:sz="0" w:space="0" w:color="auto"/>
            <w:right w:val="none" w:sz="0" w:space="0" w:color="auto"/>
          </w:divBdr>
          <w:divsChild>
            <w:div w:id="86116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951160">
      <w:bodyDiv w:val="1"/>
      <w:marLeft w:val="0"/>
      <w:marRight w:val="0"/>
      <w:marTop w:val="0"/>
      <w:marBottom w:val="0"/>
      <w:divBdr>
        <w:top w:val="none" w:sz="0" w:space="0" w:color="auto"/>
        <w:left w:val="none" w:sz="0" w:space="0" w:color="auto"/>
        <w:bottom w:val="none" w:sz="0" w:space="0" w:color="auto"/>
        <w:right w:val="none" w:sz="0" w:space="0" w:color="auto"/>
      </w:divBdr>
    </w:div>
    <w:div w:id="1550074120">
      <w:bodyDiv w:val="1"/>
      <w:marLeft w:val="0"/>
      <w:marRight w:val="0"/>
      <w:marTop w:val="0"/>
      <w:marBottom w:val="0"/>
      <w:divBdr>
        <w:top w:val="none" w:sz="0" w:space="0" w:color="auto"/>
        <w:left w:val="none" w:sz="0" w:space="0" w:color="auto"/>
        <w:bottom w:val="none" w:sz="0" w:space="0" w:color="auto"/>
        <w:right w:val="none" w:sz="0" w:space="0" w:color="auto"/>
      </w:divBdr>
    </w:div>
    <w:div w:id="1552885940">
      <w:bodyDiv w:val="1"/>
      <w:marLeft w:val="0"/>
      <w:marRight w:val="0"/>
      <w:marTop w:val="0"/>
      <w:marBottom w:val="0"/>
      <w:divBdr>
        <w:top w:val="none" w:sz="0" w:space="0" w:color="auto"/>
        <w:left w:val="none" w:sz="0" w:space="0" w:color="auto"/>
        <w:bottom w:val="none" w:sz="0" w:space="0" w:color="auto"/>
        <w:right w:val="none" w:sz="0" w:space="0" w:color="auto"/>
      </w:divBdr>
    </w:div>
    <w:div w:id="1557425791">
      <w:bodyDiv w:val="1"/>
      <w:marLeft w:val="0"/>
      <w:marRight w:val="0"/>
      <w:marTop w:val="0"/>
      <w:marBottom w:val="0"/>
      <w:divBdr>
        <w:top w:val="none" w:sz="0" w:space="0" w:color="auto"/>
        <w:left w:val="none" w:sz="0" w:space="0" w:color="auto"/>
        <w:bottom w:val="none" w:sz="0" w:space="0" w:color="auto"/>
        <w:right w:val="none" w:sz="0" w:space="0" w:color="auto"/>
      </w:divBdr>
    </w:div>
    <w:div w:id="1558400014">
      <w:bodyDiv w:val="1"/>
      <w:marLeft w:val="0"/>
      <w:marRight w:val="0"/>
      <w:marTop w:val="0"/>
      <w:marBottom w:val="0"/>
      <w:divBdr>
        <w:top w:val="none" w:sz="0" w:space="0" w:color="auto"/>
        <w:left w:val="none" w:sz="0" w:space="0" w:color="auto"/>
        <w:bottom w:val="none" w:sz="0" w:space="0" w:color="auto"/>
        <w:right w:val="none" w:sz="0" w:space="0" w:color="auto"/>
      </w:divBdr>
    </w:div>
    <w:div w:id="1558739818">
      <w:bodyDiv w:val="1"/>
      <w:marLeft w:val="0"/>
      <w:marRight w:val="0"/>
      <w:marTop w:val="0"/>
      <w:marBottom w:val="0"/>
      <w:divBdr>
        <w:top w:val="none" w:sz="0" w:space="0" w:color="auto"/>
        <w:left w:val="none" w:sz="0" w:space="0" w:color="auto"/>
        <w:bottom w:val="none" w:sz="0" w:space="0" w:color="auto"/>
        <w:right w:val="none" w:sz="0" w:space="0" w:color="auto"/>
      </w:divBdr>
    </w:div>
    <w:div w:id="1577739850">
      <w:bodyDiv w:val="1"/>
      <w:marLeft w:val="0"/>
      <w:marRight w:val="0"/>
      <w:marTop w:val="0"/>
      <w:marBottom w:val="0"/>
      <w:divBdr>
        <w:top w:val="none" w:sz="0" w:space="0" w:color="auto"/>
        <w:left w:val="none" w:sz="0" w:space="0" w:color="auto"/>
        <w:bottom w:val="none" w:sz="0" w:space="0" w:color="auto"/>
        <w:right w:val="none" w:sz="0" w:space="0" w:color="auto"/>
      </w:divBdr>
    </w:div>
    <w:div w:id="1581252692">
      <w:bodyDiv w:val="1"/>
      <w:marLeft w:val="0"/>
      <w:marRight w:val="0"/>
      <w:marTop w:val="0"/>
      <w:marBottom w:val="0"/>
      <w:divBdr>
        <w:top w:val="none" w:sz="0" w:space="0" w:color="auto"/>
        <w:left w:val="none" w:sz="0" w:space="0" w:color="auto"/>
        <w:bottom w:val="none" w:sz="0" w:space="0" w:color="auto"/>
        <w:right w:val="none" w:sz="0" w:space="0" w:color="auto"/>
      </w:divBdr>
    </w:div>
    <w:div w:id="1582451933">
      <w:bodyDiv w:val="1"/>
      <w:marLeft w:val="0"/>
      <w:marRight w:val="0"/>
      <w:marTop w:val="0"/>
      <w:marBottom w:val="0"/>
      <w:divBdr>
        <w:top w:val="none" w:sz="0" w:space="0" w:color="auto"/>
        <w:left w:val="none" w:sz="0" w:space="0" w:color="auto"/>
        <w:bottom w:val="none" w:sz="0" w:space="0" w:color="auto"/>
        <w:right w:val="none" w:sz="0" w:space="0" w:color="auto"/>
      </w:divBdr>
      <w:divsChild>
        <w:div w:id="941181843">
          <w:marLeft w:val="0"/>
          <w:marRight w:val="0"/>
          <w:marTop w:val="0"/>
          <w:marBottom w:val="0"/>
          <w:divBdr>
            <w:top w:val="none" w:sz="0" w:space="0" w:color="auto"/>
            <w:left w:val="none" w:sz="0" w:space="0" w:color="auto"/>
            <w:bottom w:val="none" w:sz="0" w:space="0" w:color="auto"/>
            <w:right w:val="none" w:sz="0" w:space="0" w:color="auto"/>
          </w:divBdr>
        </w:div>
      </w:divsChild>
    </w:div>
    <w:div w:id="1584335780">
      <w:bodyDiv w:val="1"/>
      <w:marLeft w:val="0"/>
      <w:marRight w:val="0"/>
      <w:marTop w:val="0"/>
      <w:marBottom w:val="0"/>
      <w:divBdr>
        <w:top w:val="none" w:sz="0" w:space="0" w:color="auto"/>
        <w:left w:val="none" w:sz="0" w:space="0" w:color="auto"/>
        <w:bottom w:val="none" w:sz="0" w:space="0" w:color="auto"/>
        <w:right w:val="none" w:sz="0" w:space="0" w:color="auto"/>
      </w:divBdr>
    </w:div>
    <w:div w:id="1585457089">
      <w:bodyDiv w:val="1"/>
      <w:marLeft w:val="0"/>
      <w:marRight w:val="0"/>
      <w:marTop w:val="0"/>
      <w:marBottom w:val="0"/>
      <w:divBdr>
        <w:top w:val="none" w:sz="0" w:space="0" w:color="auto"/>
        <w:left w:val="none" w:sz="0" w:space="0" w:color="auto"/>
        <w:bottom w:val="none" w:sz="0" w:space="0" w:color="auto"/>
        <w:right w:val="none" w:sz="0" w:space="0" w:color="auto"/>
      </w:divBdr>
    </w:div>
    <w:div w:id="1611088639">
      <w:bodyDiv w:val="1"/>
      <w:marLeft w:val="0"/>
      <w:marRight w:val="0"/>
      <w:marTop w:val="0"/>
      <w:marBottom w:val="0"/>
      <w:divBdr>
        <w:top w:val="none" w:sz="0" w:space="0" w:color="auto"/>
        <w:left w:val="none" w:sz="0" w:space="0" w:color="auto"/>
        <w:bottom w:val="none" w:sz="0" w:space="0" w:color="auto"/>
        <w:right w:val="none" w:sz="0" w:space="0" w:color="auto"/>
      </w:divBdr>
    </w:div>
    <w:div w:id="1613705732">
      <w:bodyDiv w:val="1"/>
      <w:marLeft w:val="0"/>
      <w:marRight w:val="0"/>
      <w:marTop w:val="0"/>
      <w:marBottom w:val="0"/>
      <w:divBdr>
        <w:top w:val="none" w:sz="0" w:space="0" w:color="auto"/>
        <w:left w:val="none" w:sz="0" w:space="0" w:color="auto"/>
        <w:bottom w:val="none" w:sz="0" w:space="0" w:color="auto"/>
        <w:right w:val="none" w:sz="0" w:space="0" w:color="auto"/>
      </w:divBdr>
    </w:div>
    <w:div w:id="1638296761">
      <w:bodyDiv w:val="1"/>
      <w:marLeft w:val="0"/>
      <w:marRight w:val="0"/>
      <w:marTop w:val="0"/>
      <w:marBottom w:val="0"/>
      <w:divBdr>
        <w:top w:val="none" w:sz="0" w:space="0" w:color="auto"/>
        <w:left w:val="none" w:sz="0" w:space="0" w:color="auto"/>
        <w:bottom w:val="none" w:sz="0" w:space="0" w:color="auto"/>
        <w:right w:val="none" w:sz="0" w:space="0" w:color="auto"/>
      </w:divBdr>
    </w:div>
    <w:div w:id="1646154111">
      <w:bodyDiv w:val="1"/>
      <w:marLeft w:val="0"/>
      <w:marRight w:val="0"/>
      <w:marTop w:val="0"/>
      <w:marBottom w:val="0"/>
      <w:divBdr>
        <w:top w:val="none" w:sz="0" w:space="0" w:color="auto"/>
        <w:left w:val="none" w:sz="0" w:space="0" w:color="auto"/>
        <w:bottom w:val="none" w:sz="0" w:space="0" w:color="auto"/>
        <w:right w:val="none" w:sz="0" w:space="0" w:color="auto"/>
      </w:divBdr>
    </w:div>
    <w:div w:id="1649623917">
      <w:bodyDiv w:val="1"/>
      <w:marLeft w:val="0"/>
      <w:marRight w:val="0"/>
      <w:marTop w:val="0"/>
      <w:marBottom w:val="0"/>
      <w:divBdr>
        <w:top w:val="none" w:sz="0" w:space="0" w:color="auto"/>
        <w:left w:val="none" w:sz="0" w:space="0" w:color="auto"/>
        <w:bottom w:val="none" w:sz="0" w:space="0" w:color="auto"/>
        <w:right w:val="none" w:sz="0" w:space="0" w:color="auto"/>
      </w:divBdr>
    </w:div>
    <w:div w:id="1653555370">
      <w:bodyDiv w:val="1"/>
      <w:marLeft w:val="0"/>
      <w:marRight w:val="0"/>
      <w:marTop w:val="0"/>
      <w:marBottom w:val="0"/>
      <w:divBdr>
        <w:top w:val="none" w:sz="0" w:space="0" w:color="auto"/>
        <w:left w:val="none" w:sz="0" w:space="0" w:color="auto"/>
        <w:bottom w:val="none" w:sz="0" w:space="0" w:color="auto"/>
        <w:right w:val="none" w:sz="0" w:space="0" w:color="auto"/>
      </w:divBdr>
    </w:div>
    <w:div w:id="1658536855">
      <w:bodyDiv w:val="1"/>
      <w:marLeft w:val="0"/>
      <w:marRight w:val="0"/>
      <w:marTop w:val="0"/>
      <w:marBottom w:val="0"/>
      <w:divBdr>
        <w:top w:val="none" w:sz="0" w:space="0" w:color="auto"/>
        <w:left w:val="none" w:sz="0" w:space="0" w:color="auto"/>
        <w:bottom w:val="none" w:sz="0" w:space="0" w:color="auto"/>
        <w:right w:val="none" w:sz="0" w:space="0" w:color="auto"/>
      </w:divBdr>
    </w:div>
    <w:div w:id="1663924428">
      <w:bodyDiv w:val="1"/>
      <w:marLeft w:val="0"/>
      <w:marRight w:val="0"/>
      <w:marTop w:val="0"/>
      <w:marBottom w:val="0"/>
      <w:divBdr>
        <w:top w:val="none" w:sz="0" w:space="0" w:color="auto"/>
        <w:left w:val="none" w:sz="0" w:space="0" w:color="auto"/>
        <w:bottom w:val="none" w:sz="0" w:space="0" w:color="auto"/>
        <w:right w:val="none" w:sz="0" w:space="0" w:color="auto"/>
      </w:divBdr>
      <w:divsChild>
        <w:div w:id="1969166023">
          <w:marLeft w:val="0"/>
          <w:marRight w:val="0"/>
          <w:marTop w:val="0"/>
          <w:marBottom w:val="0"/>
          <w:divBdr>
            <w:top w:val="none" w:sz="0" w:space="0" w:color="auto"/>
            <w:left w:val="none" w:sz="0" w:space="0" w:color="auto"/>
            <w:bottom w:val="none" w:sz="0" w:space="0" w:color="auto"/>
            <w:right w:val="none" w:sz="0" w:space="0" w:color="auto"/>
          </w:divBdr>
        </w:div>
      </w:divsChild>
    </w:div>
    <w:div w:id="1665474029">
      <w:bodyDiv w:val="1"/>
      <w:marLeft w:val="0"/>
      <w:marRight w:val="0"/>
      <w:marTop w:val="0"/>
      <w:marBottom w:val="0"/>
      <w:divBdr>
        <w:top w:val="none" w:sz="0" w:space="0" w:color="auto"/>
        <w:left w:val="none" w:sz="0" w:space="0" w:color="auto"/>
        <w:bottom w:val="none" w:sz="0" w:space="0" w:color="auto"/>
        <w:right w:val="none" w:sz="0" w:space="0" w:color="auto"/>
      </w:divBdr>
    </w:div>
    <w:div w:id="1677686464">
      <w:bodyDiv w:val="1"/>
      <w:marLeft w:val="0"/>
      <w:marRight w:val="0"/>
      <w:marTop w:val="0"/>
      <w:marBottom w:val="0"/>
      <w:divBdr>
        <w:top w:val="none" w:sz="0" w:space="0" w:color="auto"/>
        <w:left w:val="none" w:sz="0" w:space="0" w:color="auto"/>
        <w:bottom w:val="none" w:sz="0" w:space="0" w:color="auto"/>
        <w:right w:val="none" w:sz="0" w:space="0" w:color="auto"/>
      </w:divBdr>
    </w:div>
    <w:div w:id="1683582154">
      <w:bodyDiv w:val="1"/>
      <w:marLeft w:val="0"/>
      <w:marRight w:val="0"/>
      <w:marTop w:val="0"/>
      <w:marBottom w:val="0"/>
      <w:divBdr>
        <w:top w:val="none" w:sz="0" w:space="0" w:color="auto"/>
        <w:left w:val="none" w:sz="0" w:space="0" w:color="auto"/>
        <w:bottom w:val="none" w:sz="0" w:space="0" w:color="auto"/>
        <w:right w:val="none" w:sz="0" w:space="0" w:color="auto"/>
      </w:divBdr>
    </w:div>
    <w:div w:id="1690181284">
      <w:bodyDiv w:val="1"/>
      <w:marLeft w:val="0"/>
      <w:marRight w:val="0"/>
      <w:marTop w:val="0"/>
      <w:marBottom w:val="0"/>
      <w:divBdr>
        <w:top w:val="none" w:sz="0" w:space="0" w:color="auto"/>
        <w:left w:val="none" w:sz="0" w:space="0" w:color="auto"/>
        <w:bottom w:val="none" w:sz="0" w:space="0" w:color="auto"/>
        <w:right w:val="none" w:sz="0" w:space="0" w:color="auto"/>
      </w:divBdr>
    </w:div>
    <w:div w:id="1690837099">
      <w:bodyDiv w:val="1"/>
      <w:marLeft w:val="0"/>
      <w:marRight w:val="0"/>
      <w:marTop w:val="0"/>
      <w:marBottom w:val="0"/>
      <w:divBdr>
        <w:top w:val="none" w:sz="0" w:space="0" w:color="auto"/>
        <w:left w:val="none" w:sz="0" w:space="0" w:color="auto"/>
        <w:bottom w:val="none" w:sz="0" w:space="0" w:color="auto"/>
        <w:right w:val="none" w:sz="0" w:space="0" w:color="auto"/>
      </w:divBdr>
    </w:div>
    <w:div w:id="1691224900">
      <w:bodyDiv w:val="1"/>
      <w:marLeft w:val="0"/>
      <w:marRight w:val="0"/>
      <w:marTop w:val="0"/>
      <w:marBottom w:val="0"/>
      <w:divBdr>
        <w:top w:val="none" w:sz="0" w:space="0" w:color="auto"/>
        <w:left w:val="none" w:sz="0" w:space="0" w:color="auto"/>
        <w:bottom w:val="none" w:sz="0" w:space="0" w:color="auto"/>
        <w:right w:val="none" w:sz="0" w:space="0" w:color="auto"/>
      </w:divBdr>
    </w:div>
    <w:div w:id="1699625502">
      <w:bodyDiv w:val="1"/>
      <w:marLeft w:val="0"/>
      <w:marRight w:val="0"/>
      <w:marTop w:val="0"/>
      <w:marBottom w:val="0"/>
      <w:divBdr>
        <w:top w:val="none" w:sz="0" w:space="0" w:color="auto"/>
        <w:left w:val="none" w:sz="0" w:space="0" w:color="auto"/>
        <w:bottom w:val="none" w:sz="0" w:space="0" w:color="auto"/>
        <w:right w:val="none" w:sz="0" w:space="0" w:color="auto"/>
      </w:divBdr>
    </w:div>
    <w:div w:id="1701935412">
      <w:bodyDiv w:val="1"/>
      <w:marLeft w:val="0"/>
      <w:marRight w:val="0"/>
      <w:marTop w:val="0"/>
      <w:marBottom w:val="0"/>
      <w:divBdr>
        <w:top w:val="none" w:sz="0" w:space="0" w:color="auto"/>
        <w:left w:val="none" w:sz="0" w:space="0" w:color="auto"/>
        <w:bottom w:val="none" w:sz="0" w:space="0" w:color="auto"/>
        <w:right w:val="none" w:sz="0" w:space="0" w:color="auto"/>
      </w:divBdr>
    </w:div>
    <w:div w:id="1702314124">
      <w:bodyDiv w:val="1"/>
      <w:marLeft w:val="0"/>
      <w:marRight w:val="0"/>
      <w:marTop w:val="0"/>
      <w:marBottom w:val="0"/>
      <w:divBdr>
        <w:top w:val="none" w:sz="0" w:space="0" w:color="auto"/>
        <w:left w:val="none" w:sz="0" w:space="0" w:color="auto"/>
        <w:bottom w:val="none" w:sz="0" w:space="0" w:color="auto"/>
        <w:right w:val="none" w:sz="0" w:space="0" w:color="auto"/>
      </w:divBdr>
    </w:div>
    <w:div w:id="1706832559">
      <w:bodyDiv w:val="1"/>
      <w:marLeft w:val="0"/>
      <w:marRight w:val="0"/>
      <w:marTop w:val="0"/>
      <w:marBottom w:val="0"/>
      <w:divBdr>
        <w:top w:val="none" w:sz="0" w:space="0" w:color="auto"/>
        <w:left w:val="none" w:sz="0" w:space="0" w:color="auto"/>
        <w:bottom w:val="none" w:sz="0" w:space="0" w:color="auto"/>
        <w:right w:val="none" w:sz="0" w:space="0" w:color="auto"/>
      </w:divBdr>
    </w:div>
    <w:div w:id="1708215703">
      <w:bodyDiv w:val="1"/>
      <w:marLeft w:val="0"/>
      <w:marRight w:val="0"/>
      <w:marTop w:val="0"/>
      <w:marBottom w:val="0"/>
      <w:divBdr>
        <w:top w:val="none" w:sz="0" w:space="0" w:color="auto"/>
        <w:left w:val="none" w:sz="0" w:space="0" w:color="auto"/>
        <w:bottom w:val="none" w:sz="0" w:space="0" w:color="auto"/>
        <w:right w:val="none" w:sz="0" w:space="0" w:color="auto"/>
      </w:divBdr>
    </w:div>
    <w:div w:id="1714573993">
      <w:bodyDiv w:val="1"/>
      <w:marLeft w:val="0"/>
      <w:marRight w:val="0"/>
      <w:marTop w:val="0"/>
      <w:marBottom w:val="0"/>
      <w:divBdr>
        <w:top w:val="none" w:sz="0" w:space="0" w:color="auto"/>
        <w:left w:val="none" w:sz="0" w:space="0" w:color="auto"/>
        <w:bottom w:val="none" w:sz="0" w:space="0" w:color="auto"/>
        <w:right w:val="none" w:sz="0" w:space="0" w:color="auto"/>
      </w:divBdr>
    </w:div>
    <w:div w:id="1720662677">
      <w:bodyDiv w:val="1"/>
      <w:marLeft w:val="0"/>
      <w:marRight w:val="0"/>
      <w:marTop w:val="0"/>
      <w:marBottom w:val="0"/>
      <w:divBdr>
        <w:top w:val="none" w:sz="0" w:space="0" w:color="auto"/>
        <w:left w:val="none" w:sz="0" w:space="0" w:color="auto"/>
        <w:bottom w:val="none" w:sz="0" w:space="0" w:color="auto"/>
        <w:right w:val="none" w:sz="0" w:space="0" w:color="auto"/>
      </w:divBdr>
    </w:div>
    <w:div w:id="1724712502">
      <w:bodyDiv w:val="1"/>
      <w:marLeft w:val="0"/>
      <w:marRight w:val="0"/>
      <w:marTop w:val="0"/>
      <w:marBottom w:val="0"/>
      <w:divBdr>
        <w:top w:val="none" w:sz="0" w:space="0" w:color="auto"/>
        <w:left w:val="none" w:sz="0" w:space="0" w:color="auto"/>
        <w:bottom w:val="none" w:sz="0" w:space="0" w:color="auto"/>
        <w:right w:val="none" w:sz="0" w:space="0" w:color="auto"/>
      </w:divBdr>
    </w:div>
    <w:div w:id="1726291807">
      <w:bodyDiv w:val="1"/>
      <w:marLeft w:val="0"/>
      <w:marRight w:val="0"/>
      <w:marTop w:val="0"/>
      <w:marBottom w:val="0"/>
      <w:divBdr>
        <w:top w:val="none" w:sz="0" w:space="0" w:color="auto"/>
        <w:left w:val="none" w:sz="0" w:space="0" w:color="auto"/>
        <w:bottom w:val="none" w:sz="0" w:space="0" w:color="auto"/>
        <w:right w:val="none" w:sz="0" w:space="0" w:color="auto"/>
      </w:divBdr>
    </w:div>
    <w:div w:id="1727142598">
      <w:bodyDiv w:val="1"/>
      <w:marLeft w:val="0"/>
      <w:marRight w:val="0"/>
      <w:marTop w:val="0"/>
      <w:marBottom w:val="0"/>
      <w:divBdr>
        <w:top w:val="none" w:sz="0" w:space="0" w:color="auto"/>
        <w:left w:val="none" w:sz="0" w:space="0" w:color="auto"/>
        <w:bottom w:val="none" w:sz="0" w:space="0" w:color="auto"/>
        <w:right w:val="none" w:sz="0" w:space="0" w:color="auto"/>
      </w:divBdr>
    </w:div>
    <w:div w:id="1733458695">
      <w:bodyDiv w:val="1"/>
      <w:marLeft w:val="0"/>
      <w:marRight w:val="0"/>
      <w:marTop w:val="0"/>
      <w:marBottom w:val="0"/>
      <w:divBdr>
        <w:top w:val="none" w:sz="0" w:space="0" w:color="auto"/>
        <w:left w:val="none" w:sz="0" w:space="0" w:color="auto"/>
        <w:bottom w:val="none" w:sz="0" w:space="0" w:color="auto"/>
        <w:right w:val="none" w:sz="0" w:space="0" w:color="auto"/>
      </w:divBdr>
    </w:div>
    <w:div w:id="1757824738">
      <w:bodyDiv w:val="1"/>
      <w:marLeft w:val="0"/>
      <w:marRight w:val="0"/>
      <w:marTop w:val="0"/>
      <w:marBottom w:val="0"/>
      <w:divBdr>
        <w:top w:val="none" w:sz="0" w:space="0" w:color="auto"/>
        <w:left w:val="none" w:sz="0" w:space="0" w:color="auto"/>
        <w:bottom w:val="none" w:sz="0" w:space="0" w:color="auto"/>
        <w:right w:val="none" w:sz="0" w:space="0" w:color="auto"/>
      </w:divBdr>
    </w:div>
    <w:div w:id="1767575994">
      <w:bodyDiv w:val="1"/>
      <w:marLeft w:val="0"/>
      <w:marRight w:val="0"/>
      <w:marTop w:val="0"/>
      <w:marBottom w:val="0"/>
      <w:divBdr>
        <w:top w:val="none" w:sz="0" w:space="0" w:color="auto"/>
        <w:left w:val="none" w:sz="0" w:space="0" w:color="auto"/>
        <w:bottom w:val="none" w:sz="0" w:space="0" w:color="auto"/>
        <w:right w:val="none" w:sz="0" w:space="0" w:color="auto"/>
      </w:divBdr>
    </w:div>
    <w:div w:id="1773477212">
      <w:bodyDiv w:val="1"/>
      <w:marLeft w:val="0"/>
      <w:marRight w:val="0"/>
      <w:marTop w:val="0"/>
      <w:marBottom w:val="0"/>
      <w:divBdr>
        <w:top w:val="none" w:sz="0" w:space="0" w:color="auto"/>
        <w:left w:val="none" w:sz="0" w:space="0" w:color="auto"/>
        <w:bottom w:val="none" w:sz="0" w:space="0" w:color="auto"/>
        <w:right w:val="none" w:sz="0" w:space="0" w:color="auto"/>
      </w:divBdr>
    </w:div>
    <w:div w:id="1775438750">
      <w:bodyDiv w:val="1"/>
      <w:marLeft w:val="0"/>
      <w:marRight w:val="0"/>
      <w:marTop w:val="0"/>
      <w:marBottom w:val="0"/>
      <w:divBdr>
        <w:top w:val="none" w:sz="0" w:space="0" w:color="auto"/>
        <w:left w:val="none" w:sz="0" w:space="0" w:color="auto"/>
        <w:bottom w:val="none" w:sz="0" w:space="0" w:color="auto"/>
        <w:right w:val="none" w:sz="0" w:space="0" w:color="auto"/>
      </w:divBdr>
    </w:div>
    <w:div w:id="1784881790">
      <w:bodyDiv w:val="1"/>
      <w:marLeft w:val="0"/>
      <w:marRight w:val="0"/>
      <w:marTop w:val="0"/>
      <w:marBottom w:val="0"/>
      <w:divBdr>
        <w:top w:val="none" w:sz="0" w:space="0" w:color="auto"/>
        <w:left w:val="none" w:sz="0" w:space="0" w:color="auto"/>
        <w:bottom w:val="none" w:sz="0" w:space="0" w:color="auto"/>
        <w:right w:val="none" w:sz="0" w:space="0" w:color="auto"/>
      </w:divBdr>
    </w:div>
    <w:div w:id="1801024715">
      <w:bodyDiv w:val="1"/>
      <w:marLeft w:val="0"/>
      <w:marRight w:val="0"/>
      <w:marTop w:val="0"/>
      <w:marBottom w:val="0"/>
      <w:divBdr>
        <w:top w:val="none" w:sz="0" w:space="0" w:color="auto"/>
        <w:left w:val="none" w:sz="0" w:space="0" w:color="auto"/>
        <w:bottom w:val="none" w:sz="0" w:space="0" w:color="auto"/>
        <w:right w:val="none" w:sz="0" w:space="0" w:color="auto"/>
      </w:divBdr>
    </w:div>
    <w:div w:id="1806240954">
      <w:bodyDiv w:val="1"/>
      <w:marLeft w:val="0"/>
      <w:marRight w:val="0"/>
      <w:marTop w:val="0"/>
      <w:marBottom w:val="0"/>
      <w:divBdr>
        <w:top w:val="none" w:sz="0" w:space="0" w:color="auto"/>
        <w:left w:val="none" w:sz="0" w:space="0" w:color="auto"/>
        <w:bottom w:val="none" w:sz="0" w:space="0" w:color="auto"/>
        <w:right w:val="none" w:sz="0" w:space="0" w:color="auto"/>
      </w:divBdr>
    </w:div>
    <w:div w:id="1840540099">
      <w:bodyDiv w:val="1"/>
      <w:marLeft w:val="0"/>
      <w:marRight w:val="0"/>
      <w:marTop w:val="0"/>
      <w:marBottom w:val="0"/>
      <w:divBdr>
        <w:top w:val="none" w:sz="0" w:space="0" w:color="auto"/>
        <w:left w:val="none" w:sz="0" w:space="0" w:color="auto"/>
        <w:bottom w:val="none" w:sz="0" w:space="0" w:color="auto"/>
        <w:right w:val="none" w:sz="0" w:space="0" w:color="auto"/>
      </w:divBdr>
    </w:div>
    <w:div w:id="1853644505">
      <w:bodyDiv w:val="1"/>
      <w:marLeft w:val="0"/>
      <w:marRight w:val="0"/>
      <w:marTop w:val="0"/>
      <w:marBottom w:val="0"/>
      <w:divBdr>
        <w:top w:val="none" w:sz="0" w:space="0" w:color="auto"/>
        <w:left w:val="none" w:sz="0" w:space="0" w:color="auto"/>
        <w:bottom w:val="none" w:sz="0" w:space="0" w:color="auto"/>
        <w:right w:val="none" w:sz="0" w:space="0" w:color="auto"/>
      </w:divBdr>
    </w:div>
    <w:div w:id="1854146129">
      <w:bodyDiv w:val="1"/>
      <w:marLeft w:val="0"/>
      <w:marRight w:val="0"/>
      <w:marTop w:val="0"/>
      <w:marBottom w:val="0"/>
      <w:divBdr>
        <w:top w:val="none" w:sz="0" w:space="0" w:color="auto"/>
        <w:left w:val="none" w:sz="0" w:space="0" w:color="auto"/>
        <w:bottom w:val="none" w:sz="0" w:space="0" w:color="auto"/>
        <w:right w:val="none" w:sz="0" w:space="0" w:color="auto"/>
      </w:divBdr>
    </w:div>
    <w:div w:id="1860779956">
      <w:bodyDiv w:val="1"/>
      <w:marLeft w:val="0"/>
      <w:marRight w:val="0"/>
      <w:marTop w:val="0"/>
      <w:marBottom w:val="0"/>
      <w:divBdr>
        <w:top w:val="none" w:sz="0" w:space="0" w:color="auto"/>
        <w:left w:val="none" w:sz="0" w:space="0" w:color="auto"/>
        <w:bottom w:val="none" w:sz="0" w:space="0" w:color="auto"/>
        <w:right w:val="none" w:sz="0" w:space="0" w:color="auto"/>
      </w:divBdr>
    </w:div>
    <w:div w:id="1863089406">
      <w:bodyDiv w:val="1"/>
      <w:marLeft w:val="0"/>
      <w:marRight w:val="0"/>
      <w:marTop w:val="0"/>
      <w:marBottom w:val="0"/>
      <w:divBdr>
        <w:top w:val="none" w:sz="0" w:space="0" w:color="auto"/>
        <w:left w:val="none" w:sz="0" w:space="0" w:color="auto"/>
        <w:bottom w:val="none" w:sz="0" w:space="0" w:color="auto"/>
        <w:right w:val="none" w:sz="0" w:space="0" w:color="auto"/>
      </w:divBdr>
    </w:div>
    <w:div w:id="1863979903">
      <w:bodyDiv w:val="1"/>
      <w:marLeft w:val="0"/>
      <w:marRight w:val="0"/>
      <w:marTop w:val="0"/>
      <w:marBottom w:val="0"/>
      <w:divBdr>
        <w:top w:val="none" w:sz="0" w:space="0" w:color="auto"/>
        <w:left w:val="none" w:sz="0" w:space="0" w:color="auto"/>
        <w:bottom w:val="none" w:sz="0" w:space="0" w:color="auto"/>
        <w:right w:val="none" w:sz="0" w:space="0" w:color="auto"/>
      </w:divBdr>
    </w:div>
    <w:div w:id="1884901317">
      <w:bodyDiv w:val="1"/>
      <w:marLeft w:val="0"/>
      <w:marRight w:val="0"/>
      <w:marTop w:val="0"/>
      <w:marBottom w:val="0"/>
      <w:divBdr>
        <w:top w:val="none" w:sz="0" w:space="0" w:color="auto"/>
        <w:left w:val="none" w:sz="0" w:space="0" w:color="auto"/>
        <w:bottom w:val="none" w:sz="0" w:space="0" w:color="auto"/>
        <w:right w:val="none" w:sz="0" w:space="0" w:color="auto"/>
      </w:divBdr>
    </w:div>
    <w:div w:id="1901553230">
      <w:bodyDiv w:val="1"/>
      <w:marLeft w:val="0"/>
      <w:marRight w:val="0"/>
      <w:marTop w:val="0"/>
      <w:marBottom w:val="0"/>
      <w:divBdr>
        <w:top w:val="none" w:sz="0" w:space="0" w:color="auto"/>
        <w:left w:val="none" w:sz="0" w:space="0" w:color="auto"/>
        <w:bottom w:val="none" w:sz="0" w:space="0" w:color="auto"/>
        <w:right w:val="none" w:sz="0" w:space="0" w:color="auto"/>
      </w:divBdr>
    </w:div>
    <w:div w:id="1928803916">
      <w:bodyDiv w:val="1"/>
      <w:marLeft w:val="0"/>
      <w:marRight w:val="0"/>
      <w:marTop w:val="0"/>
      <w:marBottom w:val="0"/>
      <w:divBdr>
        <w:top w:val="none" w:sz="0" w:space="0" w:color="auto"/>
        <w:left w:val="none" w:sz="0" w:space="0" w:color="auto"/>
        <w:bottom w:val="none" w:sz="0" w:space="0" w:color="auto"/>
        <w:right w:val="none" w:sz="0" w:space="0" w:color="auto"/>
      </w:divBdr>
    </w:div>
    <w:div w:id="1928808473">
      <w:bodyDiv w:val="1"/>
      <w:marLeft w:val="0"/>
      <w:marRight w:val="0"/>
      <w:marTop w:val="0"/>
      <w:marBottom w:val="0"/>
      <w:divBdr>
        <w:top w:val="none" w:sz="0" w:space="0" w:color="auto"/>
        <w:left w:val="none" w:sz="0" w:space="0" w:color="auto"/>
        <w:bottom w:val="none" w:sz="0" w:space="0" w:color="auto"/>
        <w:right w:val="none" w:sz="0" w:space="0" w:color="auto"/>
      </w:divBdr>
    </w:div>
    <w:div w:id="1935548552">
      <w:bodyDiv w:val="1"/>
      <w:marLeft w:val="0"/>
      <w:marRight w:val="0"/>
      <w:marTop w:val="0"/>
      <w:marBottom w:val="0"/>
      <w:divBdr>
        <w:top w:val="none" w:sz="0" w:space="0" w:color="auto"/>
        <w:left w:val="none" w:sz="0" w:space="0" w:color="auto"/>
        <w:bottom w:val="none" w:sz="0" w:space="0" w:color="auto"/>
        <w:right w:val="none" w:sz="0" w:space="0" w:color="auto"/>
      </w:divBdr>
    </w:div>
    <w:div w:id="1940597315">
      <w:bodyDiv w:val="1"/>
      <w:marLeft w:val="0"/>
      <w:marRight w:val="0"/>
      <w:marTop w:val="0"/>
      <w:marBottom w:val="0"/>
      <w:divBdr>
        <w:top w:val="none" w:sz="0" w:space="0" w:color="auto"/>
        <w:left w:val="none" w:sz="0" w:space="0" w:color="auto"/>
        <w:bottom w:val="none" w:sz="0" w:space="0" w:color="auto"/>
        <w:right w:val="none" w:sz="0" w:space="0" w:color="auto"/>
      </w:divBdr>
    </w:div>
    <w:div w:id="1942254094">
      <w:bodyDiv w:val="1"/>
      <w:marLeft w:val="0"/>
      <w:marRight w:val="0"/>
      <w:marTop w:val="0"/>
      <w:marBottom w:val="0"/>
      <w:divBdr>
        <w:top w:val="none" w:sz="0" w:space="0" w:color="auto"/>
        <w:left w:val="none" w:sz="0" w:space="0" w:color="auto"/>
        <w:bottom w:val="none" w:sz="0" w:space="0" w:color="auto"/>
        <w:right w:val="none" w:sz="0" w:space="0" w:color="auto"/>
      </w:divBdr>
    </w:div>
    <w:div w:id="1943102153">
      <w:bodyDiv w:val="1"/>
      <w:marLeft w:val="0"/>
      <w:marRight w:val="0"/>
      <w:marTop w:val="0"/>
      <w:marBottom w:val="0"/>
      <w:divBdr>
        <w:top w:val="none" w:sz="0" w:space="0" w:color="auto"/>
        <w:left w:val="none" w:sz="0" w:space="0" w:color="auto"/>
        <w:bottom w:val="none" w:sz="0" w:space="0" w:color="auto"/>
        <w:right w:val="none" w:sz="0" w:space="0" w:color="auto"/>
      </w:divBdr>
    </w:div>
    <w:div w:id="1951349223">
      <w:bodyDiv w:val="1"/>
      <w:marLeft w:val="0"/>
      <w:marRight w:val="0"/>
      <w:marTop w:val="0"/>
      <w:marBottom w:val="0"/>
      <w:divBdr>
        <w:top w:val="none" w:sz="0" w:space="0" w:color="auto"/>
        <w:left w:val="none" w:sz="0" w:space="0" w:color="auto"/>
        <w:bottom w:val="none" w:sz="0" w:space="0" w:color="auto"/>
        <w:right w:val="none" w:sz="0" w:space="0" w:color="auto"/>
      </w:divBdr>
      <w:divsChild>
        <w:div w:id="847184549">
          <w:marLeft w:val="0"/>
          <w:marRight w:val="0"/>
          <w:marTop w:val="0"/>
          <w:marBottom w:val="0"/>
          <w:divBdr>
            <w:top w:val="none" w:sz="0" w:space="0" w:color="auto"/>
            <w:left w:val="none" w:sz="0" w:space="0" w:color="auto"/>
            <w:bottom w:val="none" w:sz="0" w:space="0" w:color="auto"/>
            <w:right w:val="none" w:sz="0" w:space="0" w:color="auto"/>
          </w:divBdr>
        </w:div>
      </w:divsChild>
    </w:div>
    <w:div w:id="1963878675">
      <w:bodyDiv w:val="1"/>
      <w:marLeft w:val="0"/>
      <w:marRight w:val="0"/>
      <w:marTop w:val="0"/>
      <w:marBottom w:val="0"/>
      <w:divBdr>
        <w:top w:val="none" w:sz="0" w:space="0" w:color="auto"/>
        <w:left w:val="none" w:sz="0" w:space="0" w:color="auto"/>
        <w:bottom w:val="none" w:sz="0" w:space="0" w:color="auto"/>
        <w:right w:val="none" w:sz="0" w:space="0" w:color="auto"/>
      </w:divBdr>
    </w:div>
    <w:div w:id="1966352776">
      <w:bodyDiv w:val="1"/>
      <w:marLeft w:val="0"/>
      <w:marRight w:val="0"/>
      <w:marTop w:val="0"/>
      <w:marBottom w:val="0"/>
      <w:divBdr>
        <w:top w:val="none" w:sz="0" w:space="0" w:color="auto"/>
        <w:left w:val="none" w:sz="0" w:space="0" w:color="auto"/>
        <w:bottom w:val="none" w:sz="0" w:space="0" w:color="auto"/>
        <w:right w:val="none" w:sz="0" w:space="0" w:color="auto"/>
      </w:divBdr>
    </w:div>
    <w:div w:id="1980259632">
      <w:bodyDiv w:val="1"/>
      <w:marLeft w:val="0"/>
      <w:marRight w:val="0"/>
      <w:marTop w:val="0"/>
      <w:marBottom w:val="0"/>
      <w:divBdr>
        <w:top w:val="none" w:sz="0" w:space="0" w:color="auto"/>
        <w:left w:val="none" w:sz="0" w:space="0" w:color="auto"/>
        <w:bottom w:val="none" w:sz="0" w:space="0" w:color="auto"/>
        <w:right w:val="none" w:sz="0" w:space="0" w:color="auto"/>
      </w:divBdr>
    </w:div>
    <w:div w:id="1980962570">
      <w:bodyDiv w:val="1"/>
      <w:marLeft w:val="0"/>
      <w:marRight w:val="0"/>
      <w:marTop w:val="0"/>
      <w:marBottom w:val="0"/>
      <w:divBdr>
        <w:top w:val="none" w:sz="0" w:space="0" w:color="auto"/>
        <w:left w:val="none" w:sz="0" w:space="0" w:color="auto"/>
        <w:bottom w:val="none" w:sz="0" w:space="0" w:color="auto"/>
        <w:right w:val="none" w:sz="0" w:space="0" w:color="auto"/>
      </w:divBdr>
    </w:div>
    <w:div w:id="1991981317">
      <w:bodyDiv w:val="1"/>
      <w:marLeft w:val="0"/>
      <w:marRight w:val="0"/>
      <w:marTop w:val="0"/>
      <w:marBottom w:val="0"/>
      <w:divBdr>
        <w:top w:val="none" w:sz="0" w:space="0" w:color="auto"/>
        <w:left w:val="none" w:sz="0" w:space="0" w:color="auto"/>
        <w:bottom w:val="none" w:sz="0" w:space="0" w:color="auto"/>
        <w:right w:val="none" w:sz="0" w:space="0" w:color="auto"/>
      </w:divBdr>
    </w:div>
    <w:div w:id="1994791114">
      <w:bodyDiv w:val="1"/>
      <w:marLeft w:val="0"/>
      <w:marRight w:val="0"/>
      <w:marTop w:val="0"/>
      <w:marBottom w:val="0"/>
      <w:divBdr>
        <w:top w:val="none" w:sz="0" w:space="0" w:color="auto"/>
        <w:left w:val="none" w:sz="0" w:space="0" w:color="auto"/>
        <w:bottom w:val="none" w:sz="0" w:space="0" w:color="auto"/>
        <w:right w:val="none" w:sz="0" w:space="0" w:color="auto"/>
      </w:divBdr>
    </w:div>
    <w:div w:id="1995143588">
      <w:bodyDiv w:val="1"/>
      <w:marLeft w:val="0"/>
      <w:marRight w:val="0"/>
      <w:marTop w:val="0"/>
      <w:marBottom w:val="0"/>
      <w:divBdr>
        <w:top w:val="none" w:sz="0" w:space="0" w:color="auto"/>
        <w:left w:val="none" w:sz="0" w:space="0" w:color="auto"/>
        <w:bottom w:val="none" w:sz="0" w:space="0" w:color="auto"/>
        <w:right w:val="none" w:sz="0" w:space="0" w:color="auto"/>
      </w:divBdr>
    </w:div>
    <w:div w:id="1995529165">
      <w:bodyDiv w:val="1"/>
      <w:marLeft w:val="0"/>
      <w:marRight w:val="0"/>
      <w:marTop w:val="0"/>
      <w:marBottom w:val="0"/>
      <w:divBdr>
        <w:top w:val="none" w:sz="0" w:space="0" w:color="auto"/>
        <w:left w:val="none" w:sz="0" w:space="0" w:color="auto"/>
        <w:bottom w:val="none" w:sz="0" w:space="0" w:color="auto"/>
        <w:right w:val="none" w:sz="0" w:space="0" w:color="auto"/>
      </w:divBdr>
    </w:div>
    <w:div w:id="1998222037">
      <w:bodyDiv w:val="1"/>
      <w:marLeft w:val="0"/>
      <w:marRight w:val="0"/>
      <w:marTop w:val="0"/>
      <w:marBottom w:val="0"/>
      <w:divBdr>
        <w:top w:val="none" w:sz="0" w:space="0" w:color="auto"/>
        <w:left w:val="none" w:sz="0" w:space="0" w:color="auto"/>
        <w:bottom w:val="none" w:sz="0" w:space="0" w:color="auto"/>
        <w:right w:val="none" w:sz="0" w:space="0" w:color="auto"/>
      </w:divBdr>
    </w:div>
    <w:div w:id="2003509165">
      <w:bodyDiv w:val="1"/>
      <w:marLeft w:val="0"/>
      <w:marRight w:val="0"/>
      <w:marTop w:val="0"/>
      <w:marBottom w:val="0"/>
      <w:divBdr>
        <w:top w:val="none" w:sz="0" w:space="0" w:color="auto"/>
        <w:left w:val="none" w:sz="0" w:space="0" w:color="auto"/>
        <w:bottom w:val="none" w:sz="0" w:space="0" w:color="auto"/>
        <w:right w:val="none" w:sz="0" w:space="0" w:color="auto"/>
      </w:divBdr>
    </w:div>
    <w:div w:id="2003661087">
      <w:bodyDiv w:val="1"/>
      <w:marLeft w:val="0"/>
      <w:marRight w:val="0"/>
      <w:marTop w:val="0"/>
      <w:marBottom w:val="0"/>
      <w:divBdr>
        <w:top w:val="none" w:sz="0" w:space="0" w:color="auto"/>
        <w:left w:val="none" w:sz="0" w:space="0" w:color="auto"/>
        <w:bottom w:val="none" w:sz="0" w:space="0" w:color="auto"/>
        <w:right w:val="none" w:sz="0" w:space="0" w:color="auto"/>
      </w:divBdr>
    </w:div>
    <w:div w:id="2006855205">
      <w:bodyDiv w:val="1"/>
      <w:marLeft w:val="0"/>
      <w:marRight w:val="0"/>
      <w:marTop w:val="0"/>
      <w:marBottom w:val="0"/>
      <w:divBdr>
        <w:top w:val="none" w:sz="0" w:space="0" w:color="auto"/>
        <w:left w:val="none" w:sz="0" w:space="0" w:color="auto"/>
        <w:bottom w:val="none" w:sz="0" w:space="0" w:color="auto"/>
        <w:right w:val="none" w:sz="0" w:space="0" w:color="auto"/>
      </w:divBdr>
    </w:div>
    <w:div w:id="2009210692">
      <w:bodyDiv w:val="1"/>
      <w:marLeft w:val="0"/>
      <w:marRight w:val="0"/>
      <w:marTop w:val="0"/>
      <w:marBottom w:val="0"/>
      <w:divBdr>
        <w:top w:val="none" w:sz="0" w:space="0" w:color="auto"/>
        <w:left w:val="none" w:sz="0" w:space="0" w:color="auto"/>
        <w:bottom w:val="none" w:sz="0" w:space="0" w:color="auto"/>
        <w:right w:val="none" w:sz="0" w:space="0" w:color="auto"/>
      </w:divBdr>
    </w:div>
    <w:div w:id="2014262758">
      <w:bodyDiv w:val="1"/>
      <w:marLeft w:val="0"/>
      <w:marRight w:val="0"/>
      <w:marTop w:val="0"/>
      <w:marBottom w:val="0"/>
      <w:divBdr>
        <w:top w:val="none" w:sz="0" w:space="0" w:color="auto"/>
        <w:left w:val="none" w:sz="0" w:space="0" w:color="auto"/>
        <w:bottom w:val="none" w:sz="0" w:space="0" w:color="auto"/>
        <w:right w:val="none" w:sz="0" w:space="0" w:color="auto"/>
      </w:divBdr>
    </w:div>
    <w:div w:id="2021618438">
      <w:bodyDiv w:val="1"/>
      <w:marLeft w:val="0"/>
      <w:marRight w:val="0"/>
      <w:marTop w:val="0"/>
      <w:marBottom w:val="0"/>
      <w:divBdr>
        <w:top w:val="none" w:sz="0" w:space="0" w:color="auto"/>
        <w:left w:val="none" w:sz="0" w:space="0" w:color="auto"/>
        <w:bottom w:val="none" w:sz="0" w:space="0" w:color="auto"/>
        <w:right w:val="none" w:sz="0" w:space="0" w:color="auto"/>
      </w:divBdr>
    </w:div>
    <w:div w:id="2027558648">
      <w:bodyDiv w:val="1"/>
      <w:marLeft w:val="0"/>
      <w:marRight w:val="0"/>
      <w:marTop w:val="0"/>
      <w:marBottom w:val="0"/>
      <w:divBdr>
        <w:top w:val="none" w:sz="0" w:space="0" w:color="auto"/>
        <w:left w:val="none" w:sz="0" w:space="0" w:color="auto"/>
        <w:bottom w:val="none" w:sz="0" w:space="0" w:color="auto"/>
        <w:right w:val="none" w:sz="0" w:space="0" w:color="auto"/>
      </w:divBdr>
    </w:div>
    <w:div w:id="2031563451">
      <w:bodyDiv w:val="1"/>
      <w:marLeft w:val="0"/>
      <w:marRight w:val="0"/>
      <w:marTop w:val="0"/>
      <w:marBottom w:val="0"/>
      <w:divBdr>
        <w:top w:val="none" w:sz="0" w:space="0" w:color="auto"/>
        <w:left w:val="none" w:sz="0" w:space="0" w:color="auto"/>
        <w:bottom w:val="none" w:sz="0" w:space="0" w:color="auto"/>
        <w:right w:val="none" w:sz="0" w:space="0" w:color="auto"/>
      </w:divBdr>
    </w:div>
    <w:div w:id="2035499858">
      <w:bodyDiv w:val="1"/>
      <w:marLeft w:val="0"/>
      <w:marRight w:val="0"/>
      <w:marTop w:val="0"/>
      <w:marBottom w:val="0"/>
      <w:divBdr>
        <w:top w:val="none" w:sz="0" w:space="0" w:color="auto"/>
        <w:left w:val="none" w:sz="0" w:space="0" w:color="auto"/>
        <w:bottom w:val="none" w:sz="0" w:space="0" w:color="auto"/>
        <w:right w:val="none" w:sz="0" w:space="0" w:color="auto"/>
      </w:divBdr>
    </w:div>
    <w:div w:id="2047831967">
      <w:bodyDiv w:val="1"/>
      <w:marLeft w:val="0"/>
      <w:marRight w:val="0"/>
      <w:marTop w:val="0"/>
      <w:marBottom w:val="0"/>
      <w:divBdr>
        <w:top w:val="none" w:sz="0" w:space="0" w:color="auto"/>
        <w:left w:val="none" w:sz="0" w:space="0" w:color="auto"/>
        <w:bottom w:val="none" w:sz="0" w:space="0" w:color="auto"/>
        <w:right w:val="none" w:sz="0" w:space="0" w:color="auto"/>
      </w:divBdr>
    </w:div>
    <w:div w:id="2055226149">
      <w:bodyDiv w:val="1"/>
      <w:marLeft w:val="0"/>
      <w:marRight w:val="0"/>
      <w:marTop w:val="0"/>
      <w:marBottom w:val="0"/>
      <w:divBdr>
        <w:top w:val="none" w:sz="0" w:space="0" w:color="auto"/>
        <w:left w:val="none" w:sz="0" w:space="0" w:color="auto"/>
        <w:bottom w:val="none" w:sz="0" w:space="0" w:color="auto"/>
        <w:right w:val="none" w:sz="0" w:space="0" w:color="auto"/>
      </w:divBdr>
    </w:div>
    <w:div w:id="2056469257">
      <w:bodyDiv w:val="1"/>
      <w:marLeft w:val="0"/>
      <w:marRight w:val="0"/>
      <w:marTop w:val="0"/>
      <w:marBottom w:val="0"/>
      <w:divBdr>
        <w:top w:val="none" w:sz="0" w:space="0" w:color="auto"/>
        <w:left w:val="none" w:sz="0" w:space="0" w:color="auto"/>
        <w:bottom w:val="none" w:sz="0" w:space="0" w:color="auto"/>
        <w:right w:val="none" w:sz="0" w:space="0" w:color="auto"/>
      </w:divBdr>
    </w:div>
    <w:div w:id="2057773682">
      <w:bodyDiv w:val="1"/>
      <w:marLeft w:val="0"/>
      <w:marRight w:val="0"/>
      <w:marTop w:val="0"/>
      <w:marBottom w:val="0"/>
      <w:divBdr>
        <w:top w:val="none" w:sz="0" w:space="0" w:color="auto"/>
        <w:left w:val="none" w:sz="0" w:space="0" w:color="auto"/>
        <w:bottom w:val="none" w:sz="0" w:space="0" w:color="auto"/>
        <w:right w:val="none" w:sz="0" w:space="0" w:color="auto"/>
      </w:divBdr>
    </w:div>
    <w:div w:id="2060736587">
      <w:bodyDiv w:val="1"/>
      <w:marLeft w:val="0"/>
      <w:marRight w:val="0"/>
      <w:marTop w:val="0"/>
      <w:marBottom w:val="0"/>
      <w:divBdr>
        <w:top w:val="none" w:sz="0" w:space="0" w:color="auto"/>
        <w:left w:val="none" w:sz="0" w:space="0" w:color="auto"/>
        <w:bottom w:val="none" w:sz="0" w:space="0" w:color="auto"/>
        <w:right w:val="none" w:sz="0" w:space="0" w:color="auto"/>
      </w:divBdr>
    </w:div>
    <w:div w:id="2060738308">
      <w:bodyDiv w:val="1"/>
      <w:marLeft w:val="0"/>
      <w:marRight w:val="0"/>
      <w:marTop w:val="0"/>
      <w:marBottom w:val="0"/>
      <w:divBdr>
        <w:top w:val="none" w:sz="0" w:space="0" w:color="auto"/>
        <w:left w:val="none" w:sz="0" w:space="0" w:color="auto"/>
        <w:bottom w:val="none" w:sz="0" w:space="0" w:color="auto"/>
        <w:right w:val="none" w:sz="0" w:space="0" w:color="auto"/>
      </w:divBdr>
    </w:div>
    <w:div w:id="2065329073">
      <w:bodyDiv w:val="1"/>
      <w:marLeft w:val="0"/>
      <w:marRight w:val="0"/>
      <w:marTop w:val="0"/>
      <w:marBottom w:val="0"/>
      <w:divBdr>
        <w:top w:val="none" w:sz="0" w:space="0" w:color="auto"/>
        <w:left w:val="none" w:sz="0" w:space="0" w:color="auto"/>
        <w:bottom w:val="none" w:sz="0" w:space="0" w:color="auto"/>
        <w:right w:val="none" w:sz="0" w:space="0" w:color="auto"/>
      </w:divBdr>
    </w:div>
    <w:div w:id="2069258346">
      <w:bodyDiv w:val="1"/>
      <w:marLeft w:val="0"/>
      <w:marRight w:val="0"/>
      <w:marTop w:val="0"/>
      <w:marBottom w:val="0"/>
      <w:divBdr>
        <w:top w:val="none" w:sz="0" w:space="0" w:color="auto"/>
        <w:left w:val="none" w:sz="0" w:space="0" w:color="auto"/>
        <w:bottom w:val="none" w:sz="0" w:space="0" w:color="auto"/>
        <w:right w:val="none" w:sz="0" w:space="0" w:color="auto"/>
      </w:divBdr>
    </w:div>
    <w:div w:id="2075468444">
      <w:bodyDiv w:val="1"/>
      <w:marLeft w:val="0"/>
      <w:marRight w:val="0"/>
      <w:marTop w:val="0"/>
      <w:marBottom w:val="0"/>
      <w:divBdr>
        <w:top w:val="none" w:sz="0" w:space="0" w:color="auto"/>
        <w:left w:val="none" w:sz="0" w:space="0" w:color="auto"/>
        <w:bottom w:val="none" w:sz="0" w:space="0" w:color="auto"/>
        <w:right w:val="none" w:sz="0" w:space="0" w:color="auto"/>
      </w:divBdr>
    </w:div>
    <w:div w:id="2079090852">
      <w:bodyDiv w:val="1"/>
      <w:marLeft w:val="0"/>
      <w:marRight w:val="0"/>
      <w:marTop w:val="0"/>
      <w:marBottom w:val="0"/>
      <w:divBdr>
        <w:top w:val="none" w:sz="0" w:space="0" w:color="auto"/>
        <w:left w:val="none" w:sz="0" w:space="0" w:color="auto"/>
        <w:bottom w:val="none" w:sz="0" w:space="0" w:color="auto"/>
        <w:right w:val="none" w:sz="0" w:space="0" w:color="auto"/>
      </w:divBdr>
    </w:div>
    <w:div w:id="2084787881">
      <w:bodyDiv w:val="1"/>
      <w:marLeft w:val="0"/>
      <w:marRight w:val="0"/>
      <w:marTop w:val="0"/>
      <w:marBottom w:val="0"/>
      <w:divBdr>
        <w:top w:val="none" w:sz="0" w:space="0" w:color="auto"/>
        <w:left w:val="none" w:sz="0" w:space="0" w:color="auto"/>
        <w:bottom w:val="none" w:sz="0" w:space="0" w:color="auto"/>
        <w:right w:val="none" w:sz="0" w:space="0" w:color="auto"/>
      </w:divBdr>
    </w:div>
    <w:div w:id="2090617421">
      <w:bodyDiv w:val="1"/>
      <w:marLeft w:val="0"/>
      <w:marRight w:val="0"/>
      <w:marTop w:val="0"/>
      <w:marBottom w:val="0"/>
      <w:divBdr>
        <w:top w:val="none" w:sz="0" w:space="0" w:color="auto"/>
        <w:left w:val="none" w:sz="0" w:space="0" w:color="auto"/>
        <w:bottom w:val="none" w:sz="0" w:space="0" w:color="auto"/>
        <w:right w:val="none" w:sz="0" w:space="0" w:color="auto"/>
      </w:divBdr>
    </w:div>
    <w:div w:id="2113351208">
      <w:bodyDiv w:val="1"/>
      <w:marLeft w:val="0"/>
      <w:marRight w:val="0"/>
      <w:marTop w:val="0"/>
      <w:marBottom w:val="0"/>
      <w:divBdr>
        <w:top w:val="none" w:sz="0" w:space="0" w:color="auto"/>
        <w:left w:val="none" w:sz="0" w:space="0" w:color="auto"/>
        <w:bottom w:val="none" w:sz="0" w:space="0" w:color="auto"/>
        <w:right w:val="none" w:sz="0" w:space="0" w:color="auto"/>
      </w:divBdr>
    </w:div>
    <w:div w:id="2140948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coa\Downloads\template_relatorios_BE_ajuste_final%20(2).dotx" TargetMode="External"/></Relationships>
</file>

<file path=word/theme/theme1.xml><?xml version="1.0" encoding="utf-8"?>
<a:theme xmlns:a="http://schemas.openxmlformats.org/drawingml/2006/main" name="Tema do Office">
  <a:themeElements>
    <a:clrScheme name="BE palete final">
      <a:dk1>
        <a:srgbClr val="5C5C5C"/>
      </a:dk1>
      <a:lt1>
        <a:srgbClr val="FFFFFF"/>
      </a:lt1>
      <a:dk2>
        <a:srgbClr val="3C3C3C"/>
      </a:dk2>
      <a:lt2>
        <a:srgbClr val="D9D9D9"/>
      </a:lt2>
      <a:accent1>
        <a:srgbClr val="CD2F40"/>
      </a:accent1>
      <a:accent2>
        <a:srgbClr val="FFB100"/>
      </a:accent2>
      <a:accent3>
        <a:srgbClr val="429CC0"/>
      </a:accent3>
      <a:accent4>
        <a:srgbClr val="577C53"/>
      </a:accent4>
      <a:accent5>
        <a:srgbClr val="005E81"/>
      </a:accent5>
      <a:accent6>
        <a:srgbClr val="766C9F"/>
      </a:accent6>
      <a:hlink>
        <a:srgbClr val="0563C1"/>
      </a:hlink>
      <a:folHlink>
        <a:srgbClr val="D7B5C6"/>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template_relatorios_BE_ajuste_final (2).dotx</Template>
  <TotalTime>0</TotalTime>
  <Pages>12</Pages>
  <Words>2715</Words>
  <Characters>14662</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PBR Interpretation based on Frick et al. 2026 (BSH &amp; DGY)</vt:lpstr>
    </vt:vector>
  </TitlesOfParts>
  <Company/>
  <LinksUpToDate>false</LinksUpToDate>
  <CharactersWithSpaces>17343</CharactersWithSpaces>
  <SharedDoc>false</SharedDoc>
  <HLinks>
    <vt:vector size="96" baseType="variant">
      <vt:variant>
        <vt:i4>1638459</vt:i4>
      </vt:variant>
      <vt:variant>
        <vt:i4>92</vt:i4>
      </vt:variant>
      <vt:variant>
        <vt:i4>0</vt:i4>
      </vt:variant>
      <vt:variant>
        <vt:i4>5</vt:i4>
      </vt:variant>
      <vt:variant>
        <vt:lpwstr/>
      </vt:variant>
      <vt:variant>
        <vt:lpwstr>_Toc192497149</vt:lpwstr>
      </vt:variant>
      <vt:variant>
        <vt:i4>1638459</vt:i4>
      </vt:variant>
      <vt:variant>
        <vt:i4>86</vt:i4>
      </vt:variant>
      <vt:variant>
        <vt:i4>0</vt:i4>
      </vt:variant>
      <vt:variant>
        <vt:i4>5</vt:i4>
      </vt:variant>
      <vt:variant>
        <vt:lpwstr/>
      </vt:variant>
      <vt:variant>
        <vt:lpwstr>_Toc192497148</vt:lpwstr>
      </vt:variant>
      <vt:variant>
        <vt:i4>1638459</vt:i4>
      </vt:variant>
      <vt:variant>
        <vt:i4>80</vt:i4>
      </vt:variant>
      <vt:variant>
        <vt:i4>0</vt:i4>
      </vt:variant>
      <vt:variant>
        <vt:i4>5</vt:i4>
      </vt:variant>
      <vt:variant>
        <vt:lpwstr/>
      </vt:variant>
      <vt:variant>
        <vt:lpwstr>_Toc192497147</vt:lpwstr>
      </vt:variant>
      <vt:variant>
        <vt:i4>1638459</vt:i4>
      </vt:variant>
      <vt:variant>
        <vt:i4>74</vt:i4>
      </vt:variant>
      <vt:variant>
        <vt:i4>0</vt:i4>
      </vt:variant>
      <vt:variant>
        <vt:i4>5</vt:i4>
      </vt:variant>
      <vt:variant>
        <vt:lpwstr/>
      </vt:variant>
      <vt:variant>
        <vt:lpwstr>_Toc192497146</vt:lpwstr>
      </vt:variant>
      <vt:variant>
        <vt:i4>1638459</vt:i4>
      </vt:variant>
      <vt:variant>
        <vt:i4>68</vt:i4>
      </vt:variant>
      <vt:variant>
        <vt:i4>0</vt:i4>
      </vt:variant>
      <vt:variant>
        <vt:i4>5</vt:i4>
      </vt:variant>
      <vt:variant>
        <vt:lpwstr/>
      </vt:variant>
      <vt:variant>
        <vt:lpwstr>_Toc192497145</vt:lpwstr>
      </vt:variant>
      <vt:variant>
        <vt:i4>1638459</vt:i4>
      </vt:variant>
      <vt:variant>
        <vt:i4>62</vt:i4>
      </vt:variant>
      <vt:variant>
        <vt:i4>0</vt:i4>
      </vt:variant>
      <vt:variant>
        <vt:i4>5</vt:i4>
      </vt:variant>
      <vt:variant>
        <vt:lpwstr/>
      </vt:variant>
      <vt:variant>
        <vt:lpwstr>_Toc192497144</vt:lpwstr>
      </vt:variant>
      <vt:variant>
        <vt:i4>1638459</vt:i4>
      </vt:variant>
      <vt:variant>
        <vt:i4>56</vt:i4>
      </vt:variant>
      <vt:variant>
        <vt:i4>0</vt:i4>
      </vt:variant>
      <vt:variant>
        <vt:i4>5</vt:i4>
      </vt:variant>
      <vt:variant>
        <vt:lpwstr/>
      </vt:variant>
      <vt:variant>
        <vt:lpwstr>_Toc192497143</vt:lpwstr>
      </vt:variant>
      <vt:variant>
        <vt:i4>1638459</vt:i4>
      </vt:variant>
      <vt:variant>
        <vt:i4>50</vt:i4>
      </vt:variant>
      <vt:variant>
        <vt:i4>0</vt:i4>
      </vt:variant>
      <vt:variant>
        <vt:i4>5</vt:i4>
      </vt:variant>
      <vt:variant>
        <vt:lpwstr/>
      </vt:variant>
      <vt:variant>
        <vt:lpwstr>_Toc192497142</vt:lpwstr>
      </vt:variant>
      <vt:variant>
        <vt:i4>1638459</vt:i4>
      </vt:variant>
      <vt:variant>
        <vt:i4>44</vt:i4>
      </vt:variant>
      <vt:variant>
        <vt:i4>0</vt:i4>
      </vt:variant>
      <vt:variant>
        <vt:i4>5</vt:i4>
      </vt:variant>
      <vt:variant>
        <vt:lpwstr/>
      </vt:variant>
      <vt:variant>
        <vt:lpwstr>_Toc192497141</vt:lpwstr>
      </vt:variant>
      <vt:variant>
        <vt:i4>1638459</vt:i4>
      </vt:variant>
      <vt:variant>
        <vt:i4>38</vt:i4>
      </vt:variant>
      <vt:variant>
        <vt:i4>0</vt:i4>
      </vt:variant>
      <vt:variant>
        <vt:i4>5</vt:i4>
      </vt:variant>
      <vt:variant>
        <vt:lpwstr/>
      </vt:variant>
      <vt:variant>
        <vt:lpwstr>_Toc192497140</vt:lpwstr>
      </vt:variant>
      <vt:variant>
        <vt:i4>1966139</vt:i4>
      </vt:variant>
      <vt:variant>
        <vt:i4>32</vt:i4>
      </vt:variant>
      <vt:variant>
        <vt:i4>0</vt:i4>
      </vt:variant>
      <vt:variant>
        <vt:i4>5</vt:i4>
      </vt:variant>
      <vt:variant>
        <vt:lpwstr/>
      </vt:variant>
      <vt:variant>
        <vt:lpwstr>_Toc192497139</vt:lpwstr>
      </vt:variant>
      <vt:variant>
        <vt:i4>1966139</vt:i4>
      </vt:variant>
      <vt:variant>
        <vt:i4>26</vt:i4>
      </vt:variant>
      <vt:variant>
        <vt:i4>0</vt:i4>
      </vt:variant>
      <vt:variant>
        <vt:i4>5</vt:i4>
      </vt:variant>
      <vt:variant>
        <vt:lpwstr/>
      </vt:variant>
      <vt:variant>
        <vt:lpwstr>_Toc192497138</vt:lpwstr>
      </vt:variant>
      <vt:variant>
        <vt:i4>1966139</vt:i4>
      </vt:variant>
      <vt:variant>
        <vt:i4>20</vt:i4>
      </vt:variant>
      <vt:variant>
        <vt:i4>0</vt:i4>
      </vt:variant>
      <vt:variant>
        <vt:i4>5</vt:i4>
      </vt:variant>
      <vt:variant>
        <vt:lpwstr/>
      </vt:variant>
      <vt:variant>
        <vt:lpwstr>_Toc192497137</vt:lpwstr>
      </vt:variant>
      <vt:variant>
        <vt:i4>1966139</vt:i4>
      </vt:variant>
      <vt:variant>
        <vt:i4>14</vt:i4>
      </vt:variant>
      <vt:variant>
        <vt:i4>0</vt:i4>
      </vt:variant>
      <vt:variant>
        <vt:i4>5</vt:i4>
      </vt:variant>
      <vt:variant>
        <vt:lpwstr/>
      </vt:variant>
      <vt:variant>
        <vt:lpwstr>_Toc192497136</vt:lpwstr>
      </vt:variant>
      <vt:variant>
        <vt:i4>1966139</vt:i4>
      </vt:variant>
      <vt:variant>
        <vt:i4>8</vt:i4>
      </vt:variant>
      <vt:variant>
        <vt:i4>0</vt:i4>
      </vt:variant>
      <vt:variant>
        <vt:i4>5</vt:i4>
      </vt:variant>
      <vt:variant>
        <vt:lpwstr/>
      </vt:variant>
      <vt:variant>
        <vt:lpwstr>_Toc192497135</vt:lpwstr>
      </vt:variant>
      <vt:variant>
        <vt:i4>1966139</vt:i4>
      </vt:variant>
      <vt:variant>
        <vt:i4>2</vt:i4>
      </vt:variant>
      <vt:variant>
        <vt:i4>0</vt:i4>
      </vt:variant>
      <vt:variant>
        <vt:i4>5</vt:i4>
      </vt:variant>
      <vt:variant>
        <vt:lpwstr/>
      </vt:variant>
      <vt:variant>
        <vt:lpwstr>_Toc192497134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PBR Interpretation based on Frick et al. 2026 (BSH &amp; DGY)</dc:title>
  <dc:creator>Paulo Cardoso</dc:creator>
  <cp:keywords/>
  <cp:lastModifiedBy>Paulo Cardoso</cp:lastModifiedBy>
  <cp:revision>2</cp:revision>
  <dcterms:created xsi:type="dcterms:W3CDTF">2026-09-15T21:21:00Z</dcterms:created>
  <dcterms:modified xsi:type="dcterms:W3CDTF">2026-09-15T21:21:00Z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y fmtid="{D5CDD505-2E9C-101B-9397-08002B2CF9AE}" pid="4" name="GrammarlyDocumentId">
    <vt:lpwstr>dd9bdaba-4fe8-4992-8655-d78841ec7383</vt:lpwstr>
  </property>
</Properties>
</file>