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2.png" ContentType="image/png"/>
  <Override PartName="/word/media/rId35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PBR</w:t>
      </w:r>
      <w:r>
        <w:t xml:space="preserve"> </w:t>
      </w:r>
      <w:r>
        <w:t xml:space="preserve">Interpretation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Frick</w:t>
      </w:r>
      <w:r>
        <w:t xml:space="preserve"> </w:t>
      </w:r>
      <w:r>
        <w:t xml:space="preserve">et</w:t>
      </w:r>
      <w:r>
        <w:t xml:space="preserve"> </w:t>
      </w:r>
      <w:r>
        <w:t xml:space="preserve">al. 2026</w:t>
      </w:r>
    </w:p>
    <w:p>
      <w:pPr>
        <w:pStyle w:val="FirstParagraph"/>
      </w:pPr>
      <w:r>
        <w:t xml:space="preserve">Document history / List of changes.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of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Paulo Cardoso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Corrected recovery factor (Fr); reverse-engineered and plausibility-checked the local population estimate (Nmin); updated age-at-first-breeding range from a literature review; rebuilt the sensitivity, response-surface and Monte Carlo analyses on consistent, reproducible parameter ranges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Paulo Cardoso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20" w:name="context"/>
    <w:p>
      <w:pPr>
        <w:pStyle w:val="Heading1"/>
      </w:pPr>
      <w:r>
        <w:t xml:space="preserve">Context</w:t>
      </w:r>
    </w:p>
    <w:p>
      <w:pPr>
        <w:pStyle w:val="FirstParagraph"/>
      </w:pPr>
      <w:r>
        <w:t xml:space="preserve">This technical note reviews the Potential Biological Removal (PBR)</w:t>
      </w:r>
      <w:r>
        <w:t xml:space="preserve"> </w:t>
      </w:r>
      <w:r>
        <w:t xml:space="preserve">framework proposed by Frick et al. (2026) for bats at wind-energy</w:t>
      </w:r>
      <w:r>
        <w:t xml:space="preserve"> </w:t>
      </w:r>
      <w:r>
        <w:t xml:space="preserve">facilities, and applies it to the Parti-coloured bat (</w:t>
      </w:r>
      <w:r>
        <w:rPr>
          <w:iCs/>
          <w:i/>
        </w:rPr>
        <w:t xml:space="preserve">Vespertilio</w:t>
      </w:r>
      <w:r>
        <w:rPr>
          <w:iCs/>
          <w:i/>
        </w:rPr>
        <w:t xml:space="preserve"> </w:t>
      </w:r>
      <w:r>
        <w:rPr>
          <w:iCs/>
          <w:i/>
        </w:rPr>
        <w:t xml:space="preserve">murinus</w:t>
      </w:r>
      <w:r>
        <w:t xml:space="preserve">) fatality thresholds currently imposed at the BSH and DGY wind</w:t>
      </w:r>
      <w:r>
        <w:t xml:space="preserve"> </w:t>
      </w:r>
      <w:r>
        <w:t xml:space="preserve">farms (144 and 120 bats/year respectively). No documented derivation of</w:t>
      </w:r>
      <w:r>
        <w:t xml:space="preserve"> </w:t>
      </w:r>
      <w:r>
        <w:t xml:space="preserve">these two threshold values is available, and no independent local</w:t>
      </w:r>
      <w:r>
        <w:t xml:space="preserve"> </w:t>
      </w:r>
      <w:r>
        <w:t xml:space="preserve">population estimate for the species in this region exists or can</w:t>
      </w:r>
      <w:r>
        <w:t xml:space="preserve"> </w:t>
      </w:r>
      <w:r>
        <w:t xml:space="preserve">realistically be obtained. The note therefore works backwards from the</w:t>
      </w:r>
      <w:r>
        <w:t xml:space="preserve"> </w:t>
      </w:r>
      <w:r>
        <w:t xml:space="preserve">imposed thresholds to identify a parsimonious, checkable set of</w:t>
      </w:r>
      <w:r>
        <w:t xml:space="preserve"> </w:t>
      </w:r>
      <w:r>
        <w:t xml:space="preserve">assumptions consistent with them, and then tests how sensitive those</w:t>
      </w:r>
      <w:r>
        <w:t xml:space="preserve"> </w:t>
      </w:r>
      <w:r>
        <w:t xml:space="preserve">thresholds are to reasonable demographic uncertainty, rather than to the</w:t>
      </w:r>
      <w:r>
        <w:t xml:space="preserve"> </w:t>
      </w:r>
      <w:r>
        <w:t xml:space="preserve">single fixed parameter values the framework uses by default.</w:t>
      </w:r>
    </w:p>
    <w:bookmarkEnd w:id="20"/>
    <w:bookmarkStart w:id="40" w:name="pbr-threshold-uncertainty"/>
    <w:p>
      <w:pPr>
        <w:pStyle w:val="Heading1"/>
      </w:pPr>
      <w:r>
        <w:t xml:space="preserve">PBR Threshold Uncertainty</w:t>
      </w:r>
    </w:p>
    <w:bookmarkStart w:id="21" w:name="frick-et-al.-adjusted-pbr-framework"/>
    <w:p>
      <w:pPr>
        <w:pStyle w:val="Heading2"/>
      </w:pPr>
      <w:r>
        <w:t xml:space="preserve">Frick et al. adjusted PBR framework</w:t>
      </w:r>
    </w:p>
    <w:p>
      <w:pPr>
        <w:pStyle w:val="FirstParagraph"/>
      </w:pPr>
      <w:r>
        <w:t xml:space="preserve">The PBR framework presented by Frick and colleagues (Frick et al. 2026,</w:t>
      </w:r>
      <w:r>
        <w:t xml:space="preserve"> </w:t>
      </w:r>
      <w:r>
        <w:t xml:space="preserve">herein referred to as Frick) adapts the classical Potential Biological</w:t>
      </w:r>
      <w:r>
        <w:t xml:space="preserve"> </w:t>
      </w:r>
      <w:r>
        <w:t xml:space="preserve">Removal concept to bat mortality at wind-energy facilities. It retains the</w:t>
      </w:r>
      <w:r>
        <w:t xml:space="preserve"> </w:t>
      </w:r>
      <w:r>
        <w:t xml:space="preserve">precautionary structure of the original PBR formulation while addressing</w:t>
      </w:r>
      <w:r>
        <w:t xml:space="preserve"> </w:t>
      </w:r>
      <w:r>
        <w:t xml:space="preserve">known limitations of applying marine-mammal-derived PBR methods to volant</w:t>
      </w:r>
      <w:r>
        <w:t xml:space="preserve"> </w:t>
      </w:r>
      <w:r>
        <w:t xml:space="preserve">terrestrial taxa, particularly long-lived bat species characterised by low</w:t>
      </w:r>
      <w:r>
        <w:t xml:space="preserve"> </w:t>
      </w:r>
      <w:r>
        <w:t xml:space="preserve">fecundity, delayed maturity, and strong sensitivity to adult survival.</w:t>
      </w:r>
    </w:p>
    <w:p>
      <w:pPr>
        <w:pStyle w:val="BodyText"/>
      </w:pPr>
      <w:r>
        <w:t xml:space="preserve">Under the adjusted framework, PBR is expressed as: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B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R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F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N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the maximum annual population growth</w:t>
      </w:r>
      <w:r>
        <w:t xml:space="preserve"> </w:t>
      </w:r>
      <w:r>
        <w:t xml:space="preserve">rate,</w:t>
      </w:r>
      <w:r>
        <w:t xml:space="preserve"> </w:t>
      </w:r>
      <m:oMath>
        <m:sSub>
          <m:e>
            <m:r>
              <m:t>F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is a recovery factor linked to IUCN conservation status, and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is a conservative lower-bound estimate of local abundance.</w:t>
      </w:r>
    </w:p>
    <w:p>
      <w:pPr>
        <w:pStyle w:val="BodyText"/>
      </w:pPr>
      <w:r>
        <w:t xml:space="preserve">A key conceptual shift in the Frick proposal is the move from broad</w:t>
      </w:r>
      <w:r>
        <w:t xml:space="preserve"> </w:t>
      </w:r>
      <w:r>
        <w:t xml:space="preserve">regional or continental population framing towards a project-scale local</w:t>
      </w:r>
      <w:r>
        <w:t xml:space="preserve"> </w:t>
      </w:r>
      <w:r>
        <w:t xml:space="preserve">population proxy. Local abundance bounds (</w:t>
      </w:r>
      <m:oMath>
        <m:sSub>
          <m:e>
            <m:r>
              <m:t>N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U</m:t>
            </m:r>
          </m:sub>
        </m:sSub>
      </m:oMath>
      <w:r>
        <w:t xml:space="preserve">) are derived from</w:t>
      </w:r>
      <w:r>
        <w:t xml:space="preserve"> </w:t>
      </w:r>
      <w:r>
        <w:t xml:space="preserve">the interaction area surrounding the wind facility combined with plausible</w:t>
      </w:r>
      <w:r>
        <w:t xml:space="preserve"> </w:t>
      </w:r>
      <w:r>
        <w:t xml:space="preserve">density estimates, and a lognormal formulation is then used to derive the</w:t>
      </w:r>
      <w:r>
        <w:t xml:space="preserve"> </w:t>
      </w:r>
      <w:r>
        <w:t xml:space="preserve">geometric mean abundance estimate (</w:t>
      </w:r>
      <m:oMath>
        <m:acc>
          <m:accPr>
            <m:chr m:val="̂"/>
          </m:accPr>
          <m:e>
            <m:r>
              <m:t>N</m:t>
            </m:r>
          </m:e>
        </m:acc>
      </m:oMath>
      <w:r>
        <w:t xml:space="preserve">), its coefficient of variation</w:t>
      </w:r>
      <w:r>
        <w:t xml:space="preserve"> </w:t>
      </w:r>
      <w:r>
        <w:t xml:space="preserve">(</w:t>
      </w:r>
      <m:oMath>
        <m:r>
          <m:t>C</m:t>
        </m:r>
        <m:sSub>
          <m:e>
            <m:r>
              <m:t>V</m:t>
            </m:r>
          </m:e>
          <m:sub>
            <m:acc>
              <m:accPr>
                <m:chr m:val="̂"/>
              </m:accPr>
              <m:e>
                <m:r>
                  <m:t>N</m:t>
                </m:r>
              </m:e>
            </m:acc>
          </m:sub>
        </m:sSub>
      </m:oMath>
      <w:r>
        <w:t xml:space="preserve">), and ultimately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. Uncertainty is therefore</w:t>
      </w:r>
      <w:r>
        <w:t xml:space="preserve"> </w:t>
      </w:r>
      <w:r>
        <w:t xml:space="preserve">incorporated explicitly into the abundance term: poorly constrained</w:t>
      </w:r>
      <w:r>
        <w:t xml:space="preserve"> </w:t>
      </w:r>
      <w:r>
        <w:t xml:space="preserve">abundance estimates are penalised with lower, more precautionary PBR</w:t>
      </w:r>
      <w:r>
        <w:t xml:space="preserve"> </w:t>
      </w:r>
      <w:r>
        <w:t xml:space="preserve">values.</w:t>
      </w:r>
    </w:p>
    <w:p>
      <w:pPr>
        <w:pStyle w:val="BodyText"/>
      </w:pPr>
      <m:oMath>
        <m:sSub>
          <m:e>
            <m:r>
              <m:t>λ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is standardised using the Niel &amp; Lebreton (2005)</w:t>
      </w:r>
      <w:r>
        <w:t xml:space="preserve"> </w:t>
      </w:r>
      <w:r>
        <w:t xml:space="preserve">demographic-invariant approximation, from adult survival (</w:t>
      </w:r>
      <m:oMath>
        <m:r>
          <m:t>s</m:t>
        </m:r>
      </m:oMath>
      <w:r>
        <w:t xml:space="preserve">) and age at</w:t>
      </w:r>
      <w:r>
        <w:t xml:space="preserve"> </w:t>
      </w:r>
      <w:r>
        <w:t xml:space="preserve">first breeding (</w:t>
      </w:r>
      <m:oMath>
        <m:r>
          <m:t>α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s</m:t>
                          </m:r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s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num>
            <m:den>
              <m:r>
                <m:t>2</m:t>
              </m:r>
              <m:r>
                <m:t>α</m:t>
              </m:r>
            </m:den>
          </m:f>
        </m:oMath>
      </m:oMathPara>
    </w:p>
    <w:p>
      <w:pPr>
        <w:pStyle w:val="FirstParagraph"/>
      </w:pPr>
      <w:r>
        <w:t xml:space="preserve">Frick et al. propose precautionary fixed</w:t>
      </w:r>
      <w:r>
        <w:t xml:space="preserve"> </w:t>
      </w:r>
      <m:oMath>
        <m:sSub>
          <m:e>
            <m:r>
              <m:t>λ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values (1.24 for</w:t>
      </w:r>
      <w:r>
        <w:t xml:space="preserve"> </w:t>
      </w:r>
      <w:r>
        <w:t xml:space="preserve">most bats, 1.20 for families with later age at first breeding such as</w:t>
      </w:r>
      <w:r>
        <w:t xml:space="preserve"> </w:t>
      </w:r>
      <w:r>
        <w:t xml:space="preserve">Pteropodidae) to reduce sensitivity to poorly constrained demographic</w:t>
      </w:r>
      <w:r>
        <w:t xml:space="preserve"> </w:t>
      </w:r>
      <w:r>
        <w:t xml:space="preserve">inputs. The framework remains structurally dependent on several uncertain</w:t>
      </w:r>
      <w:r>
        <w:t xml:space="preserve"> </w:t>
      </w:r>
      <w:r>
        <w:t xml:space="preserve">ecological assumptions, including the definition of the local interacting</w:t>
      </w:r>
      <w:r>
        <w:t xml:space="preserve"> </w:t>
      </w:r>
      <w:r>
        <w:t xml:space="preserve">population, density estimation, recovery-factor selection, and the</w:t>
      </w:r>
      <w:r>
        <w:t xml:space="preserve"> </w:t>
      </w:r>
      <w:r>
        <w:t xml:space="preserve">demographic assumptions underlying the fixed</w:t>
      </w:r>
      <w:r>
        <w:t xml:space="preserve"> </w:t>
      </w:r>
      <m:oMath>
        <m:sSub>
          <m:e>
            <m:r>
              <m:t>λ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values.</w:t>
      </w:r>
      <w:r>
        <w:t xml:space="preserve"> </w:t>
      </w:r>
      <w:r>
        <w:t xml:space="preserve">Accordingly, PBR thresholds are best interpreted as precautionary decision</w:t>
      </w:r>
      <w:r>
        <w:t xml:space="preserve"> </w:t>
      </w:r>
      <w:r>
        <w:t xml:space="preserve">bands rather than deterministic operational limits, particularly where</w:t>
      </w:r>
      <w:r>
        <w:t xml:space="preserve"> </w:t>
      </w:r>
      <w:r>
        <w:t xml:space="preserve">they are used to calibrate mitigation measures such as curtailment.</w:t>
      </w:r>
    </w:p>
    <w:bookmarkEnd w:id="21"/>
    <w:bookmarkStart w:id="28" w:name="sensitivity-and-elasticity-analysis"/>
    <w:p>
      <w:pPr>
        <w:pStyle w:val="Heading2"/>
      </w:pPr>
      <w:r>
        <w:t xml:space="preserve">Sensitivity and elasticity analysis</w:t>
      </w:r>
    </w:p>
    <w:p>
      <w:pPr>
        <w:pStyle w:val="FirstParagraph"/>
      </w:pPr>
      <w:r>
        <w:t xml:space="preserve">Sensitivity and elasticity analyses were undertaken to evaluate how</w:t>
      </w:r>
      <w:r>
        <w:t xml:space="preserve"> </w:t>
      </w:r>
      <w:r>
        <w:t xml:space="preserve">uncertainty in the two demographic parameters used by the Niel &amp; Lebreton</w:t>
      </w:r>
      <w:r>
        <w:t xml:space="preserve"> </w:t>
      </w:r>
      <w:r>
        <w:t xml:space="preserve">approximation, adult survival (</w:t>
      </w:r>
      <m:oMath>
        <m:r>
          <m:t>s</m:t>
        </m:r>
      </m:oMath>
      <w:r>
        <w:t xml:space="preserve">) and age at first breeding (</w:t>
      </w:r>
      <m:oMath>
        <m:r>
          <m:t>α</m:t>
        </m:r>
      </m:oMath>
      <w:r>
        <w:t xml:space="preserve">),</w:t>
      </w:r>
      <w:r>
        <w:t xml:space="preserve"> </w:t>
      </w:r>
      <w:r>
        <w:t xml:space="preserve">propagates into</w:t>
      </w:r>
      <w:r>
        <w:t xml:space="preserve"> </w:t>
      </w:r>
      <m:oMath>
        <m:sSub>
          <m:e>
            <m:r>
              <m:t>λ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and consequently into PBR. Parameter ranges</w:t>
      </w:r>
      <w:r>
        <w:t xml:space="preserve"> </w:t>
      </w:r>
      <w:r>
        <w:t xml:space="preserve">were set at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</m:oMath>
      <w:r>
        <w:t xml:space="preserve"> </w:t>
      </w:r>
      <w:r>
        <w:t xml:space="preserve">[0.7, 0.95] and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</m:oMath>
      <w:r>
        <w:t xml:space="preserve"> </w:t>
      </w:r>
      <w:r>
        <w:t xml:space="preserve">[1.5, 3.5] years, the latter following the</w:t>
      </w:r>
      <w:r>
        <w:t xml:space="preserve"> </w:t>
      </w:r>
      <w:r>
        <w:t xml:space="preserve">literature review below. For each combination,</w:t>
      </w:r>
      <w:r>
        <w:t xml:space="preserve"> </w:t>
      </w:r>
      <m:oMath>
        <m:sSub>
          <m:e>
            <m:r>
              <m:t>λ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was</w:t>
      </w:r>
      <w:r>
        <w:t xml:space="preserve"> </w:t>
      </w:r>
      <w:r>
        <w:t xml:space="preserve">recalculated and local sensitivity estimated numerically using finite</w:t>
      </w:r>
      <w:r>
        <w:t xml:space="preserve"> </w:t>
      </w:r>
      <w:r>
        <w:t xml:space="preserve">differences. Elasticity is a dimensionless proportional sensitivity</w:t>
      </w:r>
      <w:r>
        <w:t xml:space="preserve"> </w:t>
      </w:r>
      <w:r>
        <w:t xml:space="preserve">metric: the expected percentage variation in</w:t>
      </w:r>
      <w:r>
        <w:t xml:space="preserve"> </w:t>
      </w:r>
      <m:oMath>
        <m:sSub>
          <m:e>
            <m:r>
              <m:t>λ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resulting from</w:t>
      </w:r>
      <w:r>
        <w:t xml:space="preserve"> </w:t>
      </w:r>
      <w:r>
        <w:t xml:space="preserve">a 1% variation in a demographic parameter.</w:t>
      </w:r>
    </w:p>
    <w:p>
      <w:pPr>
        <w:pStyle w:val="TableCaption"/>
      </w:pPr>
      <w:r>
        <w:t xml:space="preserve">Elasticity of lambda_max to each demographic parameter.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Elasticity of lambda_max to each demographic parameter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Adult survival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 at first breeding (alpha)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-0.129</w:t>
            </w:r>
          </w:p>
        </w:tc>
      </w:tr>
    </w:tbl>
    <w:p>
      <w:pPr>
        <w:pStyle w:val="BodyText"/>
      </w:pPr>
      <m:oMath>
        <m:sSub>
          <m:e>
            <m:r>
              <m:t>λ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is substantially more sensitive to uncertainty in adult</w:t>
      </w:r>
      <w:r>
        <w:t xml:space="preserve"> </w:t>
      </w:r>
      <w:r>
        <w:t xml:space="preserve">survival than to uncertainty in age at first breeding across the explored</w:t>
      </w:r>
      <w:r>
        <w:t xml:space="preserve"> </w:t>
      </w:r>
      <w:r>
        <w:t xml:space="preserve">demographic space: a 1% variation in adult survival produces roughly</w:t>
      </w:r>
      <w:r>
        <w:t xml:space="preserve"> </w:t>
      </w:r>
      <w:r>
        <w:t xml:space="preserve">1.35-0.13%</w:t>
      </w:r>
      <w:r>
        <w:t xml:space="preserve"> </w:t>
      </w:r>
      <w:r>
        <w:t xml:space="preserve">variation in</w:t>
      </w:r>
      <w:r>
        <w:t xml:space="preserve"> </w:t>
      </w:r>
      <m:oMath>
        <m:sSub>
          <m:e>
            <m:r>
              <m:t>λ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, versus</w:t>
      </w:r>
      <w:r>
        <w:t xml:space="preserve"> </w:t>
      </w:r>
      <w:r>
        <w:t xml:space="preserve">0.22-0.06%</w:t>
      </w:r>
      <w:r>
        <w:t xml:space="preserve"> </w:t>
      </w:r>
      <w:r>
        <w:t xml:space="preserve">for an equivalent variation in age at first breeding. Sensitivity is not</w:t>
      </w:r>
      <w:r>
        <w:t xml:space="preserve"> </w:t>
      </w:r>
      <w:r>
        <w:t xml:space="preserve">spatially uniform: combinations of relatively high adult survival and</w:t>
      </w:r>
      <w:r>
        <w:t xml:space="preserve"> </w:t>
      </w:r>
      <w:r>
        <w:t xml:space="preserve">earlier reproductive maturity produce the largest elastic responses, which</w:t>
      </w:r>
      <w:r>
        <w:t xml:space="preserve"> </w:t>
      </w:r>
      <w:r>
        <w:t xml:space="preserve">is particularly relevant because adult survival is also among the least</w:t>
      </w:r>
      <w:r>
        <w:t xml:space="preserve"> </w:t>
      </w:r>
      <w:r>
        <w:t xml:space="preserve">well-constrained demographic parameters for most bat species.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home/user/pbr_frick/report/pbr_frick_technical_note_files/figure-docx/fig-elasticity-survival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/home/user/pbr_frick/report/pbr_frick_technical_note_files/figure-docx/fig-elasticity-alpha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These results support the central rationale of the Frick adjusted</w:t>
      </w:r>
      <w:r>
        <w:t xml:space="preserve"> </w:t>
      </w:r>
      <w:r>
        <w:t xml:space="preserve">framework: uncertainty in demographic parameterisation can materially</w:t>
      </w:r>
      <w:r>
        <w:t xml:space="preserve"> </w:t>
      </w:r>
      <w:r>
        <w:t xml:space="preserve">influence resulting PBR values, and precautionary fixed-</w:t>
      </w:r>
      <m:oMath>
        <m:sSub>
          <m:e>
            <m:r>
              <m:t>λ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assumptions reduce excessive sensitivity to uncertain demographic inputs.</w:t>
      </w:r>
      <w:r>
        <w:t xml:space="preserve"> </w:t>
      </w:r>
      <w:r>
        <w:t xml:space="preserve">However, substantial uncertainty remains even under a fixed-</w:t>
      </w:r>
      <m:oMath>
        <m:sSub>
          <m:e>
            <m:r>
              <m:t>λ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approach, through the interaction of demographic assumptions, local</w:t>
      </w:r>
      <w:r>
        <w:t xml:space="preserve"> </w:t>
      </w:r>
      <w:r>
        <w:t xml:space="preserve">abundance estimation, and recovery-factor selection – the remainder of</w:t>
      </w:r>
      <w:r>
        <w:t xml:space="preserve"> </w:t>
      </w:r>
      <w:r>
        <w:t xml:space="preserve">this note works through that interaction for the Parti-coloured bat at BSH</w:t>
      </w:r>
      <w:r>
        <w:t xml:space="preserve"> </w:t>
      </w:r>
      <w:r>
        <w:t xml:space="preserve">and DGY specifically.</w:t>
      </w:r>
    </w:p>
    <w:bookmarkEnd w:id="28"/>
    <w:bookmarkStart w:id="29" w:name="evidence-base-for-age-at-first-breeding"/>
    <w:p>
      <w:pPr>
        <w:pStyle w:val="Heading2"/>
      </w:pPr>
      <w:r>
        <w:t xml:space="preserve">Evidence base for age at first breeding</w:t>
      </w:r>
    </w:p>
    <w:p>
      <w:pPr>
        <w:pStyle w:val="FirstParagraph"/>
      </w:pPr>
      <w:r>
        <w:t xml:space="preserve">For PBR,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should represent effective age at first reproduction –</w:t>
      </w:r>
      <w:r>
        <w:t xml:space="preserve"> </w:t>
      </w:r>
      <w:r>
        <w:t xml:space="preserve">the age at which a female actually recruits offspring into the population</w:t>
      </w:r>
      <w:r>
        <w:t xml:space="preserve"> </w:t>
      </w:r>
      <w:r>
        <w:t xml:space="preserve">– not merely physiological sexual maturity. A literature review for</w:t>
      </w:r>
      <w:r>
        <w:t xml:space="preserve"> </w:t>
      </w:r>
      <w:r>
        <w:rPr>
          <w:iCs/>
          <w:i/>
        </w:rPr>
        <w:t xml:space="preserve">Vespertilio murinus</w:t>
      </w:r>
      <w:r>
        <w:t xml:space="preserve"> </w:t>
      </w:r>
      <w:r>
        <w:t xml:space="preserve">was undertaken on this basis.</w:t>
      </w:r>
    </w:p>
    <w:p>
      <w:pPr>
        <w:pStyle w:val="TableCaption"/>
      </w:pPr>
      <w:r>
        <w:t xml:space="preserve">Sources reviewed for age at first breeding in the Parti-coloured</w:t>
      </w:r>
      <w:r>
        <w:t xml:space="preserve"> </w:t>
      </w:r>
      <w:r>
        <w:t xml:space="preserve">bat.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Sources reviewed for age at first breeding in the Parti-coloured bat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Species /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Implication for alpha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AnAge 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Vespertilio murinus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 and male sexual maturity listed at 730 days (~2 years); litter size 2; one litter per year.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alpha ~= 2 as a defensible value.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Haensel 2010,</w:t>
            </w:r>
            <w:r>
              <w:t xml:space="preserve"> </w:t>
            </w:r>
            <w:r>
              <w:rPr>
                <w:iCs/>
                <w:i/>
              </w:rPr>
              <w:t xml:space="preserve">Nyctalus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Vespertilio murinus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females raise young in their first year of life; the author’s own data suggest most or all females may reach sexual maturity in the year of birth and raise young as one-year-olds, stated cautiously.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Suggests alpha = 1-2 may be plausible; alpha = 2 is not an optimistic assumption.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Ratpenats species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Vespertilio murinus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females mate in their first autumn.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early sexual maturity, but mating is not the same as confirmed breeding.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Racey &amp; Entwistle synthesis, cited in Frick et al.’s own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Bats broadly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general view for most bats is that age at first breeding is around 1 year, though first-year breeding probability can be lower; Frick et al. use alpha = 1.5 as a general benchmark and suggest alpha = 2 for some families.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alpha = 1.5-2 as plausible for many bat species.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Cryan et al. 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Migratory tree bats killed at wind turbines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Ovarian development indicating sexual maturity even in first-year females for several migratory tree-roosting species.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analogue: some wind-vulnerable migratory bats mature very early.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Komar et al. 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  <w:r>
              <w:t xml:space="preserve"> </w:t>
            </w:r>
            <w:r>
              <w:rPr>
                <w:iCs/>
                <w:i/>
              </w:rPr>
              <w:t xml:space="preserve">Vespertilio murinus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 restriction delayed seasonal sexual maturation in males; well-fed males matured earlier.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Maturation timing is condition-dependent; male data are less directly useful for PBR (which uses female recruitment).</w:t>
            </w:r>
          </w:p>
        </w:tc>
      </w:tr>
    </w:tbl>
    <w:p>
      <w:pPr>
        <w:pStyle w:val="BodyText"/>
      </w:pP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defensible, reasonably conservative central value for PBR</w:t>
      </w:r>
      <w:r>
        <w:t xml:space="preserve"> </w:t>
      </w:r>
      <w:r>
        <w:t xml:space="preserve">purposes under the effective-recruitment reading of</w:t>
      </w:r>
      <w:r>
        <w:t xml:space="preserve"> </w:t>
      </w:r>
      <m:oMath>
        <m:r>
          <m:t>α</m:t>
        </m:r>
      </m:oMath>
      <w:r>
        <w:t xml:space="preserve">, and is</w:t>
      </w:r>
      <w:r>
        <w:t xml:space="preserve"> </w:t>
      </w:r>
      <w:r>
        <w:t xml:space="preserve">directly supported by the AnAge sexual-maturity estimate.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(the paper’s own general bat benchmark) is a plausible lower bound, though</w:t>
      </w:r>
      <w:r>
        <w:t xml:space="preserve"> </w:t>
      </w:r>
      <w:r>
        <w:t xml:space="preserve">it rests on thinner, more cautiously stated species-specific evidence.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has no direct empirical support for</w:t>
      </w:r>
      <w:r>
        <w:t xml:space="preserve"> </w:t>
      </w:r>
      <w:r>
        <w:rPr>
          <w:iCs/>
          <w:i/>
        </w:rPr>
        <w:t xml:space="preserve">V. murinus</w:t>
      </w:r>
      <w:r>
        <w:t xml:space="preserve"> </w:t>
      </w:r>
      <w:r>
        <w:t xml:space="preserve">in the</w:t>
      </w:r>
      <w:r>
        <w:t xml:space="preserve"> </w:t>
      </w:r>
      <w:r>
        <w:t xml:space="preserve">sources reviewed; it remains a useful precautionary sensitivity scenario</w:t>
      </w:r>
      <w:r>
        <w:t xml:space="preserve"> </w:t>
      </w:r>
      <w:r>
        <w:t xml:space="preserve">for ecological constraints on effective recruitment (migration costs, poor</w:t>
      </w:r>
      <w:r>
        <w:t xml:space="preserve"> </w:t>
      </w:r>
      <w:r>
        <w:t xml:space="preserve">juvenile survival, low first-year breeding probability), but is not the</w:t>
      </w:r>
      <w:r>
        <w:t xml:space="preserve"> </w:t>
      </w:r>
      <w:r>
        <w:t xml:space="preserve">best-supported biological estimate. This review supports using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</m:oMath>
      <w:r>
        <w:t xml:space="preserve"> </w:t>
      </w:r>
      <w:r>
        <w:t xml:space="preserve">[1.5, 3.5] years as the working range throughout this note, in</w:t>
      </w:r>
      <w:r>
        <w:t xml:space="preserve"> </w:t>
      </w:r>
      <w:r>
        <w:t xml:space="preserve">place of a single fixed value.</w:t>
      </w:r>
    </w:p>
    <w:bookmarkEnd w:id="29"/>
    <w:bookmarkStart w:id="30" w:name="X22f5ed38f353789e3ce9636a853710f63e221b4"/>
    <w:p>
      <w:pPr>
        <w:pStyle w:val="Heading2"/>
      </w:pPr>
      <w:r>
        <w:t xml:space="preserve">Reverse-engineering the BSH and DGY thresholds</w:t>
      </w:r>
    </w:p>
    <w:p>
      <w:pPr>
        <w:pStyle w:val="FirstParagraph"/>
      </w:pPr>
      <w:r>
        <w:t xml:space="preserve">BSH and DGY were each given a fixed annual fatality threshold for the</w:t>
      </w:r>
      <w:r>
        <w:t xml:space="preserve"> </w:t>
      </w:r>
      <w:r>
        <w:t xml:space="preserve">Parti-coloured bat – 144 and 120 bats/year respectively – without a</w:t>
      </w:r>
      <w:r>
        <w:t xml:space="preserve"> </w:t>
      </w:r>
      <w:r>
        <w:t xml:space="preserve">documented derivation. Since no independent local population estimate for</w:t>
      </w:r>
      <w:r>
        <w:t xml:space="preserve"> </w:t>
      </w:r>
      <w:r>
        <w:t xml:space="preserve">the species exists for this region, plausibility is assessed by working</w:t>
      </w:r>
      <w:r>
        <w:t xml:space="preserve"> </w:t>
      </w:r>
      <w:r>
        <w:t xml:space="preserve">backwards from the imposed thresholds under the Frick PBR equation.</w:t>
      </w:r>
    </w:p>
    <w:p>
      <w:pPr>
        <w:pStyle w:val="TableCaption"/>
      </w:pPr>
      <w:r>
        <w:t xml:space="preserve">Local population size (Nmin) required to reproduce each imposed threshold, under Fr = 0.3 (Near Threatened) and the paper’s two fixed lambda_max benchmarks.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Local population size (Nmin) required to reproduce each imposed threshold, under Fr = 0.3 (Near Threatened) and the paper’s two fixed lambda_max benchmarks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 (bats/yr)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Fixed lambda_max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Required Nmin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4000</w:t>
            </w:r>
          </w:p>
        </w:tc>
      </w:tr>
    </w:tbl>
    <w:p>
      <w:pPr>
        <w:pStyle w:val="BodyText"/>
      </w:pPr>
      <w:r>
        <w:t xml:space="preserve">Pairing BSH/144 with</w:t>
      </w:r>
      <w:r>
        <w:t xml:space="preserve"> </w:t>
      </w:r>
      <m:oMath>
        <m:sSub>
          <m:e>
            <m:r>
              <m:t>λ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1.24</m:t>
        </m:r>
      </m:oMath>
      <w:r>
        <w:t xml:space="preserve"> </w:t>
      </w:r>
      <w:r>
        <w:t xml:space="preserve">and DGY/120 with</w:t>
      </w:r>
      <w:r>
        <w:t xml:space="preserve"> </w:t>
      </w:r>
      <m:oMath>
        <m:sSub>
          <m:e>
            <m:r>
              <m:t>λ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1.20</m:t>
        </m:r>
      </m:oMath>
      <w:r>
        <w:t xml:space="preserve"> </w:t>
      </w:r>
      <w:r>
        <w:t xml:space="preserve">both back-solve to the same required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F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(Near Threatened); no other pairing gives a shared, round value. This is</w:t>
      </w:r>
      <w:r>
        <w:t xml:space="preserve"> </w:t>
      </w:r>
      <w:r>
        <w:t xml:space="preserve">the most parsimonious explanation available for how the two thresholds</w:t>
      </w:r>
      <w:r>
        <w:t xml:space="preserve"> </w:t>
      </w:r>
      <w:r>
        <w:t xml:space="preserve">were obtained: a single assumed local population of</w:t>
      </w:r>
      <w:r>
        <w:t xml:space="preserve"> </w:t>
      </w:r>
      <w:r>
        <w:t xml:space="preserve">~4,000 individuals, combined with the</w:t>
      </w:r>
      <w:r>
        <w:t xml:space="preserve"> </w:t>
      </w:r>
      <w:r>
        <w:t xml:space="preserve">paper’s two</w:t>
      </w:r>
      <w:r>
        <w:t xml:space="preserve"> </w:t>
      </w:r>
      <m:oMath>
        <m:sSub>
          <m:e>
            <m:r>
              <m:t>λ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benchmarks applied per facility.</w:t>
      </w:r>
    </w:p>
    <w:p>
      <w:pPr>
        <w:pStyle w:val="BodyText"/>
      </w:pPr>
      <w:r>
        <w:t xml:space="preserve">Whether 4,000 individuals is a plausible</w:t>
      </w:r>
      <w:r>
        <w:t xml:space="preserve"> </w:t>
      </w:r>
      <w:r>
        <w:t xml:space="preserve">local population for the region can be assessed via the interaction area</w:t>
      </w:r>
      <w:r>
        <w:t xml:space="preserve"> </w:t>
      </w:r>
      <w:r>
        <w:t xml:space="preserve">it implies under the paper’s own default density proxy (5.5-18.2</w:t>
      </w:r>
      <w:r>
        <w:t xml:space="preserve"> </w:t>
      </w:r>
      <w:r>
        <w:t xml:space="preserve">bats/km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based on</w:t>
      </w:r>
      <w:r>
        <w:t xml:space="preserve"> </w:t>
      </w:r>
      <w:r>
        <w:rPr>
          <w:iCs/>
          <w:i/>
        </w:rPr>
        <w:t xml:space="preserve">Pipistrellus pipistrellus</w:t>
      </w:r>
      <w:r>
        <w:t xml:space="preserve">, used in the absence of</w:t>
      </w:r>
      <w:r>
        <w:t xml:space="preserve"> </w:t>
      </w:r>
      <w:r>
        <w:t xml:space="preserve">species-specific density data):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implies an interaction area of approximately 396 km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plausible as a regional buffer around two wind farms, whereas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40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(an order of magnitude larger) would imply</w:t>
      </w:r>
      <w:r>
        <w:t xml:space="preserve"> </w:t>
      </w:r>
      <w:r>
        <w:t xml:space="preserve">approximately 3956 km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– well beyond a</w:t>
      </w:r>
      <w:r>
        <w:t xml:space="preserve"> </w:t>
      </w:r>
      <w:r>
        <w:t xml:space="preserve">project-scale local population as the framework defines it. This does not</w:t>
      </w:r>
      <w:r>
        <w:t xml:space="preserve"> </w:t>
      </w:r>
      <w:r>
        <w:t xml:space="preserve">confirm 4,000 individuals as correct, but it</w:t>
      </w:r>
      <w:r>
        <w:t xml:space="preserve"> </w:t>
      </w:r>
      <w:r>
        <w:t xml:space="preserve">is the more defensible order of magnitude of the two, and is used as the</w:t>
      </w:r>
      <w:r>
        <w:t xml:space="preserve"> </w:t>
      </w:r>
      <w:r>
        <w:t xml:space="preserve">working assumption throughout the rest of this note.</w:t>
      </w:r>
    </w:p>
    <w:p>
      <w:pPr>
        <w:pStyle w:val="BodyText"/>
      </w:pPr>
      <m:oMath>
        <m:sSub>
          <m:e>
            <m:r>
              <m:t>F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corresponds to a Near Threatened status. The Parti-coloured bat</w:t>
      </w:r>
      <w:r>
        <w:t xml:space="preserve"> </w:t>
      </w:r>
      <w:r>
        <w:t xml:space="preserve">is not a threatened category, so the defensible recovery factor is</w:t>
      </w:r>
      <w:r>
        <w:t xml:space="preserve"> </w:t>
      </w:r>
      <m:oMath>
        <m:sSub>
          <m:e>
            <m:r>
              <m:t>F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(Least Concern, declining-or-unknown trend). Holding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at 4,000 and correcting only</w:t>
      </w:r>
      <w:r>
        <w:t xml:space="preserve"> </w:t>
      </w:r>
      <m:oMath>
        <m:sSub>
          <m:e>
            <m:r>
              <m:t>F</m:t>
            </m:r>
          </m:e>
          <m:sub>
            <m:r>
              <m:t>r</m:t>
            </m:r>
          </m:sub>
        </m:sSub>
      </m:oMath>
      <w:r>
        <w:t xml:space="preserve">:</w:t>
      </w:r>
    </w:p>
    <w:p>
      <w:pPr>
        <w:pStyle w:val="TableCaption"/>
      </w:pPr>
      <w:r>
        <w:t xml:space="preserve">PBR at Nmin = 4,000, Fr = 0.5.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PBR at Nmin = 4,000, Fr = 0.5.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Fixed lambda_max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PBR (bats/yr)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</w:tbl>
    <w:p>
      <w:pPr>
        <w:pStyle w:val="BodyText"/>
      </w:pPr>
      <w:r>
        <w:t xml:space="preserve">PBR moves from 144 to 240</w:t>
      </w:r>
      <w:r>
        <w:t xml:space="preserve"> </w:t>
      </w:r>
      <w:r>
        <w:t xml:space="preserve">(</w:t>
      </w:r>
      <m:oMath>
        <m:sSub>
          <m:e>
            <m:r>
              <m:t>λ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1.24</m:t>
        </m:r>
      </m:oMath>
      <w:r>
        <w:t xml:space="preserve">) and from 120 to</w:t>
      </w:r>
      <w:r>
        <w:t xml:space="preserve"> </w:t>
      </w:r>
      <w:r>
        <w:t xml:space="preserve">200</w:t>
      </w:r>
      <w:r>
        <w:t xml:space="preserve"> </w:t>
      </w:r>
      <w:r>
        <w:t xml:space="preserve">(</w:t>
      </w:r>
      <m:oMath>
        <m:sSub>
          <m:e>
            <m:r>
              <m:t>λ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1.20</m:t>
        </m:r>
      </m:oMath>
      <w:r>
        <w:t xml:space="preserve">) from the recovery-factor correction alone, before</w:t>
      </w:r>
      <w:r>
        <w:t xml:space="preserve"> </w:t>
      </w:r>
      <w:r>
        <w:t xml:space="preserve">any change to</w:t>
      </w:r>
      <w:r>
        <w:t xml:space="preserve"> </w:t>
      </w:r>
      <m:oMath>
        <m:sSub>
          <m:e>
            <m:r>
              <m:t>λ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itself is considered.</w:t>
      </w:r>
    </w:p>
    <w:bookmarkEnd w:id="30"/>
    <w:bookmarkStart w:id="34" w:name="pbr-response-surfaces"/>
    <w:p>
      <w:pPr>
        <w:pStyle w:val="Heading2"/>
      </w:pPr>
      <w:r>
        <w:t xml:space="preserve">PBR response surfaces</w:t>
      </w:r>
    </w:p>
    <w:p>
      <w:pPr>
        <w:pStyle w:val="FirstParagraph"/>
      </w:pPr>
      <w:r>
        <w:drawing>
          <wp:inline>
            <wp:extent cx="5334000" cy="1916906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/home/user/pbr_frick/report/pbr_frick_technical_note_files/figure-docx/fig-response-surfaces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6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Across the plausible demographic range, the 120/144 contours only appear</w:t>
      </w:r>
      <w:r>
        <w:t xml:space="preserve"> </w:t>
      </w:r>
      <w:r>
        <w:t xml:space="preserve">within the</w:t>
      </w:r>
      <w:r>
        <w:t xml:space="preserve"> </w:t>
      </w:r>
      <m:oMath>
        <m:sSub>
          <m:e>
            <m:r>
              <m:t>F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panels, and only for a narrow</w:t>
      </w:r>
      <w:r>
        <w:t xml:space="preserve"> </w:t>
      </w:r>
      <w:r>
        <w:t xml:space="preserve">combination of relatively high adult survival and low age at first</w:t>
      </w:r>
      <w:r>
        <w:t xml:space="preserve"> </w:t>
      </w:r>
      <w:r>
        <w:t xml:space="preserve">breeding – outside that narrow band, PBR departs from the imposed</w:t>
      </w:r>
      <w:r>
        <w:t xml:space="preserve"> </w:t>
      </w:r>
      <w:r>
        <w:t xml:space="preserve">thresholds even before changing</w:t>
      </w:r>
      <w:r>
        <w:t xml:space="preserve"> </w:t>
      </w:r>
      <m:oMath>
        <m:sSub>
          <m:e>
            <m:r>
              <m:t>F</m:t>
            </m:r>
          </m:e>
          <m:sub>
            <m:r>
              <m:t>r</m:t>
            </m:r>
          </m:sub>
        </m:sSub>
      </m:oMath>
      <w:r>
        <w:t xml:space="preserve">.</w:t>
      </w:r>
    </w:p>
    <w:bookmarkEnd w:id="34"/>
    <w:bookmarkStart w:id="38" w:name="monte-carlo-simulation-outputs"/>
    <w:p>
      <w:pPr>
        <w:pStyle w:val="Heading2"/>
      </w:pPr>
      <w:r>
        <w:t xml:space="preserve">Monte Carlo simulation outputs</w:t>
      </w:r>
    </w:p>
    <w:p>
      <w:pPr>
        <w:pStyle w:val="FirstParagraph"/>
      </w:pPr>
      <w:r>
        <w:t xml:space="preserve">Uncertainty in adult survival and age at first breeding was propagated</w:t>
      </w:r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λ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and PBR by simulation, holding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fixed, with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0.70</m:t>
            </m:r>
            <m:r>
              <m:rPr>
                <m:sty m:val="p"/>
              </m:rPr>
              <m:t>,</m:t>
            </m:r>
            <m:r>
              <m:t>0.95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  <m:r>
          <m:rPr>
            <m:sty m:val="p"/>
          </m:rPr>
          <m:t>∼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1.5</m:t>
            </m:r>
            <m:r>
              <m:rPr>
                <m:sty m:val="p"/>
              </m:rPr>
              <m:t>,</m:t>
            </m:r>
            <m:r>
              <m:t>3.5</m:t>
            </m:r>
          </m:e>
        </m:d>
      </m:oMath>
      <w:r>
        <w:t xml:space="preserve"> </w:t>
      </w:r>
      <w:r>
        <w:t xml:space="preserve">(20,000 draws).</w:t>
      </w:r>
    </w:p>
    <w:p>
      <w:pPr>
        <w:pStyle w:val="TableCaption"/>
      </w:pPr>
      <w:r>
        <w:t xml:space="preserve">Simulated PBR distribution quantiles.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Simulated PBR distribution quantiles.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PBR (bats/yr)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270.3</w:t>
            </w:r>
          </w:p>
        </w:tc>
      </w:tr>
    </w:tbl>
    <w:p/>
    <w:p>
      <w:pPr>
        <w:pStyle w:val="TableCaption"/>
      </w:pPr>
      <w:r>
        <w:t xml:space="preserve">Where the imposed thresholds fall within the simulated PBR distribution.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Where the imposed thresholds fall within the simulated PBR distribution."/>
      </w:tblPr>
      <w:tblGrid>
        <w:gridCol w:w="838"/>
        <w:gridCol w:w="1863"/>
        <w:gridCol w:w="3074"/>
        <w:gridCol w:w="1211"/>
        <w:gridCol w:w="9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 (bats/yr)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Percentile rank in simulated PBR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P95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</w:t>
            </w:r>
          </w:p>
        </w:tc>
      </w:tr>
    </w:tbl>
    <w:p>
      <w:pPr>
        <w:pStyle w:val="BodyText"/>
      </w:pPr>
      <w:r>
        <w:t xml:space="preserve">BSH (144) and DGY (120) sit at the</w:t>
      </w:r>
      <w:r>
        <w:t xml:space="preserve"> </w:t>
      </w:r>
      <w:r>
        <w:t xml:space="preserve">16th</w:t>
      </w:r>
      <w:r>
        <w:t xml:space="preserve"> </w:t>
      </w:r>
      <w:r>
        <w:t xml:space="preserve">and</w:t>
      </w:r>
      <w:r>
        <w:t xml:space="preserve"> </w:t>
      </w:r>
      <w:r>
        <w:t xml:space="preserve">5th</w:t>
      </w:r>
      <w:r>
        <w:t xml:space="preserve"> </w:t>
      </w:r>
      <w:r>
        <w:t xml:space="preserve">percentile of the simulated distribution respectively – on the low,</w:t>
      </w:r>
      <w:r>
        <w:t xml:space="preserve"> </w:t>
      </w:r>
      <w:r>
        <w:t xml:space="preserve">conservative side, not the permissive side. Median simulated PBR is</w:t>
      </w:r>
      <w:r>
        <w:t xml:space="preserve"> </w:t>
      </w:r>
      <w:r>
        <w:t xml:space="preserve">1.29x</w:t>
      </w:r>
      <w:r>
        <w:t xml:space="preserve"> </w:t>
      </w:r>
      <w:r>
        <w:t xml:space="preserve">the BSH threshold and</w:t>
      </w:r>
      <w:r>
        <w:t xml:space="preserve"> </w:t>
      </w:r>
      <w:r>
        <w:t xml:space="preserve">1.55x</w:t>
      </w:r>
      <w:r>
        <w:t xml:space="preserve"> </w:t>
      </w:r>
      <w:r>
        <w:t xml:space="preserve">the DGY threshold; at the 95th percentile the ratios reach</w:t>
      </w:r>
      <w:r>
        <w:t xml:space="preserve"> </w:t>
      </w:r>
      <w:r>
        <w:t xml:space="preserve">1.88x</w:t>
      </w:r>
      <w:r>
        <w:t xml:space="preserve"> </w:t>
      </w:r>
      <w:r>
        <w:t xml:space="preserve">and</w:t>
      </w:r>
      <w:r>
        <w:t xml:space="preserve"> </w:t>
      </w:r>
      <w:r>
        <w:t xml:space="preserve">2.25x</w:t>
      </w:r>
      <w:r>
        <w:t xml:space="preserve"> </w:t>
      </w:r>
      <w:r>
        <w:t xml:space="preserve">respectively.</w:t>
      </w:r>
    </w:p>
    <w:p>
      <w:pPr>
        <w:pStyle w:val="TableCaption"/>
      </w:pPr>
      <w:r>
        <w:t xml:space="preserve">Effect of the alpha range on the simulated PBR distribution (Fr = 0.5, Nmin = 4000).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Effect of the alpha range on the simulated PBR distribution (Fr = 0.5, Nmin = 4000)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Alpha range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below 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below 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1.5 - 3.5 (updated)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2 - 4 (prior)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</w:t>
            </w:r>
          </w:p>
        </w:tc>
      </w:tr>
    </w:tbl>
    <w:p>
      <w:pPr>
        <w:pStyle w:val="BodyText"/>
      </w:pPr>
      <w:r>
        <w:t xml:space="preserve">Moving from the wider, less literature-grounded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range</w:t>
      </w:r>
      <w:r>
        <w:t xml:space="preserve"> </w:t>
      </w:r>
      <w:r>
        <w:t xml:space="preserve">to the range the evidence review supports (</w:t>
      </w:r>
      <m:oMath>
        <m:r>
          <m:t>α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1.5</m:t>
            </m:r>
            <m:r>
              <m:rPr>
                <m:sty m:val="p"/>
              </m:rPr>
              <m:t>,</m:t>
            </m:r>
            <m:r>
              <m:t>3.5</m:t>
            </m:r>
          </m:e>
        </m:d>
      </m:oMath>
      <w:r>
        <w:t xml:space="preserve">) shifts</w:t>
      </w:r>
      <w:r>
        <w:t xml:space="preserve"> </w:t>
      </w:r>
      <w:r>
        <w:t xml:space="preserve">the simulated PBR distribution further up, not down: the literature review</w:t>
      </w:r>
      <w:r>
        <w:t xml:space="preserve"> </w:t>
      </w:r>
      <w:r>
        <w:t xml:space="preserve">therefore reinforces, rather than weakens, the conclusion below.</w:t>
      </w:r>
    </w:p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/home/user/pbr_frick/report/pbr_frick_technical_note_files/figure-docx/fig-pbr-density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39" w:name="X04f600d072be3d264f40ad7c366617044f88dc2"/>
    <w:p>
      <w:pPr>
        <w:pStyle w:val="Heading2"/>
      </w:pPr>
      <w:r>
        <w:t xml:space="preserve">Preliminary interpretation and implications</w:t>
      </w:r>
    </w:p>
    <w:p>
      <w:pPr>
        <w:pStyle w:val="FirstParagraph"/>
      </w:pPr>
      <w:r>
        <w:t xml:space="preserve">Under a defensible, non-optimistic parametrisation – recovery factor</w:t>
      </w:r>
      <w:r>
        <w:t xml:space="preserve"> </w:t>
      </w:r>
      <w:r>
        <w:t xml:space="preserve">corrected to the species’ actual (non-threatened) status, and demographic</w:t>
      </w:r>
      <w:r>
        <w:t xml:space="preserve"> </w:t>
      </w:r>
      <w:r>
        <w:t xml:space="preserve">parameters treated as a literature-supported range rather than a single</w:t>
      </w:r>
      <w:r>
        <w:t xml:space="preserve"> </w:t>
      </w:r>
      <w:r>
        <w:t xml:space="preserve">fixed point – the currently imposed thresholds of 144 (BSH) and 120 (DGY)</w:t>
      </w:r>
      <w:r>
        <w:t xml:space="preserve"> </w:t>
      </w:r>
      <w:r>
        <w:t xml:space="preserve">bats/year sit near the conservative end of the resulting PBR distribution</w:t>
      </w:r>
      <w:r>
        <w:t xml:space="preserve"> </w:t>
      </w:r>
      <w:r>
        <w:t xml:space="preserve">rather than at its centre. This indicates the current thresholds are not</w:t>
      </w:r>
      <w:r>
        <w:t xml:space="preserve"> </w:t>
      </w:r>
      <w:r>
        <w:t xml:space="preserve">unreasonably permissive; if anything, a flexible parametrisation would</w:t>
      </w:r>
      <w:r>
        <w:t xml:space="preserve"> </w:t>
      </w:r>
      <w:r>
        <w:t xml:space="preserve">support materially higher values, approaching double the current figures</w:t>
      </w:r>
      <w:r>
        <w:t xml:space="preserve"> </w:t>
      </w:r>
      <w:r>
        <w:t xml:space="preserve">at the upper end of the plausible range.</w:t>
      </w:r>
    </w:p>
    <w:p>
      <w:pPr>
        <w:pStyle w:val="BodyText"/>
      </w:pPr>
      <w:r>
        <w:t xml:space="preserve">These results reinforce that any operational threshold derived from PBR</w:t>
      </w:r>
      <w:r>
        <w:t xml:space="preserve"> </w:t>
      </w:r>
      <w:r>
        <w:t xml:space="preserve">should be accompanied by transparent documentation of the underlying</w:t>
      </w:r>
      <w:r>
        <w:t xml:space="preserve"> </w:t>
      </w:r>
      <w:r>
        <w:t xml:space="preserve">calculations, demographic assumptions, local population estimates, and</w:t>
      </w:r>
      <w:r>
        <w:t xml:space="preserve"> </w:t>
      </w:r>
      <w:r>
        <w:t xml:space="preserve">uncertainty analysis. A nominal threshold can still serve as a</w:t>
      </w:r>
      <w:r>
        <w:t xml:space="preserve"> </w:t>
      </w:r>
      <w:r>
        <w:t xml:space="preserve">precautionary reference point, but mitigation decisions should</w:t>
      </w:r>
      <w:r>
        <w:t xml:space="preserve"> </w:t>
      </w:r>
      <w:r>
        <w:t xml:space="preserve">additionally consider:</w:t>
      </w:r>
    </w:p>
    <w:p>
      <w:pPr>
        <w:numPr>
          <w:ilvl w:val="0"/>
          <w:numId w:val="1001"/>
        </w:numPr>
        <w:pStyle w:val="Compact"/>
      </w:pPr>
      <w:r>
        <w:t xml:space="preserve">the plausible uncertainty interval surrounding the threshold;</w:t>
      </w:r>
    </w:p>
    <w:p>
      <w:pPr>
        <w:numPr>
          <w:ilvl w:val="0"/>
          <w:numId w:val="1001"/>
        </w:numPr>
        <w:pStyle w:val="Compact"/>
      </w:pPr>
      <w:r>
        <w:t xml:space="preserve">temporal trends in fatality estimates;</w:t>
      </w:r>
    </w:p>
    <w:p>
      <w:pPr>
        <w:numPr>
          <w:ilvl w:val="0"/>
          <w:numId w:val="1001"/>
        </w:numPr>
        <w:pStyle w:val="Compact"/>
      </w:pPr>
      <w:r>
        <w:t xml:space="preserve">uncertainty associated with PCFM-derived mortality estimates;</w:t>
      </w:r>
    </w:p>
    <w:p>
      <w:pPr>
        <w:numPr>
          <w:ilvl w:val="0"/>
          <w:numId w:val="1001"/>
        </w:numPr>
        <w:pStyle w:val="Compact"/>
      </w:pPr>
      <w:r>
        <w:t xml:space="preserve">the conservation relevance and demographic sensitivity of the affected species;</w:t>
      </w:r>
    </w:p>
    <w:p>
      <w:pPr>
        <w:numPr>
          <w:ilvl w:val="0"/>
          <w:numId w:val="1001"/>
        </w:numPr>
        <w:pStyle w:val="Compact"/>
      </w:pPr>
      <w:r>
        <w:t xml:space="preserve">the spatial concentration and recurrence of fatalities;</w:t>
      </w:r>
    </w:p>
    <w:p>
      <w:pPr>
        <w:numPr>
          <w:ilvl w:val="0"/>
          <w:numId w:val="1001"/>
        </w:numPr>
        <w:pStyle w:val="Compact"/>
      </w:pPr>
      <w:r>
        <w:t xml:space="preserve">the expected effectiveness and proportionality of mitigation measures;</w:t>
      </w:r>
    </w:p>
    <w:p>
      <w:pPr>
        <w:numPr>
          <w:ilvl w:val="0"/>
          <w:numId w:val="1001"/>
        </w:numPr>
        <w:pStyle w:val="Compact"/>
      </w:pPr>
      <w:r>
        <w:t xml:space="preserve">and the broader adaptive-management context in which the threshold is applied.</w:t>
      </w:r>
    </w:p>
    <w:p>
      <w:pPr>
        <w:pStyle w:val="FirstParagraph"/>
      </w:pPr>
      <w:r>
        <w:t xml:space="preserve">Presenting PBR as a range rather than a single fixed number provides a</w:t>
      </w:r>
      <w:r>
        <w:t xml:space="preserve"> </w:t>
      </w:r>
      <w:r>
        <w:t xml:space="preserve">more robust and defensible basis for adaptive management decisions where</w:t>
      </w:r>
      <w:r>
        <w:t xml:space="preserve"> </w:t>
      </w:r>
      <w:r>
        <w:t xml:space="preserve">demographic parameters, local population structure, and abundance</w:t>
      </w:r>
      <w:r>
        <w:t xml:space="preserve"> </w:t>
      </w:r>
      <w:r>
        <w:t xml:space="preserve">estimates remain incompletely resolved – as is the case for the</w:t>
      </w:r>
      <w:r>
        <w:t xml:space="preserve"> </w:t>
      </w:r>
      <w:r>
        <w:t xml:space="preserve">Parti-coloured bat in this region.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2" Target="media/rId22.png" /><Relationship Type="http://schemas.openxmlformats.org/officeDocument/2006/relationships/image" Id="rId35" Target="media/rId35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PBR Interpretation based on Frick et al. 2026</dc:title>
  <dc:creator/>
  <cp:keywords/>
  <dcterms:created xsi:type="dcterms:W3CDTF">2026-09-15T15:50:32Z</dcterms:created>
  <dcterms:modified xsi:type="dcterms:W3CDTF">2026-09-15T15:50:32Z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