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100"/>
        <w:jc w:val="center"/>
      </w:pPr>
      <w:r>
        <w:rPr>
          <w:rFonts w:ascii="Arial" w:cs="Arial" w:eastAsia="Arial" w:hAnsi="Arial"/>
          <w:b/>
          <w:bCs/>
          <w:color w:val="1F4E79"/>
          <w:sz w:val="34"/>
          <w:szCs w:val="34"/>
        </w:rPr>
        <w:t xml:space="preserve">UNIVERSIDAD NACIONAL DE LA RIOJA — SEDE CHAMICAL</w:t>
      </w:r>
    </w:p>
    <w:p>
      <w:pPr>
        <w:spacing w:after="80" w:before="0"/>
        <w:jc w:val="center"/>
      </w:pPr>
      <w:r>
        <w:rPr>
          <w:rFonts w:ascii="Arial" w:cs="Arial" w:eastAsia="Arial" w:hAnsi="Arial"/>
          <w:color w:val="2E75B6"/>
          <w:sz w:val="24"/>
          <w:szCs w:val="24"/>
        </w:rPr>
        <w:t xml:space="preserve">Licenciatura en Sistemas de Información</w:t>
      </w:r>
    </w:p>
    <w:p>
      <w:pPr>
        <w:spacing w:after="80" w:before="0"/>
        <w:jc w:val="center"/>
      </w:pPr>
      <w:r>
        <w:rPr>
          <w:rFonts w:ascii="Arial" w:cs="Arial" w:eastAsia="Arial" w:hAnsi="Arial"/>
          <w:color w:val="555555"/>
          <w:sz w:val="22"/>
          <w:szCs w:val="22"/>
        </w:rPr>
        <w:t xml:space="preserve">Auditoría de Software — 4° Año</w:t>
      </w:r>
    </w:p>
    <w:p>
      <w:pPr>
        <w:spacing w:after="500" w:before="0"/>
        <w:jc w:val="center"/>
      </w:pPr>
      <w:r>
        <w:rPr>
          <w:rFonts w:ascii="Arial" w:cs="Arial" w:eastAsia="Arial" w:hAnsi="Arial"/>
          <w:color w:val="555555"/>
          <w:sz w:val="22"/>
          <w:szCs w:val="22"/>
        </w:rPr>
        <w:t xml:space="preserve">Ciclo Lectivo 2026  |  Docente: Esp. Lic. Balsamo, Pablo Nicolás</w:t>
      </w:r>
    </w:p>
    <w:p>
      <w:pPr>
        <w:pBdr>
          <w:bottom w:val="single" w:color="2E75B6" w:sz="4" w:space="1"/>
        </w:pBdr>
        <w:spacing w:after="140" w:before="140"/>
      </w:pPr>
    </w:p>
    <w:p>
      <w:pPr>
        <w:spacing w:after="120" w:before="400"/>
        <w:jc w:val="center"/>
      </w:pPr>
      <w:r>
        <w:rPr>
          <w:rFonts w:ascii="Arial" w:cs="Arial" w:eastAsia="Arial" w:hAnsi="Arial"/>
          <w:b/>
          <w:bCs/>
          <w:color w:val="1F4E79"/>
          <w:sz w:val="52"/>
          <w:szCs w:val="52"/>
        </w:rPr>
        <w:t xml:space="preserve">DNG-DOC-05</w:t>
      </w:r>
    </w:p>
    <w:p>
      <w:pPr>
        <w:spacing w:after="120" w:before="0"/>
        <w:jc w:val="center"/>
      </w:pPr>
      <w:r>
        <w:rPr>
          <w:rFonts w:ascii="Arial" w:cs="Arial" w:eastAsia="Arial" w:hAnsi="Arial"/>
          <w:b/>
          <w:bCs/>
          <w:color w:val="2E75B6"/>
          <w:sz w:val="30"/>
          <w:szCs w:val="30"/>
        </w:rPr>
        <w:t xml:space="preserve">Estado de Cuentas Corrientes y Análisis Contable — 1er Trimestre 2025</w:t>
      </w:r>
    </w:p>
    <w:p>
      <w:pPr>
        <w:spacing w:after="500" w:before="0"/>
        <w:jc w:val="center"/>
      </w:pPr>
      <w:r>
        <w:rPr>
          <w:rFonts w:ascii="Arial" w:cs="Arial" w:eastAsia="Arial" w:hAnsi="Arial"/>
          <w:color w:val="555555"/>
          <w:sz w:val="24"/>
          <w:szCs w:val="24"/>
        </w:rPr>
        <w:t xml:space="preserve">Distribuidora Norte Grande S.R.L.</w:t>
      </w:r>
    </w:p>
    <w:p>
      <w:pPr>
        <w:pBdr>
          <w:bottom w:val="single" w:color="2E75B6" w:sz="4" w:space="1"/>
        </w:pBdr>
        <w:spacing w:after="140" w:before="140"/>
      </w:pPr>
    </w:p>
    <w:p>
      <w:pPr>
        <w:spacing w:after="60" w:before="280"/>
        <w:jc w:val="center"/>
      </w:pPr>
      <w:r>
        <w:rPr>
          <w:rFonts w:ascii="Arial" w:cs="Arial" w:eastAsia="Arial" w:hAnsi="Arial"/>
          <w:color w:val="555555"/>
          <w:sz w:val="20"/>
          <w:szCs w:val="20"/>
        </w:rPr>
        <w:t xml:space="preserve">Emitido por: Cra. Sandra Vega — Contadora Externa  |  Fecha: 05 de abril de 2025</w:t>
      </w:r>
    </w:p>
    <w:p>
      <w:pPr>
        <w:spacing w:after="60" w:before="0"/>
        <w:jc w:val="center"/>
      </w:pPr>
      <w:r>
        <w:rPr>
          <w:rFonts w:ascii="Arial" w:cs="Arial" w:eastAsia="Arial" w:hAnsi="Arial"/>
          <w:b/>
          <w:bCs/>
          <w:color w:val="C00000"/>
          <w:sz w:val="20"/>
          <w:szCs w:val="20"/>
        </w:rPr>
        <w:t xml:space="preserve">Clasificación: Confidencial — Uso exclusivo del equipo auditor</w:t>
      </w:r>
    </w:p>
    <w:p>
      <w:pPr>
        <w:pageBreakBefore/>
      </w:pPr>
      <w:r>
        <w:t xml:space="preserve"/>
      </w:r>
    </w:p>
    <w:p>
      <w:pPr>
        <w:spacing w:after="120" w:before="0"/>
        <w:jc w:val="right"/>
      </w:pPr>
      <w:r>
        <w:rPr>
          <w:rFonts w:ascii="Arial" w:cs="Arial" w:eastAsia="Arial" w:hAnsi="Arial"/>
          <w:color w:val="555555"/>
          <w:sz w:val="20"/>
          <w:szCs w:val="20"/>
        </w:rPr>
        <w:t xml:space="preserve">Elaborado por: Cra. Sandra Vega  |  Período: enero-marzo 2025  |  Preliminar</w:t>
      </w:r>
    </w:p>
    <w:p>
      <w:pPr>
        <w:pStyle w:val="Heading1"/>
        <w:spacing w:after="160" w:before="340"/>
      </w:pPr>
      <w:r>
        <w:rPr>
          <w:rFonts w:ascii="Arial" w:cs="Arial" w:eastAsia="Arial" w:hAnsi="Arial"/>
          <w:b/>
          <w:bCs/>
          <w:color w:val="1F4E79"/>
          <w:sz w:val="30"/>
          <w:szCs w:val="30"/>
        </w:rPr>
        <w:t xml:space="preserve">1. Estado general de cuentas corrientes</w:t>
      </w:r>
    </w:p>
    <w:p>
      <w:pPr>
        <w:pBdr>
          <w:bottom w:val="single" w:color="2E75B6" w:sz="4" w:space="1"/>
        </w:pBdr>
        <w:spacing w:after="140" w:before="14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800"/>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Indicador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Ene-Mar 2024</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Ene-Mar 2025</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Variación</w:t>
            </w:r>
          </w:p>
        </w:tc>
      </w:tr>
      <w:tr>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Clientes con cuenta corriente activa</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84</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91</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Saldo total adeudado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$892.000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$1.340.000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+50,2%</w:t>
            </w:r>
          </w:p>
        </w:tc>
      </w:tr>
      <w:tr>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Pagos recibidos vs. saldo esperado</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97,2%</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89,4%</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Deterioro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Cuentas con saldo vencido &gt; 30 días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+171%</w:t>
            </w:r>
          </w:p>
        </w:tc>
      </w:tr>
      <w:tr>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Discrepancias entre pagos del sistema y comprobantes físicos</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14</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+600%</w:t>
            </w:r>
          </w:p>
        </w:tc>
      </w:tr>
    </w:tbl>
    <w:p>
      <w:r>
        <w:t xml:space="preserve"/>
      </w:r>
    </w:p>
    <w:p>
      <w:pPr>
        <w:pBdr>
          <w:top w:val="single" w:color="7F6000" w:sz="4"/>
          <w:bottom w:val="single" w:color="7F6000" w:sz="4"/>
          <w:left w:val="single" w:color="7F6000" w:sz="12" w:space="4"/>
          <w:right w:val="single" w:color="7F6000" w:sz="4"/>
        </w:pBdr>
        <w:shd w:fill="FFF2CC" w:val="clear"/>
        <w:spacing w:after="120" w:before="120"/>
      </w:pPr>
      <w:r>
        <w:rPr>
          <w:rFonts w:ascii="Arial" w:cs="Arial" w:eastAsia="Arial" w:hAnsi="Arial"/>
          <w:color w:val="7F6000"/>
          <w:sz w:val="22"/>
          <w:szCs w:val="22"/>
        </w:rPr>
        <w:t xml:space="preserve">  NOTA: El incremento del 600% en discrepancias entre pagos registrados en el sistema y comprobantes físicos es la anomalía más significativa desde la perspectiva contable. Estas discrepancias fueron detectadas por la contadora al realizar la conciliación de marzo.  </w:t>
      </w:r>
    </w:p>
    <w:p>
      <w:r>
        <w:t xml:space="preserve"/>
      </w:r>
    </w:p>
    <w:p>
      <w:pPr>
        <w:pStyle w:val="Heading1"/>
        <w:spacing w:after="160" w:before="340"/>
      </w:pPr>
      <w:r>
        <w:rPr>
          <w:rFonts w:ascii="Arial" w:cs="Arial" w:eastAsia="Arial" w:hAnsi="Arial"/>
          <w:b/>
          <w:bCs/>
          <w:color w:val="1F4E79"/>
          <w:sz w:val="30"/>
          <w:szCs w:val="30"/>
        </w:rPr>
        <w:t xml:space="preserve">2. Detalle de discrepancias detectadas</w:t>
      </w:r>
    </w:p>
    <w:p>
      <w:pPr>
        <w:pBdr>
          <w:bottom w:val="single" w:color="2E75B6" w:sz="4" w:space="1"/>
        </w:pBdr>
        <w:spacing w:after="140" w:before="140"/>
      </w:pP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1600"/>
        <w:gridCol w:w="200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Cliente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Pago registrado en sistema ($)</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Comprobante físico ($)</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Diferencia ($)</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Observación</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Almacén El Rancho</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45.000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38.000</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+7.000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Sistema registra más de lo cobrado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Kiosco Don Pipe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discrepancia</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Buffet Escuela N°14</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28.000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21.500</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+6.500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Sistema registra más de lo cobrado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Almacén La Esquina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discrepancia</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Super Familiar Chepes</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67.000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54.000</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+13.000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Sistema registra más de lo cobrado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Kiosco Mariela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discrepancia</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Almacén San Cayetano</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41.000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32.000</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+9.000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Sistema registra más de lo cobrado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Comedor Barrio Norte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discrepancia</w:t>
            </w:r>
          </w:p>
        </w:tc>
      </w:tr>
    </w:tbl>
    <w:p>
      <w:r>
        <w:t xml:space="preserve"/>
      </w:r>
    </w:p>
    <w:p>
      <w:pPr>
        <w:pBdr>
          <w:top w:val="single" w:color="C00000" w:sz="4"/>
          <w:bottom w:val="single" w:color="C00000" w:sz="4"/>
          <w:left w:val="single" w:color="C00000" w:sz="12" w:space="4"/>
          <w:right w:val="single" w:color="C00000" w:sz="4"/>
        </w:pBdr>
        <w:shd w:fill="FDECEA" w:val="clear"/>
        <w:spacing w:after="120" w:before="120"/>
      </w:pPr>
      <w:r>
        <w:rPr>
          <w:rFonts w:ascii="Arial" w:cs="Arial" w:eastAsia="Arial" w:hAnsi="Arial"/>
          <w:b/>
          <w:bCs/>
          <w:color w:val="C00000"/>
          <w:sz w:val="22"/>
          <w:szCs w:val="22"/>
        </w:rPr>
        <w:t xml:space="preserve">  PATRÓN: En todos los casos con discrepancia, el sistema registra un monto MAYOR al del comprobante físico. Esto es consistente con la hipótesis de que se reciben pagos en efectivo, se registra un monto superior al real en el sistema, y la diferencia se retiene. Total discrepancias detectadas en la muestra: $35.500.  </w:t>
      </w:r>
    </w:p>
    <w:p>
      <w:r>
        <w:t xml:space="preserve"/>
      </w:r>
    </w:p>
    <w:p>
      <w:pPr>
        <w:pStyle w:val="Heading1"/>
        <w:spacing w:after="160" w:before="340"/>
      </w:pPr>
      <w:r>
        <w:rPr>
          <w:rFonts w:ascii="Arial" w:cs="Arial" w:eastAsia="Arial" w:hAnsi="Arial"/>
          <w:b/>
          <w:bCs/>
          <w:color w:val="1F4E79"/>
          <w:sz w:val="30"/>
          <w:szCs w:val="30"/>
        </w:rPr>
        <w:t xml:space="preserve">3. Clientes con pagos en efectivo no respaldados</w:t>
      </w:r>
    </w:p>
    <w:p>
      <w:pPr>
        <w:pBdr>
          <w:bottom w:val="single" w:color="2E75B6" w:sz="4" w:space="1"/>
        </w:pBdr>
        <w:spacing w:after="140" w:before="140"/>
      </w:pPr>
    </w:p>
    <w:p>
      <w:pPr>
        <w:spacing w:after="80" w:before="80"/>
        <w:jc w:val="left"/>
      </w:pPr>
      <w:r>
        <w:rPr>
          <w:rFonts w:ascii="Arial" w:cs="Arial" w:eastAsia="Arial" w:hAnsi="Arial"/>
          <w:sz w:val="22"/>
          <w:szCs w:val="22"/>
        </w:rPr>
        <w:t xml:space="preserve">La contadora detectó 6 clientes que, según el sistema, realizaron pagos en efectivo que no tienen comprobante de recibo firmado por el cliente en los archivos físicos de la empresa:</w:t>
      </w:r>
    </w:p>
    <w:p>
      <w: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2200"/>
        <w:gridCol w:w="240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Cliente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Fecha del pago</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Monto ($)</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 de pago registrada</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Comprobante físico</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Almacén El Progreso</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08/02/2025</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22.000</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Efectivo</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 encontrado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Distribución Mini Yoyi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15/02/2025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Efectivo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encontrado</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Almacén El Rancho</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03/03/2025</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15.000</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Efectivo</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 encontrado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Buffet Club Deportivo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11/03/2025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Efectivo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encontrado</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Kiosco Don Pipe</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19/03/2025</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8.000</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Efectivo</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 encontrado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Familiar Chepes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27/03/2025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Efectivo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encontrado</w:t>
            </w:r>
          </w:p>
        </w:tc>
      </w:tr>
    </w:tbl>
    <w:p>
      <w:r>
        <w:t xml:space="preserve"/>
      </w:r>
    </w:p>
    <w:p>
      <w:pPr>
        <w:pBdr>
          <w:top w:val="single" w:color="C00000" w:sz="4"/>
          <w:bottom w:val="single" w:color="C00000" w:sz="4"/>
          <w:left w:val="single" w:color="C00000" w:sz="12" w:space="4"/>
          <w:right w:val="single" w:color="C00000" w:sz="4"/>
        </w:pBdr>
        <w:shd w:fill="FDECEA" w:val="clear"/>
        <w:spacing w:after="120" w:before="120"/>
      </w:pPr>
      <w:r>
        <w:rPr>
          <w:rFonts w:ascii="Arial" w:cs="Arial" w:eastAsia="Arial" w:hAnsi="Arial"/>
          <w:b/>
          <w:bCs/>
          <w:color w:val="C00000"/>
          <w:sz w:val="22"/>
          <w:szCs w:val="22"/>
        </w:rPr>
        <w:t xml:space="preserve">  TOTAL PAGOS EN EFECTIVO SIN COMPROBANTE FÍSICO: $126.500 en el trimestre. Estos pagos fueron registrados en el sistema por el usuario caj_roxana en todos los casos.  </w:t>
      </w:r>
    </w:p>
    <w:p>
      <w:r>
        <w:t xml:space="preserve"/>
      </w:r>
    </w:p>
    <w:p>
      <w:pPr>
        <w:pStyle w:val="Heading1"/>
        <w:spacing w:after="160" w:before="340"/>
      </w:pPr>
      <w:r>
        <w:rPr>
          <w:rFonts w:ascii="Arial" w:cs="Arial" w:eastAsia="Arial" w:hAnsi="Arial"/>
          <w:b/>
          <w:bCs/>
          <w:color w:val="1F4E79"/>
          <w:sz w:val="30"/>
          <w:szCs w:val="30"/>
        </w:rPr>
        <w:t xml:space="preserve">4. Conclusión del área contable</w:t>
      </w:r>
    </w:p>
    <w:p>
      <w:pPr>
        <w:pBdr>
          <w:bottom w:val="single" w:color="2E75B6" w:sz="4" w:space="1"/>
        </w:pBdr>
        <w:spacing w:after="140" w:before="140"/>
      </w:pPr>
    </w:p>
    <w:p>
      <w:pPr>
        <w:spacing w:after="80" w:before="80"/>
        <w:jc w:val="both"/>
      </w:pPr>
      <w:r>
        <w:rPr>
          <w:rFonts w:ascii="Arial" w:cs="Arial" w:eastAsia="Arial" w:hAnsi="Arial"/>
          <w:sz w:val="22"/>
          <w:szCs w:val="22"/>
        </w:rPr>
        <w:t xml:space="preserve">La Cra. Vega señala que el conjunto de anomalías detectadas — diferencias de caja sistemáticas, discrepancias entre pagos del sistema y comprobantes físicos, y pagos en efectivo sin respaldo — forma un patrón consistente que requiere una investigación técnica profunda del sistema y de los procesos operativos.</w:t>
      </w:r>
    </w:p>
    <w:p>
      <w:r>
        <w:t xml:space="preserve"/>
      </w:r>
    </w:p>
    <w:p>
      <w:pPr>
        <w:pBdr>
          <w:top w:val="single" w:color="7F6000" w:sz="4"/>
          <w:bottom w:val="single" w:color="7F6000" w:sz="4"/>
          <w:left w:val="single" w:color="7F6000" w:sz="12" w:space="4"/>
          <w:right w:val="single" w:color="7F6000" w:sz="4"/>
        </w:pBdr>
        <w:shd w:fill="FFF2CC" w:val="clear"/>
        <w:spacing w:after="120" w:before="120"/>
      </w:pPr>
      <w:r>
        <w:rPr>
          <w:rFonts w:ascii="Arial" w:cs="Arial" w:eastAsia="Arial" w:hAnsi="Arial"/>
          <w:color w:val="7F6000"/>
          <w:sz w:val="22"/>
          <w:szCs w:val="22"/>
        </w:rPr>
        <w:t xml:space="preserve">  NOTA DE LA CONTADORA: Cuando presenté estas discrepancias al Sr. Paz en febrero, él me explicó que 'son errores de carga de la cajera' y que 'el Toro Quiroga le tiene que dar más bola a los números'. Le recomendé iniciar una auditoría formal, lo cual derivó en el presente proceso.  </w:t>
      </w:r>
    </w:p>
    <w:sectPr>
      <w:headerReference w:type="default" r:id="rId7"/>
      <w:footerReference w:type="default" r:id="rId8"/>
      <w:pgSz w:w="12240" w:h="15840" w:orient="portrait"/>
      <w:pgMar w:top="1300" w:right="126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Universidad Nacional de La Rioja — Sede Chamical | Auditoría de Software — 4° Año | DNG-DOC-05    Página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DNG-DOC-05 | Estado de Cuentas Corrientes y Análisis Contable — 1er Trimestre 2025 | Distribuidora Norte Grande S.R.L.</w:t>
    </w:r>
    <w:r>
      <w:rPr>
        <w:rFonts w:ascii="Arial" w:cs="Arial" w:eastAsia="Arial" w:hAnsi="Arial"/>
        <w:color w:val="555555"/>
        <w:sz w:val="18"/>
        <w:szCs w:val="18"/>
      </w:rPr>
      <w:t xml:space="preserve">    Docente: Esp. Lic. Balsamo, Pablo Nicolás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2026-05-19T03:05:30.043Z</dcterms:created>
  <dcterms:modified xsi:type="dcterms:W3CDTF">2026-05-19T03:05:30.043Z</dcterms:modified>
</cp:coreProperties>
</file>

<file path=docProps/custom.xml><?xml version="1.0" encoding="utf-8"?>
<Properties xmlns="http://schemas.openxmlformats.org/officeDocument/2006/custom-properties" xmlns:vt="http://schemas.openxmlformats.org/officeDocument/2006/docPropsVTypes"/>
</file>