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100"/>
        <w:jc w:val="center"/>
      </w:pPr>
      <w:r>
        <w:rPr>
          <w:rFonts w:ascii="Arial" w:cs="Arial" w:eastAsia="Arial" w:hAnsi="Arial"/>
          <w:b/>
          <w:bCs/>
          <w:color w:val="1F4E79"/>
          <w:sz w:val="34"/>
          <w:szCs w:val="34"/>
        </w:rPr>
        <w:t xml:space="preserve">UNIVERSIDAD NACIONAL DE LA RIOJA — SEDE CHAMICAL</w:t>
      </w:r>
    </w:p>
    <w:p>
      <w:pPr>
        <w:spacing w:after="80" w:before="0"/>
        <w:jc w:val="center"/>
      </w:pPr>
      <w:r>
        <w:rPr>
          <w:rFonts w:ascii="Arial" w:cs="Arial" w:eastAsia="Arial" w:hAnsi="Arial"/>
          <w:color w:val="2E75B6"/>
          <w:sz w:val="24"/>
          <w:szCs w:val="24"/>
        </w:rPr>
        <w:t xml:space="preserve">Licenciatura en Sistemas de Información</w:t>
      </w:r>
    </w:p>
    <w:p>
      <w:pPr>
        <w:spacing w:after="80" w:before="0"/>
        <w:jc w:val="center"/>
      </w:pPr>
      <w:r>
        <w:rPr>
          <w:rFonts w:ascii="Arial" w:cs="Arial" w:eastAsia="Arial" w:hAnsi="Arial"/>
          <w:color w:val="555555"/>
          <w:sz w:val="22"/>
          <w:szCs w:val="22"/>
        </w:rPr>
        <w:t xml:space="preserve">Auditoría de Software — 4° Año</w:t>
      </w:r>
    </w:p>
    <w:p>
      <w:pPr>
        <w:spacing w:after="500" w:before="0"/>
        <w:jc w:val="center"/>
      </w:pPr>
      <w:r>
        <w:rPr>
          <w:rFonts w:ascii="Arial" w:cs="Arial" w:eastAsia="Arial" w:hAnsi="Arial"/>
          <w:color w:val="555555"/>
          <w:sz w:val="22"/>
          <w:szCs w:val="22"/>
        </w:rPr>
        <w:t xml:space="preserve">Ciclo Lectivo 2026  |  Docente: Esp. Lic. Balsamo, Pablo Nicolás</w:t>
      </w:r>
    </w:p>
    <w:p>
      <w:pPr>
        <w:pBdr>
          <w:bottom w:val="single" w:color="2E75B6" w:sz="4" w:space="1"/>
        </w:pBdr>
        <w:spacing w:after="140" w:before="140"/>
      </w:pPr>
    </w:p>
    <w:p>
      <w:pPr>
        <w:spacing w:after="120" w:before="400"/>
        <w:jc w:val="center"/>
      </w:pPr>
      <w:r>
        <w:rPr>
          <w:rFonts w:ascii="Arial" w:cs="Arial" w:eastAsia="Arial" w:hAnsi="Arial"/>
          <w:b/>
          <w:bCs/>
          <w:color w:val="1F4E79"/>
          <w:sz w:val="52"/>
          <w:szCs w:val="52"/>
        </w:rPr>
        <w:t xml:space="preserve">DNG-DOC-06</w:t>
      </w:r>
    </w:p>
    <w:p>
      <w:pPr>
        <w:spacing w:after="120" w:before="0"/>
        <w:jc w:val="center"/>
      </w:pPr>
      <w:r>
        <w:rPr>
          <w:rFonts w:ascii="Arial" w:cs="Arial" w:eastAsia="Arial" w:hAnsi="Arial"/>
          <w:b/>
          <w:bCs/>
          <w:color w:val="2E75B6"/>
          <w:sz w:val="30"/>
          <w:szCs w:val="30"/>
        </w:rPr>
        <w:t xml:space="preserve">Informe de Auditoría Interna 2022 — Diferencias de Inventario</w:t>
      </w:r>
    </w:p>
    <w:p>
      <w:pPr>
        <w:spacing w:after="500" w:before="0"/>
        <w:jc w:val="center"/>
      </w:pPr>
      <w:r>
        <w:rPr>
          <w:rFonts w:ascii="Arial" w:cs="Arial" w:eastAsia="Arial" w:hAnsi="Arial"/>
          <w:color w:val="555555"/>
          <w:sz w:val="24"/>
          <w:szCs w:val="24"/>
        </w:rPr>
        <w:t xml:space="preserve">Distribuidora Norte Grande S.R.L.</w:t>
      </w:r>
    </w:p>
    <w:p>
      <w:pPr>
        <w:pBdr>
          <w:bottom w:val="single" w:color="2E75B6" w:sz="4" w:space="1"/>
        </w:pBdr>
        <w:spacing w:after="140" w:before="140"/>
      </w:pPr>
    </w:p>
    <w:p>
      <w:pPr>
        <w:spacing w:after="60" w:before="280"/>
        <w:jc w:val="center"/>
      </w:pPr>
      <w:r>
        <w:rPr>
          <w:rFonts w:ascii="Arial" w:cs="Arial" w:eastAsia="Arial" w:hAnsi="Arial"/>
          <w:color w:val="555555"/>
          <w:sz w:val="20"/>
          <w:szCs w:val="20"/>
        </w:rPr>
        <w:t xml:space="preserve">Emitido por: Archivo Institucional  |  Fecha: Recuperado abril 2025</w:t>
      </w:r>
    </w:p>
    <w:p>
      <w:pPr>
        <w:spacing w:after="60" w:before="0"/>
        <w:jc w:val="center"/>
      </w:pPr>
      <w:r>
        <w:rPr>
          <w:rFonts w:ascii="Arial" w:cs="Arial" w:eastAsia="Arial" w:hAnsi="Arial"/>
          <w:b/>
          <w:bCs/>
          <w:color w:val="C00000"/>
          <w:sz w:val="20"/>
          <w:szCs w:val="20"/>
        </w:rPr>
        <w:t xml:space="preserve">Clasificación: Confidencial — Uso exclusivo del equipo auditor</w:t>
      </w:r>
    </w:p>
    <w:p>
      <w:pPr>
        <w:pageBreakBefore/>
      </w:pPr>
      <w:r>
        <w:t xml:space="preserve"/>
      </w:r>
    </w:p>
    <w:p>
      <w:pPr>
        <w:pBdr>
          <w:top w:val="single" w:color="1F4E79" w:sz="4"/>
          <w:left w:val="single" w:color="1F4E79" w:sz="4"/>
          <w:right w:val="single" w:color="1F4E79" w:sz="4"/>
        </w:pBdr>
        <w:shd w:fill="F2F2F2" w:val="clear"/>
        <w:spacing w:after="0" w:before="200"/>
      </w:pPr>
      <w:r>
        <w:rPr>
          <w:rFonts w:ascii="Arial" w:cs="Arial" w:eastAsia="Arial" w:hAnsi="Arial"/>
          <w:b/>
          <w:bCs/>
          <w:color w:val="1F4E79"/>
          <w:sz w:val="26"/>
          <w:szCs w:val="26"/>
        </w:rPr>
        <w:t xml:space="preserve">  INFORME DE AUDITORÍA INTERNA — DIFERENCIAS DE INVENTARIO</w:t>
      </w:r>
    </w:p>
    <w:p>
      <w:pPr>
        <w:pBdr>
          <w:left w:val="single" w:color="1F4E79" w:sz="4"/>
          <w:right w:val="single" w:color="1F4E79" w:sz="4"/>
        </w:pBdr>
        <w:shd w:fill="F2F2F2" w:val="clear"/>
        <w:spacing w:after="0" w:before="0"/>
      </w:pPr>
      <w:r>
        <w:rPr>
          <w:rFonts w:ascii="Arial" w:cs="Arial" w:eastAsia="Arial" w:hAnsi="Arial"/>
          <w:color w:val="555555"/>
          <w:sz w:val="22"/>
          <w:szCs w:val="22"/>
        </w:rPr>
        <w:t xml:space="preserve">  SistemaGES — Módulo de Stock | Distribuidora Norte Grande S.R.L. | Noviembre 2022</w:t>
      </w:r>
    </w:p>
    <w:p>
      <w:pPr>
        <w:pBdr>
          <w:bottom w:val="single" w:color="1F4E79" w:sz="4"/>
          <w:left w:val="single" w:color="1F4E79" w:sz="4"/>
          <w:right w:val="single" w:color="1F4E79" w:sz="4"/>
        </w:pBdr>
        <w:shd w:fill="F2F2F2" w:val="clear"/>
        <w:spacing w:after="200" w:before="0"/>
      </w:pPr>
      <w:r>
        <w:rPr>
          <w:rFonts w:ascii="Arial" w:cs="Arial" w:eastAsia="Arial" w:hAnsi="Arial"/>
          <w:color w:val="555555"/>
          <w:sz w:val="20"/>
          <w:szCs w:val="20"/>
        </w:rPr>
        <w:t xml:space="preserve">  Auditor interno designado por el dueño. Aprobado el 20 de diciembre de 2022.</w:t>
      </w:r>
    </w:p>
    <w:p>
      <w:r>
        <w:t xml:space="preserve"/>
      </w:r>
    </w:p>
    <w:p>
      <w:pPr>
        <w:pStyle w:val="Heading1"/>
        <w:spacing w:after="160" w:before="340"/>
      </w:pPr>
      <w:r>
        <w:rPr>
          <w:rFonts w:ascii="Arial" w:cs="Arial" w:eastAsia="Arial" w:hAnsi="Arial"/>
          <w:b/>
          <w:bCs/>
          <w:color w:val="1F4E79"/>
          <w:sz w:val="30"/>
          <w:szCs w:val="30"/>
        </w:rPr>
        <w:t xml:space="preserve">1. Resumen ejecutivo</w:t>
      </w:r>
    </w:p>
    <w:p>
      <w:pPr>
        <w:pBdr>
          <w:bottom w:val="single" w:color="2E75B6" w:sz="4" w:space="1"/>
        </w:pBdr>
        <w:spacing w:after="140" w:before="140"/>
      </w:pPr>
    </w:p>
    <w:p>
      <w:pPr>
        <w:spacing w:after="80" w:before="80"/>
        <w:jc w:val="both"/>
      </w:pPr>
      <w:r>
        <w:rPr>
          <w:rFonts w:ascii="Arial" w:cs="Arial" w:eastAsia="Arial" w:hAnsi="Arial"/>
          <w:sz w:val="22"/>
          <w:szCs w:val="22"/>
        </w:rPr>
        <w:t xml:space="preserve">Auditoría realizada en noviembre de 2022 ante la detección de diferencias entre el inventario físico y el registrado en SistemaGES al cierre del tercer trimestre de ese año. Se identificaron dos hallazgos: un problema de procedimientos en el registro de mermas y una debilidad en el control de salidas de mercadería del depósito. El informe formuló tres recomendaciones, de las cuales dos fueron implementadas y una quedó pendiente.</w:t>
      </w:r>
    </w:p>
    <w:p>
      <w:r>
        <w:t xml:space="preserve"/>
      </w:r>
    </w:p>
    <w:p>
      <w:pPr>
        <w:pStyle w:val="Heading1"/>
        <w:spacing w:after="160" w:before="340"/>
      </w:pPr>
      <w:r>
        <w:rPr>
          <w:rFonts w:ascii="Arial" w:cs="Arial" w:eastAsia="Arial" w:hAnsi="Arial"/>
          <w:b/>
          <w:bCs/>
          <w:color w:val="1F4E79"/>
          <w:sz w:val="30"/>
          <w:szCs w:val="30"/>
        </w:rPr>
        <w:t xml:space="preserve">2. Hallazgos</w:t>
      </w:r>
    </w:p>
    <w:p>
      <w:pPr>
        <w:pBdr>
          <w:bottom w:val="single" w:color="2E75B6" w:sz="4" w:space="1"/>
        </w:pBdr>
        <w:spacing w:after="140" w:before="140"/>
      </w:pPr>
    </w:p>
    <w:p>
      <w:pPr>
        <w:pStyle w:val="Heading2"/>
        <w:spacing w:after="120" w:before="240"/>
      </w:pPr>
      <w:r>
        <w:rPr>
          <w:rFonts w:ascii="Arial" w:cs="Arial" w:eastAsia="Arial" w:hAnsi="Arial"/>
          <w:b/>
          <w:bCs/>
          <w:color w:val="2E75B6"/>
          <w:sz w:val="26"/>
          <w:szCs w:val="26"/>
        </w:rPr>
        <w:t xml:space="preserve">Hallazgo 1 — Mermas registradas sin autorización ni acta de respaldo</w:t>
      </w:r>
    </w:p>
    <w:p>
      <w:pPr>
        <w:pBdr>
          <w:top w:val="single" w:color="7F6000" w:sz="4"/>
          <w:bottom w:val="single" w:color="7F6000" w:sz="4"/>
          <w:left w:val="single" w:color="7F6000" w:sz="12" w:space="4"/>
          <w:right w:val="single" w:color="7F6000" w:sz="4"/>
        </w:pBdr>
        <w:shd w:fill="FFF2CC" w:val="clear"/>
        <w:spacing w:after="120" w:before="120"/>
      </w:pPr>
      <w:r>
        <w:rPr>
          <w:rFonts w:ascii="Arial" w:cs="Arial" w:eastAsia="Arial" w:hAnsi="Arial"/>
          <w:color w:val="7F6000"/>
          <w:sz w:val="22"/>
          <w:szCs w:val="22"/>
        </w:rPr>
        <w:t xml:space="preserve">  Criticidad: MEDIA  </w:t>
      </w:r>
    </w:p>
    <w:p>
      <w:pPr>
        <w:spacing w:after="80" w:before="80"/>
        <w:jc w:val="both"/>
      </w:pPr>
      <w:r>
        <w:rPr>
          <w:rFonts w:ascii="Arial" w:cs="Arial" w:eastAsia="Arial" w:hAnsi="Arial"/>
          <w:sz w:val="22"/>
          <w:szCs w:val="22"/>
        </w:rPr>
        <w:t xml:space="preserve">Se detectó que el 60% de las mermas registradas en el período auditado no contaban con la autorización del jefe de ventas ni con el acta física requerida por la política interna. El encargado de depósito registraba las mermas directamente en el sistema sin seguir el procedimiento formal. El hallazgo fue reconocido por el encargado como 'una costumbre que se fue instalando por comodidad'.</w:t>
      </w:r>
    </w:p>
    <w:p>
      <w:r>
        <w:t xml:space="preserve"/>
      </w:r>
    </w:p>
    <w:p>
      <w:pPr>
        <w:spacing w:after="80" w:before="80"/>
        <w:jc w:val="both"/>
      </w:pPr>
      <w:r>
        <w:rPr>
          <w:rFonts w:ascii="Arial" w:cs="Arial" w:eastAsia="Arial" w:hAnsi="Arial"/>
          <w:sz w:val="22"/>
          <w:szCs w:val="22"/>
        </w:rPr>
        <w:t xml:space="preserve">Acción implementada: se reforzó el procedimiento mediante capacitación al encargado y se estableció que el jefe de ventas debe revisar semanalmente el reporte de mermas del sistema. ESTADO: IMPLEMENTADO — enero 2023.</w:t>
      </w:r>
    </w:p>
    <w:p>
      <w:r>
        <w:t xml:space="preserve"/>
      </w:r>
    </w:p>
    <w:p>
      <w:pPr>
        <w:pStyle w:val="Heading2"/>
        <w:spacing w:after="120" w:before="240"/>
      </w:pPr>
      <w:r>
        <w:rPr>
          <w:rFonts w:ascii="Arial" w:cs="Arial" w:eastAsia="Arial" w:hAnsi="Arial"/>
          <w:b/>
          <w:bCs/>
          <w:color w:val="2E75B6"/>
          <w:sz w:val="26"/>
          <w:szCs w:val="26"/>
        </w:rPr>
        <w:t xml:space="preserve">Hallazgo 2 — Ausencia de control de acceso físico al depósito fuera de horario</w:t>
      </w:r>
    </w:p>
    <w:p>
      <w:pPr>
        <w:pBdr>
          <w:top w:val="single" w:color="7F6000" w:sz="4"/>
          <w:bottom w:val="single" w:color="7F6000" w:sz="4"/>
          <w:left w:val="single" w:color="7F6000" w:sz="12" w:space="4"/>
          <w:right w:val="single" w:color="7F6000" w:sz="4"/>
        </w:pBdr>
        <w:shd w:fill="FFF2CC" w:val="clear"/>
        <w:spacing w:after="120" w:before="120"/>
      </w:pPr>
      <w:r>
        <w:rPr>
          <w:rFonts w:ascii="Arial" w:cs="Arial" w:eastAsia="Arial" w:hAnsi="Arial"/>
          <w:color w:val="7F6000"/>
          <w:sz w:val="22"/>
          <w:szCs w:val="22"/>
        </w:rPr>
        <w:t xml:space="preserve">  Criticidad: MEDIA  </w:t>
      </w:r>
    </w:p>
    <w:p>
      <w:pPr>
        <w:spacing w:after="80" w:before="80"/>
        <w:jc w:val="both"/>
      </w:pPr>
      <w:r>
        <w:rPr>
          <w:rFonts w:ascii="Arial" w:cs="Arial" w:eastAsia="Arial" w:hAnsi="Arial"/>
          <w:sz w:val="22"/>
          <w:szCs w:val="22"/>
        </w:rPr>
        <w:t xml:space="preserve">Se detectó que el depósito no tenía sistema de registro de accesos fuera del horario laboral. El encargado tenía llave propia y podía ingresar en cualquier momento sin que quedara registro. Si bien no se encontró evidencia de irregularidades en ese momento, la situación representaba un riesgo de control interno.</w:t>
      </w:r>
    </w:p>
    <w:p>
      <w:r>
        <w:t xml:space="preserve"/>
      </w:r>
    </w:p>
    <w:p>
      <w:pPr>
        <w:spacing w:after="80" w:before="80"/>
        <w:jc w:val="both"/>
      </w:pPr>
      <w:r>
        <w:rPr>
          <w:rFonts w:ascii="Arial" w:cs="Arial" w:eastAsia="Arial" w:hAnsi="Arial"/>
          <w:sz w:val="22"/>
          <w:szCs w:val="22"/>
        </w:rPr>
        <w:t xml:space="preserve">Acción implementada: se instaló una cerradura con código y se estableció que el código solo puede ser modificado por el dueño. ESTADO: IMPLEMENTADO — febrero 2023.</w:t>
      </w:r>
    </w:p>
    <w:p>
      <w:r>
        <w:t xml:space="preserve"/>
      </w:r>
    </w:p>
    <w:p>
      <w:pPr>
        <w:pStyle w:val="Heading2"/>
        <w:spacing w:after="120" w:before="240"/>
      </w:pPr>
      <w:r>
        <w:rPr>
          <w:rFonts w:ascii="Arial" w:cs="Arial" w:eastAsia="Arial" w:hAnsi="Arial"/>
          <w:b/>
          <w:bCs/>
          <w:color w:val="2E75B6"/>
          <w:sz w:val="26"/>
          <w:szCs w:val="26"/>
        </w:rPr>
        <w:t xml:space="preserve">Hallazgo 3 — Ausencia de conciliación mensual entre ventas del sistema y cobros de caja</w:t>
      </w:r>
    </w:p>
    <w:p>
      <w:pPr>
        <w:pBdr>
          <w:top w:val="single" w:color="C00000" w:sz="4"/>
          <w:bottom w:val="single" w:color="C00000" w:sz="4"/>
          <w:left w:val="single" w:color="C00000" w:sz="12" w:space="4"/>
          <w:right w:val="single" w:color="C00000" w:sz="4"/>
        </w:pBdr>
        <w:shd w:fill="FDECEA" w:val="clear"/>
        <w:spacing w:after="120" w:before="120"/>
      </w:pPr>
      <w:r>
        <w:rPr>
          <w:rFonts w:ascii="Arial" w:cs="Arial" w:eastAsia="Arial" w:hAnsi="Arial"/>
          <w:b/>
          <w:bCs/>
          <w:color w:val="C00000"/>
          <w:sz w:val="22"/>
          <w:szCs w:val="22"/>
        </w:rPr>
        <w:t xml:space="preserve">  Criticidad: ALTA — PENDIENTE DE IMPLEMENTACIÓN  </w:t>
      </w:r>
    </w:p>
    <w:p>
      <w:pPr>
        <w:spacing w:after="80" w:before="80"/>
        <w:jc w:val="both"/>
      </w:pPr>
      <w:r>
        <w:rPr>
          <w:rFonts w:ascii="Arial" w:cs="Arial" w:eastAsia="Arial" w:hAnsi="Arial"/>
          <w:sz w:val="22"/>
          <w:szCs w:val="22"/>
        </w:rPr>
        <w:t xml:space="preserve">Se detectó que no existía ningún proceso formal de conciliación mensual entre el total de ventas registradas en el módulo de ventas y el total de cobros registrados en el módulo de caja. Esta conciliación permitiría detectar en forma temprana cualquier discrepancia entre lo facturado y lo cobrado.</w:t>
      </w:r>
    </w:p>
    <w:p>
      <w:r>
        <w:t xml:space="preserve"/>
      </w:r>
    </w:p>
    <w:p>
      <w:pPr>
        <w:pBdr>
          <w:top w:val="single" w:color="7F6000" w:sz="6"/>
          <w:bottom w:val="single" w:color="7F6000" w:sz="6"/>
          <w:left w:val="single" w:color="7F6000" w:sz="6"/>
          <w:right w:val="single" w:color="7F6000" w:sz="6"/>
        </w:pBdr>
        <w:shd w:fill="FFF2CC" w:val="clear"/>
        <w:spacing w:after="120" w:before="120"/>
      </w:pPr>
      <w:r>
        <w:rPr>
          <w:rFonts w:ascii="Arial" w:cs="Arial" w:eastAsia="Arial" w:hAnsi="Arial"/>
          <w:color w:val="7F6000"/>
          <w:sz w:val="22"/>
          <w:szCs w:val="22"/>
        </w:rPr>
        <w:t xml:space="preserve">  RECOMENDACIÓN PRIORITARIA (REC-03): Implementar una conciliación mensual formal entre el módulo de ventas y el módulo de caja de SistemaGES, a cargo de la contadora externa, que verifique que el total cobrado coincide con el total facturado y que las diferencias de caja tienen justificación documentada. Esta conciliación debería incluir también la verificación de que los precios facturados coinciden con la lista oficial vigente.  </w:t>
      </w:r>
    </w:p>
    <w:p>
      <w:r>
        <w:t xml:space="preserve"/>
      </w:r>
    </w:p>
    <w:p>
      <w:pPr>
        <w:pBdr>
          <w:top w:val="single" w:color="C00000" w:sz="4"/>
          <w:bottom w:val="single" w:color="C00000" w:sz="4"/>
          <w:left w:val="single" w:color="C00000" w:sz="12" w:space="4"/>
          <w:right w:val="single" w:color="C00000" w:sz="4"/>
        </w:pBdr>
        <w:shd w:fill="FDECEA" w:val="clear"/>
        <w:spacing w:after="120" w:before="120"/>
      </w:pPr>
      <w:r>
        <w:rPr>
          <w:rFonts w:ascii="Arial" w:cs="Arial" w:eastAsia="Arial" w:hAnsi="Arial"/>
          <w:b/>
          <w:bCs/>
          <w:color w:val="C00000"/>
          <w:sz w:val="22"/>
          <w:szCs w:val="22"/>
        </w:rPr>
        <w:t xml:space="preserve">  ESTADO AL CIERRE DEL INFORME: PENDIENTE. El Sr. Paz tomó nota de la recomendación pero consideró que 'no era urgente porque la contadora ya revisa los números'. La recomendación fue registrada en el acta de cierre del 20/12/2022 y nunca fue implementada formalmente.  </w:t>
      </w:r>
    </w:p>
    <w:p>
      <w:r>
        <w:t xml:space="preserve"/>
      </w:r>
    </w:p>
    <w:p>
      <w:pPr>
        <w:pBdr>
          <w:left w:val="single" w:color="7F6000" w:sz="12" w:space="4"/>
        </w:pBdr>
        <w:shd w:fill="FFF2CC" w:val="clear"/>
        <w:spacing w:after="120" w:before="120"/>
      </w:pPr>
      <w:r>
        <w:rPr>
          <w:rFonts w:ascii="Arial" w:cs="Arial" w:eastAsia="Arial" w:hAnsi="Arial"/>
          <w:color w:val="7F6000"/>
          <w:sz w:val="22"/>
          <w:szCs w:val="22"/>
        </w:rPr>
        <w:t xml:space="preserve">  NOTA DE SEGUIMIENTO (abril 2025): La recomendación REC-03 nunca fue implementada. De haberse implementado, las anomalías en caja y en los precios facturados detectadas en el primer trimestre de 2025 habrían sido identificadas desde enero de ese año, limitando significativamente el impacto económico del problema.  </w:t>
      </w:r>
    </w:p>
    <w:p>
      <w:r>
        <w:t xml:space="preserve"/>
      </w:r>
    </w:p>
    <w:p>
      <w:pPr>
        <w:pStyle w:val="Heading1"/>
        <w:spacing w:after="160" w:before="340"/>
      </w:pPr>
      <w:r>
        <w:rPr>
          <w:rFonts w:ascii="Arial" w:cs="Arial" w:eastAsia="Arial" w:hAnsi="Arial"/>
          <w:b/>
          <w:bCs/>
          <w:color w:val="1F4E79"/>
          <w:sz w:val="30"/>
          <w:szCs w:val="30"/>
        </w:rPr>
        <w:t xml:space="preserve">3. Resumen de recomendaciones</w:t>
      </w:r>
    </w:p>
    <w:p>
      <w:pPr>
        <w:pBdr>
          <w:bottom w:val="single" w:color="2E75B6" w:sz="4" w:space="1"/>
        </w:pBdr>
        <w:spacing w:after="140" w:before="1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5800"/>
        <w:gridCol w:w="2360"/>
      </w:tblGrid>
      <w:tr>
        <w:trPr>
          <w:tblHeader/>
        </w:trPr>
        <w:tc>
          <w:tcPr>
            <w:tcW w:type="dxa" w:w="12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W w:type="dxa" w:w="580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Recomendación</w:t>
            </w:r>
          </w:p>
        </w:tc>
        <w:tc>
          <w:tcPr>
            <w:tcW w:type="dxa" w:w="236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REC-01</w:t>
            </w:r>
          </w:p>
        </w:tc>
        <w:tc>
          <w:tcPr>
            <w:tcW w:type="dxa" w:w="5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Reforzar procedimiento de registro de mermas con autorización y acta.</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IMPLEMENTADO — Ene. 2023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REC-02</w:t>
            </w:r>
          </w:p>
        </w:tc>
        <w:tc>
          <w:tcPr>
            <w:tcW w:type="dxa" w:w="5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Instalar sistema de registro de accesos al depósito fuera de horario.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IMPLEMENTADO — Feb. 2023</w:t>
            </w:r>
          </w:p>
        </w:tc>
      </w:tr>
      <w:tr>
        <w:tc>
          <w:tcPr>
            <w:tcW w:type="dxa" w:w="12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REC-03</w:t>
            </w:r>
          </w:p>
        </w:tc>
        <w:tc>
          <w:tcPr>
            <w:tcW w:type="dxa" w:w="580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Implementar conciliación mensual ventas vs. caja con verificación de precios.</w:t>
            </w:r>
          </w:p>
        </w:tc>
        <w:tc>
          <w:tcPr>
            <w:tcW w:type="dxa" w:w="2360"/>
            <w:tcBorders>
              <w:top w:val="single" w:color="CCCCCC" w:sz="1"/>
              <w:left w:val="single" w:color="CCCCCC" w:sz="1"/>
              <w:bottom w:val="single" w:color="CCCCCC" w:sz="1"/>
              <w:right w:val="single" w:color="CCCCCC" w:sz="1"/>
            </w:tcBorders>
            <w:shd w:fill="EBF3FA" w:val="clear"/>
            <w:tcMar>
              <w:top w:type="dxa" w:w="80"/>
              <w:left w:type="dxa" w:w="120"/>
              <w:bottom w:type="dxa" w:w="80"/>
              <w:right w:type="dxa" w:w="120"/>
            </w:tcMar>
          </w:tcPr>
          <w:p>
            <w:r>
              <w:rPr>
                <w:rFonts w:ascii="Arial" w:cs="Arial" w:eastAsia="Arial" w:hAnsi="Arial"/>
                <w:sz w:val="20"/>
                <w:szCs w:val="20"/>
              </w:rPr>
              <w:t xml:space="preserve">NUNCA IMPLEMENTADO</w:t>
            </w:r>
          </w:p>
        </w:tc>
      </w:tr>
    </w:tbl>
    <w:sectPr>
      <w:headerReference w:type="default" r:id="rId7"/>
      <w:footerReference w:type="default" r:id="rId8"/>
      <w:pgSz w:w="12240" w:h="15840" w:orient="portrait"/>
      <w:pgMar w:top="1300" w:right="126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jc w:val="center"/>
    </w:pPr>
    <w:r>
      <w:rPr>
        <w:rFonts w:ascii="Arial" w:cs="Arial" w:eastAsia="Arial" w:hAnsi="Arial"/>
        <w:color w:val="555555"/>
        <w:sz w:val="18"/>
        <w:szCs w:val="18"/>
      </w:rPr>
      <w:t xml:space="preserve">Universidad Nacional de La Rioja — Sede Chamical | Auditoría de Software — 4° Año | DNG-DOC-06    Página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rFonts w:ascii="Arial" w:cs="Arial" w:eastAsia="Arial" w:hAnsi="Arial"/>
        <w:b/>
        <w:bCs/>
        <w:color w:val="2E75B6"/>
        <w:sz w:val="18"/>
        <w:szCs w:val="18"/>
      </w:rPr>
      <w:t xml:space="preserve">DNG-DOC-06 | Informe de Auditoría Interna 2022 — Diferencias de Inventario | Distribuidora Norte Grande S.R.L.</w:t>
    </w:r>
    <w:r>
      <w:rPr>
        <w:rFonts w:ascii="Arial" w:cs="Arial" w:eastAsia="Arial" w:hAnsi="Arial"/>
        <w:color w:val="555555"/>
        <w:sz w:val="18"/>
        <w:szCs w:val="18"/>
      </w:rPr>
      <w:t xml:space="preserve">    Docente: Esp. Lic. Balsamo, Pablo Nicolás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40"/>
      <w:outlineLvl w:val="0"/>
    </w:pPr>
    <w:rPr>
      <w:rFonts w:ascii="Arial" w:cs="Arial" w:eastAsia="Arial" w:hAnsi="Arial"/>
      <w:b/>
      <w:bCs/>
      <w:color w:val="1F4E79"/>
      <w:sz w:val="30"/>
      <w:szCs w:val="30"/>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F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2026-05-19T03:05:30.092Z</dcterms:created>
  <dcterms:modified xsi:type="dcterms:W3CDTF">2026-05-19T03:05:30.092Z</dcterms:modified>
</cp:coreProperties>
</file>

<file path=docProps/custom.xml><?xml version="1.0" encoding="utf-8"?>
<Properties xmlns="http://schemas.openxmlformats.org/officeDocument/2006/custom-properties" xmlns:vt="http://schemas.openxmlformats.org/officeDocument/2006/docPropsVTypes"/>
</file>