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6B4F"/>
          <w:sz w:val="20"/>
          <w:szCs w:val="20"/>
        </w:rPr>
        <w:t xml:space="preserve">Peckers · VM Analytics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Weekly Summary — Field Calculation Reference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A5A5A"/>
          <w:sz w:val="22"/>
          <w:szCs w:val="22"/>
        </w:rPr>
        <w:t xml:space="preserve">How every figure on the Weekly Summary (manager P&amp;L) dashboard is calculated</w:t>
      </w:r>
    </w:p>
    <w:p>
      <w:pPr>
        <w:spacing w:after="120"/>
      </w:pPr>
      <w:r>
        <w:rPr>
          <w:rFonts w:ascii="Calibri" w:cs="Calibri" w:eastAsia="Calibri" w:hAnsi="Calibri"/>
          <w:color w:val="5A5A5A"/>
          <w:sz w:val="18"/>
          <w:szCs w:val="18"/>
        </w:rPr>
        <w:t xml:space="preserve">Version 1.0 · 14 July 2026</w:t>
      </w:r>
    </w:p>
    <w:p>
      <w:pPr>
        <w:pBdr>
          <w:bottom w:val="single" w:color="C9D3DD" w:sz="6"/>
        </w:pBdr>
        <w:spacing w:after="120" w:before="40"/>
      </w:pPr>
      <w:r>
        <w:t xml:space="preserv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Overview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Weekly Summary dashboard is a manager-driven profit &amp; loss view for a single store and week, or for both stores combined. It takes two automatic sales figures (Net Sales and Gross Sales) from the analytics database and combines them with a set of operational costs that the manager enters each week. From these it derives Gross Margin, Store Contribution and Net Margin, each compared against a budget where a budget target has been set.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Every currency figure is shown in £ to 2 decimal places. Every percentage is stored in the database as a decimal (for example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0.65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means 65%) and displayed multiplied by 100 to 2 decimal places.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Where the numbers come from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Two figures are pulled automatically; everything else is entered by the manager.</w:t>
      </w:r>
    </w:p>
    <w:tbl>
      <w:tblPr>
        <w:tblW w:type="dxa" w:w="902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4"/>
          <w:insideV w:val="single" w:color="C9D3DD" w:sz="4"/>
        </w:tblBorders>
      </w:tblPr>
      <w:tblGrid>
        <w:gridCol w:w="2100"/>
        <w:gridCol w:w="2600"/>
        <w:gridCol w:w="4320"/>
      </w:tblGrid>
      <w:tr>
        <w:trPr>
          <w:tblHeader/>
        </w:trPr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Figure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3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Net Sales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Executive dashboard view</w:t>
            </w:r>
          </w:p>
        </w:tc>
        <w:tc>
          <w:tcPr>
            <w:tcW w:type="dxa" w:w="43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Same source as the Executive dashboard, per store per week. Used as the denominator for most percentages.</w:t>
            </w:r>
          </w:p>
        </w:tc>
      </w:tr>
      <w:tr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EF2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Gross Sales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EF2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Store Comparison view</w:t>
            </w:r>
          </w:p>
        </w:tc>
        <w:tc>
          <w:tcPr>
            <w:tcW w:type="dxa" w:w="43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EF2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Taken from the comparison view because the Executive view does not expose gross sales. Used only for the Net Margin percentage.</w:t>
            </w:r>
          </w:p>
        </w:tc>
      </w:tr>
      <w:tr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Operational costs &amp; budgets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Manager inputs table</w:t>
            </w:r>
          </w:p>
        </w:tc>
        <w:tc>
          <w:tcPr>
            <w:tcW w:type="dxa" w:w="43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Entered per store, per week, via the dashboard form (see section 3).</w:t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Note: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Net Sales drives the percentage for Gross Margin, Labour, Occupancy and Store Contribution. Net Margin % is the one exception — it is measured against Gross Sales.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Manager inputs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These values are entered each week for each store and stored in the weekly_summary_inputs table. Where a manager leaves a field blank it is treated as zero.</w:t>
      </w:r>
    </w:p>
    <w:tbl>
      <w:tblPr>
        <w:tblW w:type="dxa" w:w="902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4"/>
          <w:insideV w:val="single" w:color="C9D3DD" w:sz="4"/>
        </w:tblBorders>
      </w:tblPr>
      <w:tblGrid>
        <w:gridCol w:w="2500"/>
        <w:gridCol w:w="2100"/>
        <w:gridCol w:w="4420"/>
      </w:tblGrid>
      <w:tr>
        <w:trPr>
          <w:tblHeader/>
        </w:trPr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COGS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£</w:t>
            </w:r>
          </w:p>
        </w:tc>
        <w:tc>
          <w:tcPr>
            <w:tcW w:type="dxa" w:w="44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Cost of goods sold for this store.</w:t>
            </w:r>
          </w:p>
        </w:tc>
      </w:tr>
      <w:tr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EF2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COGS (other store)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EF2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£</w:t>
            </w:r>
          </w:p>
        </w:tc>
        <w:tc>
          <w:tcPr>
            <w:tcW w:type="dxa" w:w="44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EF2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Complementary/other-store COGS added back into this store's gross margin. Labelled “COGS Stevenage” when viewing Hitchin, and vice-versa.</w:t>
            </w:r>
          </w:p>
        </w:tc>
      </w:tr>
      <w:tr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Fillings and Samosas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£</w:t>
            </w:r>
          </w:p>
        </w:tc>
        <w:tc>
          <w:tcPr>
            <w:tcW w:type="dxa" w:w="44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Value added back into gross margin (central production adjustment).</w:t>
            </w:r>
          </w:p>
        </w:tc>
      </w:tr>
      <w:tr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EF2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Packaging Costs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EF2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£</w:t>
            </w:r>
          </w:p>
        </w:tc>
        <w:tc>
          <w:tcPr>
            <w:tcW w:type="dxa" w:w="44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EF2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Deducted when calculating Store Contribution.</w:t>
            </w:r>
          </w:p>
        </w:tc>
      </w:tr>
      <w:tr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Marketing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£</w:t>
            </w:r>
          </w:p>
        </w:tc>
        <w:tc>
          <w:tcPr>
            <w:tcW w:type="dxa" w:w="44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Recorded for reference only — not deducted in Store Contribution or Net Margin (see section 5).</w:t>
            </w:r>
          </w:p>
        </w:tc>
      </w:tr>
      <w:tr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EF2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Labour Cost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EF2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£</w:t>
            </w:r>
          </w:p>
        </w:tc>
        <w:tc>
          <w:tcPr>
            <w:tcW w:type="dxa" w:w="44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EF2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Total labour cost for the week.</w:t>
            </w:r>
          </w:p>
        </w:tc>
      </w:tr>
      <w:tr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Occupancy Cost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£</w:t>
            </w:r>
          </w:p>
        </w:tc>
        <w:tc>
          <w:tcPr>
            <w:tcW w:type="dxa" w:w="44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Rent, rates and related occupancy costs.</w:t>
            </w:r>
          </w:p>
        </w:tc>
      </w:tr>
      <w:tr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EF2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Aggregator Costs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EF2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£</w:t>
            </w:r>
          </w:p>
        </w:tc>
        <w:tc>
          <w:tcPr>
            <w:tcW w:type="dxa" w:w="44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EF2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Third-party delivery commission; deducted to reach Net Margin.</w:t>
            </w:r>
          </w:p>
        </w:tc>
      </w:tr>
      <w:tr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Gross Margin Budget %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decimal</w:t>
            </w:r>
          </w:p>
        </w:tc>
        <w:tc>
          <w:tcPr>
            <w:tcW w:type="dxa" w:w="44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Target gross-margin share of Net Sales (e.g. 0.65 = 65%).</w:t>
            </w:r>
          </w:p>
        </w:tc>
      </w:tr>
      <w:tr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EF2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Labour Budget %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EF2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decimal</w:t>
            </w:r>
          </w:p>
        </w:tc>
        <w:tc>
          <w:tcPr>
            <w:tcW w:type="dxa" w:w="44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EF2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Target labour share of Net Sales (e.g. 0.28 = 28%).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Field-by-field formulas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dashboard lists the following rows in order. Rows marked “input” are shown exactly as entered; the rest are calculated.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4F"/>
          <w:sz w:val="24"/>
          <w:szCs w:val="24"/>
        </w:rPr>
        <w:t xml:space="preserve">Passthrough rows (shown as entered)</w:t>
      </w:r>
    </w:p>
    <w:tbl>
      <w:tblPr>
        <w:tblW w:type="dxa" w:w="902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4"/>
          <w:insideV w:val="single" w:color="C9D3DD" w:sz="4"/>
        </w:tblBorders>
      </w:tblPr>
      <w:tblGrid>
        <w:gridCol w:w="2600"/>
        <w:gridCol w:w="6420"/>
      </w:tblGrid>
      <w:tr>
        <w:trPr>
          <w:tblHeader/>
        </w:trPr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Row</w:t>
            </w:r>
          </w:p>
        </w:tc>
        <w:tc>
          <w:tcPr>
            <w:tcW w:type="dxa" w:w="64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Gross Sales</w:t>
            </w:r>
          </w:p>
        </w:tc>
        <w:tc>
          <w:tcPr>
            <w:tcW w:type="dxa" w:w="64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Gross Sales (from database)</w:t>
            </w:r>
          </w:p>
        </w:tc>
      </w:tr>
      <w:tr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EF2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Net Sales</w:t>
            </w:r>
          </w:p>
        </w:tc>
        <w:tc>
          <w:tcPr>
            <w:tcW w:type="dxa" w:w="64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EF2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Net Sales (from database)</w:t>
            </w:r>
          </w:p>
        </w:tc>
      </w:tr>
      <w:tr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COGS</w:t>
            </w:r>
          </w:p>
        </w:tc>
        <w:tc>
          <w:tcPr>
            <w:tcW w:type="dxa" w:w="64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COGS input</w:t>
            </w:r>
          </w:p>
        </w:tc>
      </w:tr>
      <w:tr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EF2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COGS (other store)</w:t>
            </w:r>
          </w:p>
        </w:tc>
        <w:tc>
          <w:tcPr>
            <w:tcW w:type="dxa" w:w="64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EF2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COGS other-store input</w:t>
            </w:r>
          </w:p>
        </w:tc>
      </w:tr>
      <w:tr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Fillings and Samosas</w:t>
            </w:r>
          </w:p>
        </w:tc>
        <w:tc>
          <w:tcPr>
            <w:tcW w:type="dxa" w:w="64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Fillings and Samosas input</w:t>
            </w:r>
          </w:p>
        </w:tc>
      </w:tr>
      <w:tr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EF2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Packaging Costs</w:t>
            </w:r>
          </w:p>
        </w:tc>
        <w:tc>
          <w:tcPr>
            <w:tcW w:type="dxa" w:w="64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EF2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Packaging Costs input</w:t>
            </w:r>
          </w:p>
        </w:tc>
      </w:tr>
      <w:tr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Marketing</w:t>
            </w:r>
          </w:p>
        </w:tc>
        <w:tc>
          <w:tcPr>
            <w:tcW w:type="dxa" w:w="64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Marketing input</w:t>
            </w:r>
          </w:p>
        </w:tc>
      </w:tr>
      <w:tr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EF2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Aggregator Costs</w:t>
            </w:r>
          </w:p>
        </w:tc>
        <w:tc>
          <w:tcPr>
            <w:tcW w:type="dxa" w:w="64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EF2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Aggregator Costs input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4F"/>
          <w:sz w:val="24"/>
          <w:szCs w:val="24"/>
        </w:rPr>
        <w:t xml:space="preserve">Gross Margin</w:t>
      </w:r>
    </w:p>
    <w:tbl>
      <w:tblPr>
        <w:tblW w:type="dxa" w:w="902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Actual      = Net Sales − COGS + COGS(other store) + Fillings and Samosas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Actual %    = Gross Margin Actual ÷ Net Sales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Budget      = Gross Margin Budget % × Net Sales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Budget %    = Gross Margin Budget %   (the manager input)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Variance    = Actual − Budget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Variance %  = Actual % − Budget %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A positive variance is favourable (actual margin above budget).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4F"/>
          <w:sz w:val="24"/>
          <w:szCs w:val="24"/>
        </w:rPr>
        <w:t xml:space="preserve">Labour</w:t>
      </w:r>
    </w:p>
    <w:tbl>
      <w:tblPr>
        <w:tblW w:type="dxa" w:w="902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Actual      = Labour Cost   (the manager input)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Actual %    = Labour ÷ Net Sales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Budget      = Labour Budget % × Net Sales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Budget %    = Labour Budget %   (the manager input)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Variance    = Budget − Actual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Variance %  = Budget % − Labour %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Labour variance is deliberately reversed versus Gross Margin: a positive variance means labour came in 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under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budget, which is favourable.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Variance colouring: negative values display red, positive values display green.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4F"/>
          <w:sz w:val="24"/>
          <w:szCs w:val="24"/>
        </w:rPr>
        <w:t xml:space="preserve">Occupancy Costs</w:t>
      </w:r>
    </w:p>
    <w:tbl>
      <w:tblPr>
        <w:tblW w:type="dxa" w:w="902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Actual   = Occupancy Cost   (the manager input)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Actual % = Occupancy ÷ Net Sales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No budget or variance is calculated for occupancy.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4F"/>
          <w:sz w:val="24"/>
          <w:szCs w:val="24"/>
        </w:rPr>
        <w:t xml:space="preserve">Store Contribution</w:t>
      </w:r>
    </w:p>
    <w:tbl>
      <w:tblPr>
        <w:tblW w:type="dxa" w:w="902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Store Contribution   = Gross Margin (Actual) − Labour − Occupancy Cost − Packaging Costs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Store Contribution % = Store Contribution ÷ Net Sales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Marketing is 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not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subtracted here — it is an informational line only. No budget or variance is calculated.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4F"/>
          <w:sz w:val="24"/>
          <w:szCs w:val="24"/>
        </w:rPr>
        <w:t xml:space="preserve">Net Margin</w:t>
      </w:r>
    </w:p>
    <w:tbl>
      <w:tblPr>
        <w:tblW w:type="dxa" w:w="902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Net Margin   = Store Contribution − Aggregator Costs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Net Margin % = Net Margin ÷ Gross Sales      ← note: GROSS sales, not net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Net Margin % is the only percentage measured against Gross Sales rather than Net Sales.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Combined (both stores) view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When no single store is selected, Hitchin and Stevenage are merged before the formulas in section 4 are applied: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Net Sales &amp; Gross Sales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added together across the two stores.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All cost inputs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(COGS, COGS other store, Fillings, Packaging, Marketing, Labour, Occupancy, Aggregator) — added together.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Budget percentages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(Gross Margin Budget %, Labour Budget %) — the 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average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of the two stores' budget %. If only one store has entered data, that store's budget % is used.</w:t>
      </w:r>
    </w:p>
    <w:p>
      <w:pPr>
        <w:spacing w:after="12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If one store's inputs are missing, the combined figures are still shown but flagged as incomplete on the dashboard.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6. Rounding &amp; edge-case conventions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Division by zero: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any percentage whose denominator (Net Sales or Gross Sales) is zero or negative is shown as 0.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Blank inputs: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 unentered cost or budget is treated as 0.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Percentages: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stored as decimals (0.65), displayed × 100 to exactly 2 decimal places (65.00%).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Currency: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displayed in £ to 2 decimal places.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Percentages are held at full precision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through the calculation and only rounded at display time, so a shown figure matches the underlying maths.</w:t>
      </w:r>
    </w:p>
    <w:p>
      <w:pPr>
        <w:pBdr>
          <w:bottom w:val="single" w:color="C9D3DD" w:sz="6"/>
        </w:pBdr>
        <w:spacing w:after="120" w:before="4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Source of truth: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lib/vm-analytics/weekly-summary.ts (calculations), app/(protected)/vm-analytics/weekly-summary/page.tsx (data wiring), components/vm-analytics/WeeklySummaryTable.tsx (display).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2026-07-14T08:11:38.936Z</dcterms:created>
  <dcterms:modified xsi:type="dcterms:W3CDTF">2026-07-14T08:11:38.937Z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