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Helvetica" w:hAnsi="Helvetica"/>
          <w:b/>
          <w:color w:val="1A73E8"/>
          <w:sz w:val="19"/>
        </w:rPr>
        <w:t>INVESTMENT PROPOSAL</w:t>
      </w:r>
    </w:p>
    <w:p>
      <w:pPr>
        <w:spacing w:before="200" w:after="160"/>
      </w:pPr>
      <w:r>
        <w:rPr>
          <w:rFonts w:ascii="Helvetica" w:hAnsi="Helvetica"/>
          <w:b/>
          <w:color w:val="0F2537"/>
          <w:sz w:val="64"/>
        </w:rPr>
        <w:t>Commute Service</w:t>
      </w:r>
    </w:p>
    <w:p>
      <w:pPr>
        <w:spacing w:after="480"/>
      </w:pPr>
      <w:r>
        <w:rPr>
          <w:rFonts w:ascii="Helvetica" w:hAnsi="Helvetica"/>
          <w:color w:val="64748B"/>
          <w:sz w:val="24"/>
        </w:rPr>
        <w:t>A hyper-local, trust-based micro-mobility &amp; rideshare platform designed for gated estates and residential communities.</w:t>
      </w:r>
    </w:p>
    <w:tbl>
      <w:tblPr>
        <w:tblW w:type="auto" w:w="0"/>
        <w:jc w:val="left"/>
        <w:tblLook w:firstColumn="1" w:firstRow="1" w:lastColumn="0" w:lastRow="0" w:noHBand="0" w:noVBand="1" w:val="04A0"/>
      </w:tblPr>
      <w:tblGrid>
        <w:gridCol w:w="9360"/>
      </w:tblGrid>
      <w:tr>
        <w:tc>
          <w:tcPr>
            <w:tcW w:type="dxa" w:w="1152"/>
            <w:shd w:fill="1A73E8"/>
            <w:tcBorders>
              <w:top w:val="none"/>
              <w:left w:val="none"/>
              <w:bottom w:val="none"/>
              <w:right w:val="none"/>
            </w:tcBorders>
          </w:tcPr>
          <w:p>
            <w:r>
              <w:rPr>
                <w:sz w:val="4"/>
              </w:rPr>
            </w:r>
          </w:p>
        </w:tc>
      </w:tr>
    </w:tbl>
    <w:p>
      <w:pPr>
        <w:spacing w:before="800"/>
      </w:pPr>
    </w:p>
    <w:tbl>
      <w:tblPr>
        <w:tblW w:type="auto" w:w="0"/>
        <w:jc w:val="left"/>
        <w:tblLayout w:type="fixed"/>
        <w:tblLook w:firstColumn="1" w:firstRow="1" w:lastColumn="0" w:lastRow="0" w:noHBand="0" w:noVBand="1" w:val="04A0"/>
      </w:tblPr>
      <w:tblGrid>
        <w:gridCol w:w="4680"/>
        <w:gridCol w:w="4680"/>
      </w:tblGrid>
      <w:tr>
        <w:tc>
          <w:tcPr>
            <w:tcW w:type="dxa" w:w="2592"/>
            <w:shd w:fill="F8FAFC"/>
            <w:tcMar>
              <w:top w:w="100" w:type="dxa"/>
              <w:bottom w:w="100" w:type="dxa"/>
              <w:left w:w="150" w:type="dxa"/>
              <w:right w:w="150" w:type="dxa"/>
            </w:tcMar>
            <w:tcBorders>
              <w:top w:val="none"/>
              <w:left w:val="none"/>
              <w:bottom w:val="none"/>
              <w:right w:val="none"/>
            </w:tcBorders>
          </w:tcPr>
          <w:p>
            <w:r>
              <w:rPr>
                <w:rFonts w:ascii="Helvetica" w:hAnsi="Helvetica"/>
                <w:b/>
                <w:color w:val="64748B"/>
                <w:sz w:val="19"/>
              </w:rPr>
              <w:t>Prepared For:</w:t>
            </w:r>
          </w:p>
        </w:tc>
        <w:tc>
          <w:tcPr>
            <w:tcW w:type="dxa" w:w="6480"/>
            <w:shd w:fill="F8FAFC"/>
            <w:tcMar>
              <w:top w:w="100" w:type="dxa"/>
              <w:bottom w:w="100" w:type="dxa"/>
              <w:left w:w="150" w:type="dxa"/>
              <w:right w:w="150" w:type="dxa"/>
            </w:tcMar>
            <w:tcBorders>
              <w:top w:val="none"/>
              <w:left w:val="none"/>
              <w:bottom w:val="none"/>
              <w:right w:val="none"/>
            </w:tcBorders>
          </w:tcPr>
          <w:p>
            <w:r>
              <w:rPr>
                <w:rFonts w:ascii="Helvetica" w:hAnsi="Helvetica"/>
                <w:b/>
                <w:color w:val="0F2537"/>
                <w:sz w:val="21"/>
              </w:rPr>
              <w:t>Benedicta Nwaefido</w:t>
            </w:r>
          </w:p>
        </w:tc>
      </w:tr>
      <w:tr>
        <w:tc>
          <w:tcPr>
            <w:tcW w:type="dxa" w:w="2592"/>
            <w:shd w:fill="F8FAFC"/>
            <w:tcMar>
              <w:top w:w="100" w:type="dxa"/>
              <w:bottom w:w="100" w:type="dxa"/>
              <w:left w:w="150" w:type="dxa"/>
              <w:right w:w="150" w:type="dxa"/>
            </w:tcMar>
            <w:tcBorders>
              <w:top w:val="none"/>
              <w:left w:val="none"/>
              <w:bottom w:val="none"/>
              <w:right w:val="none"/>
            </w:tcBorders>
          </w:tcPr>
          <w:p>
            <w:r>
              <w:rPr>
                <w:rFonts w:ascii="Helvetica" w:hAnsi="Helvetica"/>
                <w:b/>
                <w:color w:val="64748B"/>
                <w:sz w:val="19"/>
              </w:rPr>
              <w:t>Prepared By:</w:t>
            </w:r>
          </w:p>
        </w:tc>
        <w:tc>
          <w:tcPr>
            <w:tcW w:type="dxa" w:w="6480"/>
            <w:shd w:fill="F8FAFC"/>
            <w:tcMar>
              <w:top w:w="100" w:type="dxa"/>
              <w:bottom w:w="100" w:type="dxa"/>
              <w:left w:w="150" w:type="dxa"/>
              <w:right w:w="150" w:type="dxa"/>
            </w:tcMar>
            <w:tcBorders>
              <w:top w:val="none"/>
              <w:left w:val="none"/>
              <w:bottom w:val="none"/>
              <w:right w:val="none"/>
            </w:tcBorders>
          </w:tcPr>
          <w:p>
            <w:r>
              <w:rPr>
                <w:rFonts w:ascii="Helvetica" w:hAnsi="Helvetica"/>
                <w:b/>
                <w:color w:val="0F2537"/>
                <w:sz w:val="21"/>
              </w:rPr>
              <w:t>Michael Everest Nwaohiri</w:t>
              <w:br/>
              <w:t>Founder &amp; Tech Lead, Commute Service</w:t>
            </w:r>
          </w:p>
        </w:tc>
      </w:tr>
      <w:tr>
        <w:tc>
          <w:tcPr>
            <w:tcW w:type="dxa" w:w="2592"/>
            <w:shd w:fill="F8FAFC"/>
            <w:tcMar>
              <w:top w:w="100" w:type="dxa"/>
              <w:bottom w:w="100" w:type="dxa"/>
              <w:left w:w="150" w:type="dxa"/>
              <w:right w:w="150" w:type="dxa"/>
            </w:tcMar>
            <w:tcBorders>
              <w:top w:val="none"/>
              <w:left w:val="none"/>
              <w:bottom w:val="none"/>
              <w:right w:val="none"/>
            </w:tcBorders>
          </w:tcPr>
          <w:p>
            <w:r>
              <w:rPr>
                <w:rFonts w:ascii="Helvetica" w:hAnsi="Helvetica"/>
                <w:b/>
                <w:color w:val="64748B"/>
                <w:sz w:val="19"/>
              </w:rPr>
              <w:t>Date:</w:t>
            </w:r>
          </w:p>
        </w:tc>
        <w:tc>
          <w:tcPr>
            <w:tcW w:type="dxa" w:w="6480"/>
            <w:shd w:fill="F8FAFC"/>
            <w:tcMar>
              <w:top w:w="100" w:type="dxa"/>
              <w:bottom w:w="100" w:type="dxa"/>
              <w:left w:w="150" w:type="dxa"/>
              <w:right w:w="150" w:type="dxa"/>
            </w:tcMar>
            <w:tcBorders>
              <w:top w:val="none"/>
              <w:left w:val="none"/>
              <w:bottom w:val="none"/>
              <w:right w:val="none"/>
            </w:tcBorders>
          </w:tcPr>
          <w:p>
            <w:r>
              <w:rPr>
                <w:rFonts w:ascii="Helvetica" w:hAnsi="Helvetica"/>
                <w:b/>
                <w:color w:val="0F2537"/>
                <w:sz w:val="21"/>
              </w:rPr>
              <w:t>May 16, 2026</w:t>
            </w:r>
          </w:p>
        </w:tc>
      </w:tr>
      <w:tr>
        <w:tc>
          <w:tcPr>
            <w:tcW w:type="dxa" w:w="2592"/>
            <w:shd w:fill="F8FAFC"/>
            <w:tcMar>
              <w:top w:w="100" w:type="dxa"/>
              <w:bottom w:w="100" w:type="dxa"/>
              <w:left w:w="150" w:type="dxa"/>
              <w:right w:w="150" w:type="dxa"/>
            </w:tcMar>
            <w:tcBorders>
              <w:top w:val="none"/>
              <w:left w:val="none"/>
              <w:bottom w:val="none"/>
              <w:right w:val="none"/>
            </w:tcBorders>
          </w:tcPr>
          <w:p>
            <w:r>
              <w:rPr>
                <w:rFonts w:ascii="Helvetica" w:hAnsi="Helvetica"/>
                <w:b/>
                <w:color w:val="64748B"/>
                <w:sz w:val="19"/>
              </w:rPr>
              <w:t>Location:</w:t>
            </w:r>
          </w:p>
        </w:tc>
        <w:tc>
          <w:tcPr>
            <w:tcW w:type="dxa" w:w="6480"/>
            <w:shd w:fill="F8FAFC"/>
            <w:tcMar>
              <w:top w:w="100" w:type="dxa"/>
              <w:bottom w:w="100" w:type="dxa"/>
              <w:left w:w="150" w:type="dxa"/>
              <w:right w:w="150" w:type="dxa"/>
            </w:tcMar>
            <w:tcBorders>
              <w:top w:val="none"/>
              <w:left w:val="none"/>
              <w:bottom w:val="none"/>
              <w:right w:val="none"/>
            </w:tcBorders>
          </w:tcPr>
          <w:p>
            <w:r>
              <w:rPr>
                <w:rFonts w:ascii="Helvetica" w:hAnsi="Helvetica"/>
                <w:b/>
                <w:color w:val="0F2537"/>
                <w:sz w:val="21"/>
              </w:rPr>
              <w:t>Lugbe Axis, Abuja, Nigeria</w:t>
            </w:r>
          </w:p>
        </w:tc>
      </w:tr>
    </w:tbl>
    <w:p>
      <w:r>
        <w:br w:type="page"/>
      </w:r>
    </w:p>
    <w:p>
      <w:pPr>
        <w:keepNext/>
        <w:spacing w:before="480" w:after="240"/>
        <w:pBdr>
          <w:bottom w:val="single" w:sz="8" w:space="4" w:color="CBD5E1"/>
        </w:pBdr>
      </w:pPr>
      <w:r>
        <w:rPr>
          <w:rFonts w:ascii="Helvetica" w:hAnsi="Helvetica"/>
          <w:b/>
          <w:color w:val="0F2537"/>
          <w:sz w:val="28"/>
        </w:rPr>
        <w:t>1. Executive Overview</w:t>
      </w:r>
    </w:p>
    <w:p>
      <w:pPr>
        <w:spacing w:after="160" w:line="288" w:lineRule="auto"/>
      </w:pPr>
      <w:r>
        <w:rPr>
          <w:rFonts w:ascii="Helvetica" w:hAnsi="Helvetica"/>
          <w:color w:val="2C3E50"/>
          <w:sz w:val="21"/>
        </w:rPr>
        <w:t>Commute Service is an innovative, hyper-local, trust-based rideshare platform engineered specifically to address the daily commuting challenges within gated estates and structured residential communities. By connecting verified neighbors who have available empty car seats with fellow residents heading along identical routes, the platform optimizes suburban transit through a systematic, estate-level trust framework.</w:t>
      </w:r>
    </w:p>
    <w:p>
      <w:pPr>
        <w:spacing w:after="160" w:line="288" w:lineRule="auto"/>
      </w:pPr>
      <w:r>
        <w:rPr>
          <w:rFonts w:ascii="Helvetica" w:hAnsi="Helvetica"/>
          <w:color w:val="2C3E50"/>
          <w:sz w:val="21"/>
        </w:rPr>
        <w:t>Unlike conventional ride-hailing services that rely on a generic, commercial pool of unknown drivers, Commute Service utilizes localized resident networks and rigorous estate validation systems to deliver a highly reliable, cost-effective, and secure transportation alternative. The operational pilot is currently being actively validated within the Lugbe axis of Abuja, establishing its initial footprint in Newsite Estate and adjacent suburban communities.</w:t>
      </w:r>
    </w:p>
    <w:p>
      <w:pPr>
        <w:keepNext/>
        <w:spacing w:before="480" w:after="240"/>
        <w:pBdr>
          <w:bottom w:val="single" w:sz="8" w:space="4" w:color="CBD5E1"/>
        </w:pBdr>
      </w:pPr>
      <w:r>
        <w:rPr>
          <w:rFonts w:ascii="Helvetica" w:hAnsi="Helvetica"/>
          <w:b/>
          <w:color w:val="0F2537"/>
          <w:sz w:val="28"/>
        </w:rPr>
        <w:t>2. Funding Objective &amp; Equity Structure</w:t>
      </w:r>
    </w:p>
    <w:tbl>
      <w:tblPr>
        <w:tblW w:type="auto" w:w="0"/>
        <w:jc w:val="center"/>
        <w:tblLook w:firstColumn="1" w:firstRow="1" w:lastColumn="0" w:lastRow="0" w:noHBand="0" w:noVBand="1" w:val="04A0"/>
      </w:tblPr>
      <w:tblGrid>
        <w:gridCol w:w="9360"/>
      </w:tblGrid>
      <w:tr>
        <w:tc>
          <w:tcPr>
            <w:tcW w:type="dxa" w:w="9360"/>
            <w:shd w:fill="0F2537"/>
            <w:tcMar>
              <w:top w:w="160" w:type="dxa"/>
              <w:bottom w:w="160" w:type="dxa"/>
              <w:left w:w="200" w:type="dxa"/>
              <w:right w:w="200" w:type="dxa"/>
            </w:tcMar>
            <w:tcBorders>
              <w:top w:val="none"/>
              <w:left w:val="none"/>
              <w:bottom w:val="none"/>
              <w:right w:val="none"/>
            </w:tcBorders>
          </w:tcPr>
          <w:p>
            <w:pPr>
              <w:spacing w:after="40"/>
            </w:pPr>
            <w:r>
              <w:rPr>
                <w:rFonts w:ascii="Helvetica" w:hAnsi="Helvetica"/>
                <w:b/>
                <w:color w:val="38BDF8"/>
                <w:sz w:val="18"/>
              </w:rPr>
              <w:t>FINANCIAL &amp; CAPITAL FRAMEWORK</w:t>
            </w:r>
          </w:p>
          <w:p>
            <w:pPr>
              <w:spacing w:after="160"/>
            </w:pPr>
            <w:r>
              <w:rPr>
                <w:rFonts w:ascii="Helvetica" w:hAnsi="Helvetica"/>
                <w:b/>
                <w:color w:val="FFFFFF"/>
                <w:sz w:val="32"/>
              </w:rPr>
              <w:t>₦5,000,000 Investment  |  5% Equity Offered</w:t>
            </w:r>
          </w:p>
          <w:p>
            <w:pPr>
              <w:spacing w:after="0"/>
            </w:pPr>
            <w:r>
              <w:rPr>
                <w:rFonts w:ascii="Helvetica" w:hAnsi="Helvetica"/>
                <w:color w:val="E2E8F0"/>
                <w:sz w:val="21"/>
              </w:rPr>
              <w:t>Implied Post-Money Startup Valuation: ₦100,000,000</w:t>
              <w:br/>
              <w:t>Target Deployment Window: Next 6–9 Months of Phase 1 Operations.</w:t>
            </w:r>
          </w:p>
        </w:tc>
      </w:tr>
    </w:tbl>
    <w:p>
      <w:pPr>
        <w:keepNext/>
        <w:spacing w:before="480" w:after="240"/>
        <w:pBdr>
          <w:bottom w:val="single" w:sz="8" w:space="4" w:color="CBD5E1"/>
        </w:pBdr>
      </w:pPr>
      <w:r>
        <w:rPr>
          <w:rFonts w:ascii="Helvetica" w:hAnsi="Helvetica"/>
          <w:b/>
          <w:color w:val="0F2537"/>
          <w:sz w:val="28"/>
        </w:rPr>
        <w:t>3. Valuation Justification (Why ₦100 Million?)</w:t>
      </w:r>
    </w:p>
    <w:p>
      <w:pPr>
        <w:spacing w:after="160" w:line="288" w:lineRule="auto"/>
      </w:pPr>
      <w:r>
        <w:rPr>
          <w:rFonts w:ascii="Helvetica" w:hAnsi="Helvetica"/>
          <w:color w:val="2C3E50"/>
          <w:sz w:val="21"/>
        </w:rPr>
        <w:t>While early-stage technology platforms are traditionally priced on long-term network velocity rather than current day-one cash flows, our ₦100,000,000 post-money valuation is anchored on concrete structural assets, defensive entry barriers, and highly predictable unit economic scaling parameters:</w:t>
      </w:r>
    </w:p>
    <w:p>
      <w:pPr>
        <w:keepNext/>
        <w:spacing w:before="320" w:after="120"/>
      </w:pPr>
      <w:r>
        <w:rPr>
          <w:rFonts w:ascii="Helvetica" w:hAnsi="Helvetica"/>
          <w:b/>
          <w:color w:val="1A73E8"/>
          <w:sz w:val="23"/>
        </w:rPr>
        <w:t>1. Proprietary Hyper-Local Network Infrastructure</w:t>
      </w:r>
    </w:p>
    <w:p>
      <w:pPr>
        <w:spacing w:after="160" w:line="288" w:lineRule="auto"/>
      </w:pPr>
      <w:r>
        <w:rPr>
          <w:rFonts w:ascii="Helvetica" w:hAnsi="Helvetica"/>
          <w:color w:val="2C3E50"/>
          <w:sz w:val="21"/>
        </w:rPr>
        <w:t>The foundational asset value of Commute Service resides heavily in our proprietary, closed-loop community trust layers. Developing formal entry footprints into managed residential estates, integrating into homeowner database systems, and embedding platform validation workflows directly with community boards establishes a massive operational moat. This hyper-local ecosystem access is highly defensible and structurally insulated from global mass-market operators (e.g., Uber or Bolt).</w:t>
      </w:r>
    </w:p>
    <w:p>
      <w:pPr>
        <w:keepNext/>
        <w:spacing w:before="320" w:after="120"/>
      </w:pPr>
      <w:r>
        <w:rPr>
          <w:rFonts w:ascii="Helvetica" w:hAnsi="Helvetica"/>
          <w:b/>
          <w:color w:val="1A73E8"/>
          <w:sz w:val="23"/>
        </w:rPr>
        <w:t>2. Asset-Light Model &amp; High-Margin Scalability</w:t>
      </w:r>
    </w:p>
    <w:p>
      <w:pPr>
        <w:spacing w:after="160" w:line="288" w:lineRule="auto"/>
      </w:pPr>
      <w:r>
        <w:rPr>
          <w:rFonts w:ascii="Helvetica" w:hAnsi="Helvetica"/>
          <w:color w:val="2C3E50"/>
          <w:sz w:val="21"/>
        </w:rPr>
        <w:t>As a pure tech-driven marketplace framework, Commute Service carries zero depreciating vehicular hardware liabilities, fleet upkeep costs, or fuel overheads. Our software backend is engineered via highly decoupled Vercel Pro and Supabase Pro parameters, meaning that expanding from our initial estate clusters into 15 or 50 new residential zones drives exponential scaling volume with completely flat incremental hosting and maintenance expenses.</w:t>
      </w:r>
    </w:p>
    <w:p>
      <w:pPr>
        <w:keepNext/>
        <w:spacing w:before="320" w:after="120"/>
      </w:pPr>
      <w:r>
        <w:rPr>
          <w:rFonts w:ascii="Helvetica" w:hAnsi="Helvetica"/>
          <w:b/>
          <w:color w:val="1A73E8"/>
          <w:sz w:val="23"/>
        </w:rPr>
        <w:t>3. Compounding Forward-Looking Financial Multiples</w:t>
      </w:r>
    </w:p>
    <w:p>
      <w:pPr>
        <w:spacing w:after="160" w:line="288" w:lineRule="auto"/>
      </w:pPr>
      <w:r>
        <w:rPr>
          <w:rFonts w:ascii="Helvetica" w:hAnsi="Helvetica"/>
          <w:color w:val="2C3E50"/>
          <w:sz w:val="21"/>
        </w:rPr>
        <w:t>While our initial target validation pool of 100 vehicles yields a conservative ₦220,000 monthly gross margin on pure baseline transaction micro-fees, our pricing models reflect rapid multi-estate cluster density. Scaling the network across the high-growth Lugbe residential belt to capture 2,000 active commuter vehicles elevates baseline ride-matching transaction yields to ₦4,400,000 per month—completely separate from our secondary, high-margin monetization layers.</w:t>
      </w:r>
    </w:p>
    <w:p>
      <w:pPr>
        <w:keepNext/>
        <w:spacing w:before="320" w:after="120"/>
      </w:pPr>
      <w:r>
        <w:rPr>
          <w:rFonts w:ascii="Helvetica" w:hAnsi="Helvetica"/>
          <w:b/>
          <w:color w:val="1A73E8"/>
          <w:sz w:val="23"/>
        </w:rPr>
        <w:t>4. Pre-Funded Technology Engineering (Sweat Equity)</w:t>
      </w:r>
    </w:p>
    <w:p>
      <w:pPr>
        <w:spacing w:after="160" w:line="288" w:lineRule="auto"/>
      </w:pPr>
      <w:r>
        <w:rPr>
          <w:rFonts w:ascii="Helvetica" w:hAnsi="Helvetica"/>
          <w:color w:val="2C3E50"/>
          <w:sz w:val="21"/>
        </w:rPr>
        <w:t>This valuation incorporates significant prior sweat equity deployment. The entire minimum viable architecture, user verification pipeline, localized routing configurations, and production matching engine has been conceptualized, built, and launched into live test-pilot loops, meaning your capital investment is completely leveraged for scaling validation rather than financing fundamental R&amp;D cycles.</w:t>
      </w:r>
    </w:p>
    <w:p>
      <w:pPr>
        <w:keepNext/>
        <w:spacing w:before="480" w:after="240"/>
        <w:pBdr>
          <w:bottom w:val="single" w:sz="8" w:space="4" w:color="CBD5E1"/>
        </w:pBdr>
      </w:pPr>
      <w:r>
        <w:rPr>
          <w:rFonts w:ascii="Helvetica" w:hAnsi="Helvetica"/>
          <w:b/>
          <w:color w:val="0F2537"/>
          <w:sz w:val="28"/>
        </w:rPr>
        <w:t>4. Phase 1 Deployment Roadmap</w:t>
      </w:r>
    </w:p>
    <w:p>
      <w:pPr>
        <w:spacing w:after="160" w:line="288" w:lineRule="auto"/>
      </w:pPr>
      <w:r>
        <w:rPr>
          <w:rFonts w:ascii="Helvetica" w:hAnsi="Helvetica"/>
          <w:color w:val="2C3E50"/>
          <w:sz w:val="21"/>
        </w:rPr>
        <w:t>The seed capital pool will be allocated systematically across four operational vectors to secure operational milestones:</w:t>
      </w:r>
    </w:p>
    <w:p>
      <w:pPr>
        <w:pStyle w:val="ListBullet"/>
        <w:spacing w:after="80" w:line="276" w:lineRule="auto"/>
      </w:pPr>
      <w:r>
        <w:rPr>
          <w:rFonts w:ascii="Helvetica" w:hAnsi="Helvetica"/>
          <w:b/>
          <w:color w:val="2C3E50"/>
          <w:sz w:val="21"/>
        </w:rPr>
        <w:t xml:space="preserve">Legal &amp; Corporate Compliance: </w:t>
      </w:r>
      <w:r>
        <w:rPr>
          <w:rFonts w:ascii="Helvetica" w:hAnsi="Helvetica"/>
          <w:color w:val="2C3E50"/>
          <w:sz w:val="21"/>
        </w:rPr>
        <w:t>CAC incorporation, asset protections, user waivers, and custom estate compliance frameworks.</w:t>
      </w:r>
    </w:p>
    <w:p>
      <w:pPr>
        <w:pStyle w:val="ListBullet"/>
        <w:spacing w:after="80" w:line="276" w:lineRule="auto"/>
      </w:pPr>
      <w:r>
        <w:rPr>
          <w:rFonts w:ascii="Helvetica" w:hAnsi="Helvetica"/>
          <w:b/>
          <w:color w:val="2C3E50"/>
          <w:sz w:val="21"/>
        </w:rPr>
        <w:t xml:space="preserve">Technology Optimization: </w:t>
      </w:r>
      <w:r>
        <w:rPr>
          <w:rFonts w:ascii="Helvetica" w:hAnsi="Helvetica"/>
          <w:color w:val="2C3E50"/>
          <w:sz w:val="21"/>
        </w:rPr>
        <w:t>Vercel/Supabase Pro database scaling, resident identity automation checkpoints, and WhatsApp notifications routing engines.</w:t>
      </w:r>
    </w:p>
    <w:p>
      <w:pPr>
        <w:pStyle w:val="ListBullet"/>
        <w:spacing w:after="80" w:line="276" w:lineRule="auto"/>
      </w:pPr>
      <w:r>
        <w:rPr>
          <w:rFonts w:ascii="Helvetica" w:hAnsi="Helvetica"/>
          <w:b/>
          <w:color w:val="2C3E50"/>
          <w:sz w:val="21"/>
        </w:rPr>
        <w:t xml:space="preserve">Estate Footprint Expansion: </w:t>
      </w:r>
      <w:r>
        <w:rPr>
          <w:rFonts w:ascii="Helvetica" w:hAnsi="Helvetica"/>
          <w:color w:val="2C3E50"/>
          <w:sz w:val="21"/>
        </w:rPr>
        <w:t>Targeted operational rollout into 10–15 residential estates across the Lugbe corridor, and localized Ambassador incentives.</w:t>
      </w:r>
    </w:p>
    <w:p>
      <w:pPr>
        <w:pStyle w:val="ListBullet"/>
        <w:spacing w:after="80" w:line="276" w:lineRule="auto"/>
      </w:pPr>
      <w:r>
        <w:rPr>
          <w:rFonts w:ascii="Helvetica" w:hAnsi="Helvetica"/>
          <w:b/>
          <w:color w:val="2C3E50"/>
          <w:sz w:val="21"/>
        </w:rPr>
        <w:t xml:space="preserve">Supply Validation &amp; Liquidity: </w:t>
      </w:r>
      <w:r>
        <w:rPr>
          <w:rFonts w:ascii="Helvetica" w:hAnsi="Helvetica"/>
          <w:color w:val="2C3E50"/>
          <w:sz w:val="21"/>
        </w:rPr>
        <w:t>Onboarding and checking an aggregate cohort of 100–200 premium neighborhood driver assets to guarantee initial lane liquidity.</w:t>
      </w:r>
    </w:p>
    <w:p>
      <w:pPr>
        <w:keepNext/>
        <w:spacing w:before="480" w:after="240"/>
        <w:pBdr>
          <w:bottom w:val="single" w:sz="8" w:space="4" w:color="CBD5E1"/>
        </w:pBdr>
      </w:pPr>
      <w:r>
        <w:rPr>
          <w:rFonts w:ascii="Helvetica" w:hAnsi="Helvetica"/>
          <w:b/>
          <w:color w:val="0F2537"/>
          <w:sz w:val="28"/>
        </w:rPr>
        <w:t>5. Financial Projections &amp; Unit Economics</w:t>
      </w:r>
    </w:p>
    <w:p>
      <w:pPr>
        <w:spacing w:after="160" w:line="288" w:lineRule="auto"/>
      </w:pPr>
      <w:r>
        <w:rPr>
          <w:rFonts w:ascii="Helvetica" w:hAnsi="Helvetica"/>
          <w:color w:val="2C3E50"/>
          <w:sz w:val="21"/>
        </w:rPr>
        <w:t>The operational matrix modeled below demonstrates conservative transaction revenue velocity using a baseline volume of 100 verified vehicles.</w:t>
      </w:r>
    </w:p>
    <w:tbl>
      <w:tblPr>
        <w:tblW w:type="auto" w:w="0"/>
        <w:jc w:val="center"/>
        <w:tblLook w:firstColumn="1" w:firstRow="1" w:lastColumn="0" w:lastRow="0" w:noHBand="0" w:noVBand="1" w:val="04A0"/>
      </w:tblPr>
      <w:tblGrid>
        <w:gridCol w:w="9360"/>
      </w:tblGrid>
      <w:tr>
        <w:tc>
          <w:tcPr>
            <w:tcW w:type="dxa" w:w="9360"/>
            <w:shd w:fill="F1F5F9"/>
            <w:tcBorders>
              <w:left w:val="single" w:sz="32" w:space="0" w:color="1A73E8"/>
              <w:top w:val="none"/>
              <w:bottom w:val="none"/>
              <w:right w:val="none"/>
            </w:tcBorders>
            <w:tcMar>
              <w:top w:w="100" w:type="dxa"/>
              <w:bottom w:w="100" w:type="dxa"/>
              <w:left w:w="140" w:type="dxa"/>
              <w:right w:w="140" w:type="dxa"/>
            </w:tcMar>
          </w:tcPr>
          <w:p>
            <w:pPr>
              <w:jc w:val="center"/>
            </w:pPr>
            <w:r>
              <w:rPr>
                <w:rFonts w:ascii="Times New Roman" w:hAnsi="Times New Roman"/>
                <w:b/>
                <w:i/>
                <w:color w:val="1A73E8"/>
                <w:sz w:val="22"/>
              </w:rPr>
              <w:t>Monthly Financial Yield Architecture:</w:t>
              <w:br/>
              <w:t>100 Fleet Supply × 2 Matched Seats Daily × 22 Operations Days × ₦50 Fee = ₦220,000</w:t>
            </w:r>
          </w:p>
        </w:tc>
      </w:tr>
    </w:tbl>
    <w:p>
      <w:pPr>
        <w:keepNext/>
        <w:spacing w:before="320" w:after="120"/>
      </w:pPr>
      <w:r>
        <w:rPr>
          <w:rFonts w:ascii="Helvetica" w:hAnsi="Helvetica"/>
          <w:b/>
          <w:color w:val="1A73E8"/>
          <w:sz w:val="23"/>
        </w:rPr>
        <w:t>Phase 1 Projected Monthly Operating Budget</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F2537"/>
            <w:tcMar>
              <w:top w:w="100" w:type="dxa"/>
              <w:bottom w:w="100" w:type="dxa"/>
              <w:left w:w="120" w:type="dxa"/>
              <w:right w:w="120" w:type="dxa"/>
            </w:tcMar>
          </w:tcPr>
          <w:p>
            <w:pPr>
              <w:spacing w:after="0"/>
            </w:pPr>
            <w:r>
              <w:rPr>
                <w:rFonts w:ascii="Helvetica" w:hAnsi="Helvetica"/>
                <w:b/>
                <w:color w:val="FFFFFF"/>
                <w:sz w:val="20"/>
              </w:rPr>
              <w:t>Expense Category</w:t>
            </w:r>
          </w:p>
        </w:tc>
        <w:tc>
          <w:tcPr>
            <w:tcW w:type="dxa" w:w="4896"/>
            <w:shd w:fill="0F2537"/>
            <w:tcMar>
              <w:top w:w="100" w:type="dxa"/>
              <w:bottom w:w="100" w:type="dxa"/>
              <w:left w:w="120" w:type="dxa"/>
              <w:right w:w="120" w:type="dxa"/>
            </w:tcMar>
          </w:tcPr>
          <w:p>
            <w:pPr>
              <w:spacing w:after="0"/>
            </w:pPr>
            <w:r>
              <w:rPr>
                <w:rFonts w:ascii="Helvetica" w:hAnsi="Helvetica"/>
                <w:b/>
                <w:color w:val="FFFFFF"/>
                <w:sz w:val="20"/>
              </w:rPr>
              <w:t>Operational Coverage &amp; Resource Allocation</w:t>
            </w:r>
          </w:p>
        </w:tc>
        <w:tc>
          <w:tcPr>
            <w:tcW w:type="dxa" w:w="1872"/>
            <w:shd w:fill="0F2537"/>
            <w:tcMar>
              <w:top w:w="100" w:type="dxa"/>
              <w:bottom w:w="100" w:type="dxa"/>
              <w:left w:w="120" w:type="dxa"/>
              <w:right w:w="120" w:type="dxa"/>
            </w:tcMar>
          </w:tcPr>
          <w:p>
            <w:pPr>
              <w:spacing w:after="0"/>
              <w:jc w:val="right"/>
            </w:pPr>
            <w:r>
              <w:rPr>
                <w:rFonts w:ascii="Helvetica" w:hAnsi="Helvetica"/>
                <w:b/>
                <w:color w:val="FFFFFF"/>
                <w:sz w:val="20"/>
              </w:rPr>
              <w:t>Monthly Budget (₦)</w:t>
            </w:r>
          </w:p>
        </w:tc>
      </w:tr>
      <w:tr>
        <w:tc>
          <w:tcPr>
            <w:tcW w:type="dxa" w:w="2592"/>
            <w:shd w:fill="FFFFFF"/>
            <w:tcMar>
              <w:top w:w="80" w:type="dxa"/>
              <w:bottom w:w="80" w:type="dxa"/>
              <w:left w:w="120" w:type="dxa"/>
              <w:right w:w="120" w:type="dxa"/>
            </w:tcMar>
            <w:tcBorders>
              <w:bottom w:val="single" w:sz="4" w:space="0" w:color="E2E8F0"/>
              <w:top w:val="none"/>
              <w:left w:val="none"/>
              <w:right w:val="none"/>
            </w:tcBorders>
          </w:tcPr>
          <w:p>
            <w:pPr>
              <w:spacing w:after="0"/>
            </w:pPr>
            <w:r>
              <w:rPr>
                <w:rFonts w:ascii="Helvetica" w:hAnsi="Helvetica"/>
                <w:b/>
                <w:color w:val="2C3E50"/>
                <w:sz w:val="19"/>
              </w:rPr>
              <w:t>Technology &amp; Hosting</w:t>
            </w:r>
          </w:p>
        </w:tc>
        <w:tc>
          <w:tcPr>
            <w:tcW w:type="dxa" w:w="4896"/>
            <w:shd w:fill="FFFFFF"/>
            <w:tcMar>
              <w:top w:w="80" w:type="dxa"/>
              <w:bottom w:w="80" w:type="dxa"/>
              <w:left w:w="120" w:type="dxa"/>
              <w:right w:w="120" w:type="dxa"/>
            </w:tcMar>
            <w:tcBorders>
              <w:bottom w:val="single" w:sz="4" w:space="0" w:color="E2E8F0"/>
              <w:top w:val="none"/>
              <w:left w:val="none"/>
              <w:right w:val="none"/>
            </w:tcBorders>
          </w:tcPr>
          <w:p>
            <w:pPr>
              <w:spacing w:after="0"/>
            </w:pPr>
            <w:r>
              <w:rPr>
                <w:rFonts w:ascii="Helvetica" w:hAnsi="Helvetica"/>
                <w:color w:val="2C3E50"/>
                <w:sz w:val="19"/>
              </w:rPr>
              <w:t>Vercel Pro, Supabase Pro hosting setup, databases, domain parameters.</w:t>
            </w:r>
          </w:p>
        </w:tc>
        <w:tc>
          <w:tcPr>
            <w:tcW w:type="dxa" w:w="1872"/>
            <w:shd w:fill="FFFFFF"/>
            <w:tcMar>
              <w:top w:w="80" w:type="dxa"/>
              <w:bottom w:w="80" w:type="dxa"/>
              <w:left w:w="120" w:type="dxa"/>
              <w:right w:w="120" w:type="dxa"/>
            </w:tcMar>
            <w:tcBorders>
              <w:bottom w:val="single" w:sz="4" w:space="0" w:color="E2E8F0"/>
              <w:top w:val="none"/>
              <w:left w:val="none"/>
              <w:right w:val="none"/>
            </w:tcBorders>
          </w:tcPr>
          <w:p>
            <w:pPr>
              <w:spacing w:after="0"/>
              <w:jc w:val="right"/>
            </w:pPr>
            <w:r>
              <w:rPr>
                <w:rFonts w:ascii="Helvetica" w:hAnsi="Helvetica"/>
                <w:color w:val="2C3E50"/>
                <w:sz w:val="19"/>
              </w:rPr>
              <w:t>80,000</w:t>
            </w:r>
          </w:p>
        </w:tc>
      </w:tr>
      <w:tr>
        <w:tc>
          <w:tcPr>
            <w:tcW w:type="dxa" w:w="2592"/>
            <w:shd w:fill="F8FAFC"/>
            <w:tcMar>
              <w:top w:w="80" w:type="dxa"/>
              <w:bottom w:w="80" w:type="dxa"/>
              <w:left w:w="120" w:type="dxa"/>
              <w:right w:w="120" w:type="dxa"/>
            </w:tcMar>
            <w:tcBorders>
              <w:bottom w:val="single" w:sz="4" w:space="0" w:color="E2E8F0"/>
              <w:top w:val="none"/>
              <w:left w:val="none"/>
              <w:right w:val="none"/>
            </w:tcBorders>
          </w:tcPr>
          <w:p>
            <w:pPr>
              <w:spacing w:after="0"/>
            </w:pPr>
            <w:r>
              <w:rPr>
                <w:rFonts w:ascii="Helvetica" w:hAnsi="Helvetica"/>
                <w:b/>
                <w:color w:val="2C3E50"/>
                <w:sz w:val="19"/>
              </w:rPr>
              <w:t>Ambassador Network</w:t>
            </w:r>
          </w:p>
        </w:tc>
        <w:tc>
          <w:tcPr>
            <w:tcW w:type="dxa" w:w="4896"/>
            <w:shd w:fill="F8FAFC"/>
            <w:tcMar>
              <w:top w:w="80" w:type="dxa"/>
              <w:bottom w:w="80" w:type="dxa"/>
              <w:left w:w="120" w:type="dxa"/>
              <w:right w:w="120" w:type="dxa"/>
            </w:tcMar>
            <w:tcBorders>
              <w:bottom w:val="single" w:sz="4" w:space="0" w:color="E2E8F0"/>
              <w:top w:val="none"/>
              <w:left w:val="none"/>
              <w:right w:val="none"/>
            </w:tcBorders>
          </w:tcPr>
          <w:p>
            <w:pPr>
              <w:spacing w:after="0"/>
            </w:pPr>
            <w:r>
              <w:rPr>
                <w:rFonts w:ascii="Helvetica" w:hAnsi="Helvetica"/>
                <w:color w:val="2C3E50"/>
                <w:sz w:val="19"/>
              </w:rPr>
              <w:t>Localized stipend structures, local manager compensation templates.</w:t>
            </w:r>
          </w:p>
        </w:tc>
        <w:tc>
          <w:tcPr>
            <w:tcW w:type="dxa" w:w="1872"/>
            <w:shd w:fill="F8FAFC"/>
            <w:tcMar>
              <w:top w:w="80" w:type="dxa"/>
              <w:bottom w:w="80" w:type="dxa"/>
              <w:left w:w="120" w:type="dxa"/>
              <w:right w:w="120" w:type="dxa"/>
            </w:tcMar>
            <w:tcBorders>
              <w:bottom w:val="single" w:sz="4" w:space="0" w:color="E2E8F0"/>
              <w:top w:val="none"/>
              <w:left w:val="none"/>
              <w:right w:val="none"/>
            </w:tcBorders>
          </w:tcPr>
          <w:p>
            <w:pPr>
              <w:spacing w:after="0"/>
              <w:jc w:val="right"/>
            </w:pPr>
            <w:r>
              <w:rPr>
                <w:rFonts w:ascii="Helvetica" w:hAnsi="Helvetica"/>
                <w:color w:val="2C3E50"/>
                <w:sz w:val="19"/>
              </w:rPr>
              <w:t>100,000</w:t>
            </w:r>
          </w:p>
        </w:tc>
      </w:tr>
      <w:tr>
        <w:tc>
          <w:tcPr>
            <w:tcW w:type="dxa" w:w="2592"/>
            <w:shd w:fill="FFFFFF"/>
            <w:tcMar>
              <w:top w:w="80" w:type="dxa"/>
              <w:bottom w:w="80" w:type="dxa"/>
              <w:left w:w="120" w:type="dxa"/>
              <w:right w:w="120" w:type="dxa"/>
            </w:tcMar>
            <w:tcBorders>
              <w:bottom w:val="single" w:sz="4" w:space="0" w:color="E2E8F0"/>
              <w:top w:val="none"/>
              <w:left w:val="none"/>
              <w:right w:val="none"/>
            </w:tcBorders>
          </w:tcPr>
          <w:p>
            <w:pPr>
              <w:spacing w:after="0"/>
            </w:pPr>
            <w:r>
              <w:rPr>
                <w:rFonts w:ascii="Helvetica" w:hAnsi="Helvetica"/>
                <w:b/>
                <w:color w:val="2C3E50"/>
                <w:sz w:val="19"/>
              </w:rPr>
              <w:t>Operations &amp; Admin</w:t>
            </w:r>
          </w:p>
        </w:tc>
        <w:tc>
          <w:tcPr>
            <w:tcW w:type="dxa" w:w="4896"/>
            <w:shd w:fill="FFFFFF"/>
            <w:tcMar>
              <w:top w:w="80" w:type="dxa"/>
              <w:bottom w:w="80" w:type="dxa"/>
              <w:left w:w="120" w:type="dxa"/>
              <w:right w:w="120" w:type="dxa"/>
            </w:tcMar>
            <w:tcBorders>
              <w:bottom w:val="single" w:sz="4" w:space="0" w:color="E2E8F0"/>
              <w:top w:val="none"/>
              <w:left w:val="none"/>
              <w:right w:val="none"/>
            </w:tcBorders>
          </w:tcPr>
          <w:p>
            <w:pPr>
              <w:spacing w:after="0"/>
            </w:pPr>
            <w:r>
              <w:rPr>
                <w:rFonts w:ascii="Helvetica" w:hAnsi="Helvetica"/>
                <w:color w:val="2C3E50"/>
                <w:sz w:val="19"/>
              </w:rPr>
              <w:t>General management, communication data plans, team logistics overrides.</w:t>
            </w:r>
          </w:p>
        </w:tc>
        <w:tc>
          <w:tcPr>
            <w:tcW w:type="dxa" w:w="1872"/>
            <w:shd w:fill="FFFFFF"/>
            <w:tcMar>
              <w:top w:w="80" w:type="dxa"/>
              <w:bottom w:w="80" w:type="dxa"/>
              <w:left w:w="120" w:type="dxa"/>
              <w:right w:w="120" w:type="dxa"/>
            </w:tcMar>
            <w:tcBorders>
              <w:bottom w:val="single" w:sz="4" w:space="0" w:color="E2E8F0"/>
              <w:top w:val="none"/>
              <w:left w:val="none"/>
              <w:right w:val="none"/>
            </w:tcBorders>
          </w:tcPr>
          <w:p>
            <w:pPr>
              <w:spacing w:after="0"/>
              <w:jc w:val="right"/>
            </w:pPr>
            <w:r>
              <w:rPr>
                <w:rFonts w:ascii="Helvetica" w:hAnsi="Helvetica"/>
                <w:color w:val="2C3E50"/>
                <w:sz w:val="19"/>
              </w:rPr>
              <w:t>120,000</w:t>
            </w:r>
          </w:p>
        </w:tc>
      </w:tr>
      <w:tr>
        <w:tc>
          <w:tcPr>
            <w:tcW w:type="dxa" w:w="2592"/>
            <w:shd w:fill="F8FAFC"/>
            <w:tcMar>
              <w:top w:w="80" w:type="dxa"/>
              <w:bottom w:w="80" w:type="dxa"/>
              <w:left w:w="120" w:type="dxa"/>
              <w:right w:w="120" w:type="dxa"/>
            </w:tcMar>
            <w:tcBorders>
              <w:bottom w:val="single" w:sz="4" w:space="0" w:color="E2E8F0"/>
              <w:top w:val="none"/>
              <w:left w:val="none"/>
              <w:right w:val="none"/>
            </w:tcBorders>
          </w:tcPr>
          <w:p>
            <w:pPr>
              <w:spacing w:after="0"/>
            </w:pPr>
            <w:r>
              <w:rPr>
                <w:rFonts w:ascii="Helvetica" w:hAnsi="Helvetica"/>
                <w:b/>
                <w:color w:val="2C3E50"/>
                <w:sz w:val="19"/>
              </w:rPr>
              <w:t>Marketing &amp; Growth</w:t>
            </w:r>
          </w:p>
        </w:tc>
        <w:tc>
          <w:tcPr>
            <w:tcW w:type="dxa" w:w="4896"/>
            <w:shd w:fill="F8FAFC"/>
            <w:tcMar>
              <w:top w:w="80" w:type="dxa"/>
              <w:bottom w:w="80" w:type="dxa"/>
              <w:left w:w="120" w:type="dxa"/>
              <w:right w:w="120" w:type="dxa"/>
            </w:tcMar>
            <w:tcBorders>
              <w:bottom w:val="single" w:sz="4" w:space="0" w:color="E2E8F0"/>
              <w:top w:val="none"/>
              <w:left w:val="none"/>
              <w:right w:val="none"/>
            </w:tcBorders>
          </w:tcPr>
          <w:p>
            <w:pPr>
              <w:spacing w:after="0"/>
            </w:pPr>
            <w:r>
              <w:rPr>
                <w:rFonts w:ascii="Helvetica" w:hAnsi="Helvetica"/>
                <w:color w:val="2C3E50"/>
                <w:sz w:val="19"/>
              </w:rPr>
              <w:t>Physical estate signage arrays, print flyering campaigns, acquisition spend.</w:t>
            </w:r>
          </w:p>
        </w:tc>
        <w:tc>
          <w:tcPr>
            <w:tcW w:type="dxa" w:w="1872"/>
            <w:shd w:fill="F8FAFC"/>
            <w:tcMar>
              <w:top w:w="80" w:type="dxa"/>
              <w:bottom w:w="80" w:type="dxa"/>
              <w:left w:w="120" w:type="dxa"/>
              <w:right w:w="120" w:type="dxa"/>
            </w:tcMar>
            <w:tcBorders>
              <w:bottom w:val="single" w:sz="4" w:space="0" w:color="E2E8F0"/>
              <w:top w:val="none"/>
              <w:left w:val="none"/>
              <w:right w:val="none"/>
            </w:tcBorders>
          </w:tcPr>
          <w:p>
            <w:pPr>
              <w:spacing w:after="0"/>
              <w:jc w:val="right"/>
            </w:pPr>
            <w:r>
              <w:rPr>
                <w:rFonts w:ascii="Helvetica" w:hAnsi="Helvetica"/>
                <w:color w:val="2C3E50"/>
                <w:sz w:val="19"/>
              </w:rPr>
              <w:t>50,000</w:t>
            </w:r>
          </w:p>
        </w:tc>
      </w:tr>
      <w:tr>
        <w:tc>
          <w:tcPr>
            <w:tcW w:type="dxa" w:w="2592"/>
            <w:shd w:fill="FFFFFF"/>
            <w:tcMar>
              <w:top w:w="80" w:type="dxa"/>
              <w:bottom w:w="80" w:type="dxa"/>
              <w:left w:w="120" w:type="dxa"/>
              <w:right w:w="120" w:type="dxa"/>
            </w:tcMar>
            <w:tcBorders>
              <w:bottom w:val="single" w:sz="4" w:space="0" w:color="E2E8F0"/>
              <w:top w:val="none"/>
              <w:left w:val="none"/>
              <w:right w:val="none"/>
            </w:tcBorders>
          </w:tcPr>
          <w:p>
            <w:pPr>
              <w:spacing w:after="0"/>
            </w:pPr>
            <w:r>
              <w:rPr>
                <w:rFonts w:ascii="Helvetica" w:hAnsi="Helvetica"/>
                <w:b/>
                <w:color w:val="2C3E50"/>
                <w:sz w:val="19"/>
              </w:rPr>
              <w:t>Customer Success</w:t>
            </w:r>
          </w:p>
        </w:tc>
        <w:tc>
          <w:tcPr>
            <w:tcW w:type="dxa" w:w="4896"/>
            <w:shd w:fill="FFFFFF"/>
            <w:tcMar>
              <w:top w:w="80" w:type="dxa"/>
              <w:bottom w:w="80" w:type="dxa"/>
              <w:left w:w="120" w:type="dxa"/>
              <w:right w:w="120" w:type="dxa"/>
            </w:tcMar>
            <w:tcBorders>
              <w:bottom w:val="single" w:sz="4" w:space="0" w:color="E2E8F0"/>
              <w:top w:val="none"/>
              <w:left w:val="none"/>
              <w:right w:val="none"/>
            </w:tcBorders>
          </w:tcPr>
          <w:p>
            <w:pPr>
              <w:spacing w:after="0"/>
            </w:pPr>
            <w:r>
              <w:rPr>
                <w:rFonts w:ascii="Helvetica" w:hAnsi="Helvetica"/>
                <w:color w:val="2C3E50"/>
                <w:sz w:val="19"/>
              </w:rPr>
              <w:t>Dedicated platform ticketing channels, onboarding assistance pipelines.</w:t>
            </w:r>
          </w:p>
        </w:tc>
        <w:tc>
          <w:tcPr>
            <w:tcW w:type="dxa" w:w="1872"/>
            <w:shd w:fill="FFFFFF"/>
            <w:tcMar>
              <w:top w:w="80" w:type="dxa"/>
              <w:bottom w:w="80" w:type="dxa"/>
              <w:left w:w="120" w:type="dxa"/>
              <w:right w:w="120" w:type="dxa"/>
            </w:tcMar>
            <w:tcBorders>
              <w:bottom w:val="single" w:sz="4" w:space="0" w:color="E2E8F0"/>
              <w:top w:val="none"/>
              <w:left w:val="none"/>
              <w:right w:val="none"/>
            </w:tcBorders>
          </w:tcPr>
          <w:p>
            <w:pPr>
              <w:spacing w:after="0"/>
              <w:jc w:val="right"/>
            </w:pPr>
            <w:r>
              <w:rPr>
                <w:rFonts w:ascii="Helvetica" w:hAnsi="Helvetica"/>
                <w:color w:val="2C3E50"/>
                <w:sz w:val="19"/>
              </w:rPr>
              <w:t>40,000</w:t>
            </w:r>
          </w:p>
        </w:tc>
      </w:tr>
      <w:tr>
        <w:tc>
          <w:tcPr>
            <w:tcW w:type="dxa" w:w="2592"/>
            <w:shd w:fill="F8FAFC"/>
            <w:tcMar>
              <w:top w:w="80" w:type="dxa"/>
              <w:bottom w:w="80" w:type="dxa"/>
              <w:left w:w="120" w:type="dxa"/>
              <w:right w:w="120" w:type="dxa"/>
            </w:tcMar>
            <w:tcBorders>
              <w:bottom w:val="single" w:sz="4" w:space="0" w:color="E2E8F0"/>
              <w:top w:val="none"/>
              <w:left w:val="none"/>
              <w:right w:val="none"/>
            </w:tcBorders>
          </w:tcPr>
          <w:p>
            <w:pPr>
              <w:spacing w:after="0"/>
            </w:pPr>
            <w:r>
              <w:rPr>
                <w:rFonts w:ascii="Helvetica" w:hAnsi="Helvetica"/>
                <w:b/>
                <w:color w:val="2C3E50"/>
                <w:sz w:val="19"/>
              </w:rPr>
              <w:t>Legal &amp; Compliance</w:t>
            </w:r>
          </w:p>
        </w:tc>
        <w:tc>
          <w:tcPr>
            <w:tcW w:type="dxa" w:w="4896"/>
            <w:shd w:fill="F8FAFC"/>
            <w:tcMar>
              <w:top w:w="80" w:type="dxa"/>
              <w:bottom w:w="80" w:type="dxa"/>
              <w:left w:w="120" w:type="dxa"/>
              <w:right w:w="120" w:type="dxa"/>
            </w:tcMar>
            <w:tcBorders>
              <w:bottom w:val="single" w:sz="4" w:space="0" w:color="E2E8F0"/>
              <w:top w:val="none"/>
              <w:left w:val="none"/>
              <w:right w:val="none"/>
            </w:tcBorders>
          </w:tcPr>
          <w:p>
            <w:pPr>
              <w:spacing w:after="0"/>
            </w:pPr>
            <w:r>
              <w:rPr>
                <w:rFonts w:ascii="Helvetica" w:hAnsi="Helvetica"/>
                <w:color w:val="2C3E50"/>
                <w:sz w:val="19"/>
              </w:rPr>
              <w:t>Continuous filing distributions, regulatory oversight protocols, reserve funds.</w:t>
            </w:r>
          </w:p>
        </w:tc>
        <w:tc>
          <w:tcPr>
            <w:tcW w:type="dxa" w:w="1872"/>
            <w:shd w:fill="F8FAFC"/>
            <w:tcMar>
              <w:top w:w="80" w:type="dxa"/>
              <w:bottom w:w="80" w:type="dxa"/>
              <w:left w:w="120" w:type="dxa"/>
              <w:right w:w="120" w:type="dxa"/>
            </w:tcMar>
            <w:tcBorders>
              <w:bottom w:val="single" w:sz="4" w:space="0" w:color="E2E8F0"/>
              <w:top w:val="none"/>
              <w:left w:val="none"/>
              <w:right w:val="none"/>
            </w:tcBorders>
          </w:tcPr>
          <w:p>
            <w:pPr>
              <w:spacing w:after="0"/>
              <w:jc w:val="right"/>
            </w:pPr>
            <w:r>
              <w:rPr>
                <w:rFonts w:ascii="Helvetica" w:hAnsi="Helvetica"/>
                <w:color w:val="2C3E50"/>
                <w:sz w:val="19"/>
              </w:rPr>
              <w:t>30,000</w:t>
            </w:r>
          </w:p>
        </w:tc>
      </w:tr>
      <w:tr>
        <w:tc>
          <w:tcPr>
            <w:tcW w:type="dxa" w:w="2592"/>
            <w:shd w:fill="F1F5F9"/>
            <w:tcMar>
              <w:top w:w="100" w:type="dxa"/>
              <w:bottom w:w="100" w:type="dxa"/>
              <w:left w:w="120" w:type="dxa"/>
              <w:right w:w="120" w:type="dxa"/>
            </w:tcMar>
            <w:tcBorders>
              <w:top w:val="single" w:sz="12" w:space="0" w:color="CBD5E1"/>
              <w:bottom w:val="single" w:sz="12" w:space="0" w:color="CBD5E1"/>
              <w:left w:val="none"/>
              <w:right w:val="none"/>
            </w:tcBorders>
          </w:tcPr>
          <w:p>
            <w:pPr>
              <w:spacing w:after="0"/>
            </w:pPr>
            <w:r>
              <w:rPr>
                <w:rFonts w:ascii="Helvetica" w:hAnsi="Helvetica"/>
                <w:b/>
                <w:color w:val="0F2537"/>
                <w:sz w:val="20"/>
              </w:rPr>
              <w:t>Total Monthly Expenses</w:t>
            </w:r>
          </w:p>
        </w:tc>
        <w:tc>
          <w:tcPr>
            <w:tcW w:type="dxa" w:w="4896"/>
            <w:shd w:fill="F1F5F9"/>
            <w:tcMar>
              <w:top w:w="100" w:type="dxa"/>
              <w:bottom w:w="100" w:type="dxa"/>
              <w:left w:w="120" w:type="dxa"/>
              <w:right w:w="120" w:type="dxa"/>
            </w:tcMar>
            <w:tcBorders>
              <w:top w:val="single" w:sz="12" w:space="0" w:color="CBD5E1"/>
              <w:bottom w:val="single" w:sz="12" w:space="0" w:color="CBD5E1"/>
              <w:left w:val="none"/>
              <w:right w:val="none"/>
            </w:tcBorders>
          </w:tcPr>
          <w:p>
            <w:pPr>
              <w:spacing w:after="0"/>
            </w:pPr>
            <w:r>
              <w:rPr>
                <w:rFonts w:ascii="Helvetica" w:hAnsi="Helvetica"/>
                <w:b/>
                <w:color w:val="0F2537"/>
                <w:sz w:val="20"/>
              </w:rPr>
              <w:t>Comprehensive Phase 1 Projected Running Costs</w:t>
            </w:r>
          </w:p>
        </w:tc>
        <w:tc>
          <w:tcPr>
            <w:tcW w:type="dxa" w:w="1872"/>
            <w:shd w:fill="F1F5F9"/>
            <w:tcMar>
              <w:top w:w="100" w:type="dxa"/>
              <w:bottom w:w="100" w:type="dxa"/>
              <w:left w:w="120" w:type="dxa"/>
              <w:right w:w="120" w:type="dxa"/>
            </w:tcMar>
            <w:tcBorders>
              <w:top w:val="single" w:sz="12" w:space="0" w:color="CBD5E1"/>
              <w:bottom w:val="single" w:sz="12" w:space="0" w:color="CBD5E1"/>
              <w:left w:val="none"/>
              <w:right w:val="none"/>
            </w:tcBorders>
          </w:tcPr>
          <w:p>
            <w:pPr>
              <w:spacing w:after="0"/>
              <w:jc w:val="right"/>
            </w:pPr>
            <w:r>
              <w:rPr>
                <w:rFonts w:ascii="Helvetica" w:hAnsi="Helvetica"/>
                <w:b/>
                <w:color w:val="0F2537"/>
                <w:sz w:val="20"/>
              </w:rPr>
              <w:t>420,000</w:t>
            </w:r>
          </w:p>
        </w:tc>
      </w:tr>
    </w:tbl>
    <w:p>
      <w:pPr>
        <w:keepNext/>
        <w:spacing w:before="480" w:after="240"/>
        <w:pBdr>
          <w:bottom w:val="single" w:sz="8" w:space="4" w:color="CBD5E1"/>
        </w:pBdr>
      </w:pPr>
      <w:r>
        <w:rPr>
          <w:rFonts w:ascii="Helvetica" w:hAnsi="Helvetica"/>
          <w:b/>
          <w:color w:val="0F2537"/>
          <w:sz w:val="28"/>
        </w:rPr>
        <w:t>6. Long-Term Monetization Blueprint</w:t>
      </w:r>
    </w:p>
    <w:p>
      <w:pPr>
        <w:pStyle w:val="ListBullet"/>
        <w:spacing w:after="80" w:line="276" w:lineRule="auto"/>
      </w:pPr>
      <w:r>
        <w:rPr>
          <w:rFonts w:ascii="Helvetica" w:hAnsi="Helvetica"/>
          <w:b/>
          <w:color w:val="2C3E50"/>
          <w:sz w:val="21"/>
        </w:rPr>
        <w:t xml:space="preserve">Premium Subscriptions: </w:t>
      </w:r>
      <w:r>
        <w:rPr>
          <w:rFonts w:ascii="Helvetica" w:hAnsi="Helvetica"/>
          <w:color w:val="2C3E50"/>
          <w:sz w:val="21"/>
        </w:rPr>
        <w:t>Tiered monthly passes for predictable commuter routing and priority seating queues.</w:t>
      </w:r>
    </w:p>
    <w:p>
      <w:pPr>
        <w:pStyle w:val="ListBullet"/>
        <w:spacing w:after="80" w:line="276" w:lineRule="auto"/>
      </w:pPr>
      <w:r>
        <w:rPr>
          <w:rFonts w:ascii="Helvetica" w:hAnsi="Helvetica"/>
          <w:b/>
          <w:color w:val="2C3E50"/>
          <w:sz w:val="21"/>
        </w:rPr>
        <w:t xml:space="preserve">Targeted Demographics: </w:t>
      </w:r>
      <w:r>
        <w:rPr>
          <w:rFonts w:ascii="Helvetica" w:hAnsi="Helvetica"/>
          <w:color w:val="2C3E50"/>
          <w:sz w:val="21"/>
        </w:rPr>
        <w:t>Demographic-segregated options, including high-security, strictly verified ladies-only route groups.</w:t>
      </w:r>
    </w:p>
    <w:p>
      <w:pPr>
        <w:pStyle w:val="ListBullet"/>
        <w:spacing w:after="80" w:line="276" w:lineRule="auto"/>
      </w:pPr>
      <w:r>
        <w:rPr>
          <w:rFonts w:ascii="Helvetica" w:hAnsi="Helvetica"/>
          <w:b/>
          <w:color w:val="2C3E50"/>
          <w:sz w:val="21"/>
        </w:rPr>
        <w:t xml:space="preserve">Corporate Transit Channels: </w:t>
      </w:r>
      <w:r>
        <w:rPr>
          <w:rFonts w:ascii="Helvetica" w:hAnsi="Helvetica"/>
          <w:color w:val="2C3E50"/>
          <w:sz w:val="21"/>
        </w:rPr>
        <w:t>Enterprise cluster logistics connecting major suburban zones to core business districts via unified pooling billing.</w:t>
      </w:r>
    </w:p>
    <w:p>
      <w:pPr>
        <w:pStyle w:val="ListBullet"/>
        <w:spacing w:after="80" w:line="276" w:lineRule="auto"/>
      </w:pPr>
      <w:r>
        <w:rPr>
          <w:rFonts w:ascii="Helvetica" w:hAnsi="Helvetica"/>
          <w:b/>
          <w:color w:val="2C3E50"/>
          <w:sz w:val="21"/>
        </w:rPr>
        <w:t xml:space="preserve">Contextual In-App Advertising: </w:t>
      </w:r>
      <w:r>
        <w:rPr>
          <w:rFonts w:ascii="Helvetica" w:hAnsi="Helvetica"/>
          <w:color w:val="2C3E50"/>
          <w:sz w:val="21"/>
        </w:rPr>
        <w:t>Hyper-local programmatic digital and physical ad visibility reaching affluent closed-community demographics directly.</w:t>
      </w:r>
    </w:p>
    <w:p>
      <w:pPr>
        <w:keepNext/>
        <w:spacing w:before="480" w:after="240"/>
        <w:pBdr>
          <w:bottom w:val="single" w:sz="8" w:space="4" w:color="CBD5E1"/>
        </w:pBdr>
      </w:pPr>
      <w:r>
        <w:rPr>
          <w:rFonts w:ascii="Helvetica" w:hAnsi="Helvetica"/>
          <w:b/>
          <w:color w:val="0F2537"/>
          <w:sz w:val="28"/>
        </w:rPr>
        <w:t>7. Interactive Application Demo</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60" w:type="dxa"/>
              <w:right w:w="160" w:type="dxa"/>
            </w:tcMar>
            <w:tcBorders>
              <w:top w:val="single" w:sz="4" w:space="0" w:color="BFDBFE"/>
              <w:left w:val="single" w:sz="4" w:space="0" w:color="BFDBFE"/>
              <w:bottom w:val="single" w:sz="4" w:space="0" w:color="BFDBFE"/>
              <w:right w:val="single" w:sz="4" w:space="0" w:color="BFDBFE"/>
            </w:tcBorders>
          </w:tcPr>
          <w:p>
            <w:pPr>
              <w:spacing w:after="80"/>
            </w:pPr>
            <w:r>
              <w:rPr>
                <w:rFonts w:ascii="Helvetica" w:hAnsi="Helvetica"/>
                <w:b/>
                <w:color w:val="1E40AF"/>
                <w:sz w:val="21"/>
              </w:rPr>
              <w:t>Functional Architecture Verification Link:</w:t>
            </w:r>
          </w:p>
          <w:p>
            <w:pPr>
              <w:spacing w:after="120"/>
            </w:pPr>
            <w:r>
              <w:rPr>
                <w:rFonts w:ascii="Helvetica" w:hAnsi="Helvetica"/>
                <w:color w:val="2C3E50"/>
                <w:sz w:val="20"/>
              </w:rPr>
              <w:t>The interactive platform MVP illustrating live digital workflows, user estate validation layers, and routing matching models can be run here:</w:t>
            </w:r>
          </w:p>
          <w:p>
            <w:r>
              <w:rPr>
                <w:rFonts w:ascii="Courier New" w:hAnsi="Courier New"/>
                <w:b/>
                <w:color w:val="2563EB"/>
                <w:sz w:val="21"/>
              </w:rPr>
              <w:t>https://commute-app-demo.vercel.app</w:t>
            </w:r>
          </w:p>
        </w:tc>
      </w:tr>
    </w:tbl>
    <w:p>
      <w:pPr>
        <w:spacing w:before="640"/>
      </w:pPr>
    </w:p>
    <w:tbl>
      <w:tblPr>
        <w:tblW w:type="auto" w:w="0"/>
        <w:jc w:val="center"/>
        <w:tblLook w:firstColumn="1" w:firstRow="1" w:lastColumn="0" w:lastRow="0" w:noHBand="0" w:noVBand="1" w:val="04A0"/>
      </w:tblPr>
      <w:tblGrid>
        <w:gridCol w:w="4680"/>
        <w:gridCol w:w="4680"/>
      </w:tblGrid>
      <w:tr>
        <w:tc>
          <w:tcPr>
            <w:tcW w:type="dxa" w:w="4680"/>
            <w:tcBorders>
              <w:top w:val="none"/>
              <w:left w:val="none"/>
              <w:bottom w:val="none"/>
              <w:right w:val="none"/>
            </w:tcBorders>
          </w:tcPr>
          <w:p>
            <w:r>
              <w:rPr>
                <w:color w:val="64748B"/>
                <w:sz w:val="18"/>
              </w:rPr>
              <w:t>Prepared for consideration by:</w:t>
              <w:br/>
            </w:r>
            <w:r>
              <w:rPr>
                <w:b/>
                <w:color w:val="0F2537"/>
              </w:rPr>
              <w:t>Benedicta Nwaefido</w:t>
            </w:r>
          </w:p>
        </w:tc>
        <w:tc>
          <w:tcPr>
            <w:tcW w:type="dxa" w:w="4680"/>
            <w:tcBorders>
              <w:top w:val="none"/>
              <w:left w:val="none"/>
              <w:bottom w:val="none"/>
              <w:right w:val="none"/>
            </w:tcBorders>
          </w:tcPr>
          <w:p>
            <w:pPr>
              <w:jc w:val="right"/>
            </w:pPr>
            <w:r>
              <w:rPr>
                <w:color w:val="64748B"/>
                <w:sz w:val="18"/>
              </w:rPr>
              <w:t>Authorized Corporate Proposal:</w:t>
              <w:br/>
            </w:r>
            <w:r>
              <w:rPr>
                <w:b/>
                <w:color w:val="0F2537"/>
              </w:rPr>
              <w:t>Michael Everest Nwaohiri</w:t>
              <w:br/>
            </w:r>
            <w:r>
              <w:rPr>
                <w:color w:val="64748B"/>
                <w:sz w:val="18"/>
              </w:rPr>
              <w:t>Founder &amp; Tech Lead, Commute Service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