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22719" w14:textId="3732B0AA" w:rsidR="00C56FF4" w:rsidRPr="00C56FF4" w:rsidRDefault="00000000">
      <w:pPr>
        <w:rPr>
          <w:rFonts w:ascii="Helvetica" w:hAnsi="Helvetica"/>
          <w:b/>
          <w:color w:val="16A34A"/>
          <w:sz w:val="20"/>
          <w:szCs w:val="24"/>
        </w:rPr>
      </w:pPr>
      <w:r w:rsidRPr="00C56FF4">
        <w:rPr>
          <w:rFonts w:ascii="Helvetica" w:hAnsi="Helvetica"/>
          <w:b/>
          <w:color w:val="16A34A"/>
          <w:sz w:val="20"/>
          <w:szCs w:val="24"/>
        </w:rPr>
        <w:t>SEED ROUND INVESTMENT PROPOSAL</w:t>
      </w:r>
    </w:p>
    <w:p w14:paraId="59FE209C" w14:textId="77777777" w:rsidR="00601C89" w:rsidRDefault="00000000">
      <w:pPr>
        <w:spacing w:before="200" w:after="160"/>
      </w:pPr>
      <w:r>
        <w:rPr>
          <w:rFonts w:ascii="Helvetica" w:hAnsi="Helvetica"/>
          <w:b/>
          <w:color w:val="0F2537"/>
          <w:sz w:val="64"/>
        </w:rPr>
        <w:t>Commute Service</w:t>
      </w:r>
    </w:p>
    <w:p w14:paraId="0535F796" w14:textId="77777777" w:rsidR="00601C89" w:rsidRDefault="00000000">
      <w:pPr>
        <w:spacing w:after="480"/>
      </w:pPr>
      <w:r>
        <w:rPr>
          <w:rFonts w:ascii="Helvetica" w:hAnsi="Helvetica"/>
          <w:color w:val="64748B"/>
          <w:sz w:val="24"/>
        </w:rPr>
        <w:t>A hyper-local, trust-based micro-mobility &amp; rideshare infrastructure designed for gated estates and residential communities.</w:t>
      </w:r>
    </w:p>
    <w:p w14:paraId="409366D6" w14:textId="77777777" w:rsidR="00601C89" w:rsidRDefault="00601C89">
      <w:pPr>
        <w:spacing w:before="800"/>
      </w:pPr>
    </w:p>
    <w:tbl>
      <w:tblPr>
        <w:tblW w:w="0" w:type="auto"/>
        <w:tblLayout w:type="fixed"/>
        <w:tblLook w:val="04A0" w:firstRow="1" w:lastRow="0" w:firstColumn="1" w:lastColumn="0" w:noHBand="0" w:noVBand="1"/>
      </w:tblPr>
      <w:tblGrid>
        <w:gridCol w:w="2592"/>
        <w:gridCol w:w="6768"/>
      </w:tblGrid>
      <w:tr w:rsidR="00601C89" w14:paraId="2393077A" w14:textId="77777777">
        <w:tc>
          <w:tcPr>
            <w:tcW w:w="2592" w:type="dxa"/>
            <w:shd w:val="clear" w:color="auto" w:fill="F8FAFC"/>
            <w:tcMar>
              <w:top w:w="100" w:type="dxa"/>
              <w:left w:w="150" w:type="dxa"/>
              <w:bottom w:w="100" w:type="dxa"/>
              <w:right w:w="150" w:type="dxa"/>
            </w:tcMar>
          </w:tcPr>
          <w:p w14:paraId="71DCEAD1" w14:textId="77777777" w:rsidR="00601C89" w:rsidRDefault="00000000">
            <w:r>
              <w:rPr>
                <w:rFonts w:ascii="Helvetica" w:hAnsi="Helvetica"/>
                <w:b/>
                <w:color w:val="64748B"/>
                <w:sz w:val="19"/>
              </w:rPr>
              <w:t>Prepared For:</w:t>
            </w:r>
          </w:p>
        </w:tc>
        <w:tc>
          <w:tcPr>
            <w:tcW w:w="6768" w:type="dxa"/>
            <w:shd w:val="clear" w:color="auto" w:fill="F8FAFC"/>
            <w:tcMar>
              <w:top w:w="100" w:type="dxa"/>
              <w:left w:w="150" w:type="dxa"/>
              <w:bottom w:w="100" w:type="dxa"/>
              <w:right w:w="150" w:type="dxa"/>
            </w:tcMar>
          </w:tcPr>
          <w:p w14:paraId="43295447" w14:textId="77777777" w:rsidR="00601C89" w:rsidRDefault="00000000">
            <w:r>
              <w:rPr>
                <w:rFonts w:ascii="Helvetica" w:hAnsi="Helvetica"/>
                <w:b/>
                <w:color w:val="0F2537"/>
                <w:sz w:val="21"/>
              </w:rPr>
              <w:t>Benedicta Nwaefido</w:t>
            </w:r>
          </w:p>
        </w:tc>
      </w:tr>
      <w:tr w:rsidR="00601C89" w14:paraId="53194394" w14:textId="77777777">
        <w:tc>
          <w:tcPr>
            <w:tcW w:w="2592" w:type="dxa"/>
            <w:shd w:val="clear" w:color="auto" w:fill="F8FAFC"/>
            <w:tcMar>
              <w:top w:w="100" w:type="dxa"/>
              <w:left w:w="150" w:type="dxa"/>
              <w:bottom w:w="100" w:type="dxa"/>
              <w:right w:w="150" w:type="dxa"/>
            </w:tcMar>
          </w:tcPr>
          <w:p w14:paraId="5A92AB6F" w14:textId="77777777" w:rsidR="00601C89" w:rsidRDefault="00000000">
            <w:r>
              <w:rPr>
                <w:rFonts w:ascii="Helvetica" w:hAnsi="Helvetica"/>
                <w:b/>
                <w:color w:val="64748B"/>
                <w:sz w:val="19"/>
              </w:rPr>
              <w:t>Prepared By:</w:t>
            </w:r>
          </w:p>
        </w:tc>
        <w:tc>
          <w:tcPr>
            <w:tcW w:w="6768" w:type="dxa"/>
            <w:shd w:val="clear" w:color="auto" w:fill="F8FAFC"/>
            <w:tcMar>
              <w:top w:w="100" w:type="dxa"/>
              <w:left w:w="150" w:type="dxa"/>
              <w:bottom w:w="100" w:type="dxa"/>
              <w:right w:w="150" w:type="dxa"/>
            </w:tcMar>
          </w:tcPr>
          <w:p w14:paraId="47C7B28A" w14:textId="77777777" w:rsidR="00601C89" w:rsidRDefault="00000000">
            <w:r>
              <w:rPr>
                <w:rFonts w:ascii="Helvetica" w:hAnsi="Helvetica"/>
                <w:b/>
                <w:color w:val="0F2537"/>
                <w:sz w:val="21"/>
              </w:rPr>
              <w:t>Michael Everest Nwaohiri</w:t>
            </w:r>
            <w:r>
              <w:rPr>
                <w:rFonts w:ascii="Helvetica" w:hAnsi="Helvetica"/>
                <w:b/>
                <w:color w:val="0F2537"/>
                <w:sz w:val="21"/>
              </w:rPr>
              <w:br/>
              <w:t>Founder &amp; Tech Lead, Commute Service</w:t>
            </w:r>
          </w:p>
        </w:tc>
      </w:tr>
      <w:tr w:rsidR="00601C89" w14:paraId="07FE5D1E" w14:textId="77777777">
        <w:tc>
          <w:tcPr>
            <w:tcW w:w="2592" w:type="dxa"/>
            <w:shd w:val="clear" w:color="auto" w:fill="F8FAFC"/>
            <w:tcMar>
              <w:top w:w="100" w:type="dxa"/>
              <w:left w:w="150" w:type="dxa"/>
              <w:bottom w:w="100" w:type="dxa"/>
              <w:right w:w="150" w:type="dxa"/>
            </w:tcMar>
          </w:tcPr>
          <w:p w14:paraId="0B4270BE" w14:textId="77777777" w:rsidR="00601C89" w:rsidRDefault="00000000">
            <w:r>
              <w:rPr>
                <w:rFonts w:ascii="Helvetica" w:hAnsi="Helvetica"/>
                <w:b/>
                <w:color w:val="64748B"/>
                <w:sz w:val="19"/>
              </w:rPr>
              <w:t>Date:</w:t>
            </w:r>
          </w:p>
        </w:tc>
        <w:tc>
          <w:tcPr>
            <w:tcW w:w="6768" w:type="dxa"/>
            <w:shd w:val="clear" w:color="auto" w:fill="F8FAFC"/>
            <w:tcMar>
              <w:top w:w="100" w:type="dxa"/>
              <w:left w:w="150" w:type="dxa"/>
              <w:bottom w:w="100" w:type="dxa"/>
              <w:right w:w="150" w:type="dxa"/>
            </w:tcMar>
          </w:tcPr>
          <w:p w14:paraId="0EEBD2B0" w14:textId="77777777" w:rsidR="00601C89" w:rsidRDefault="00000000">
            <w:r>
              <w:rPr>
                <w:rFonts w:ascii="Helvetica" w:hAnsi="Helvetica"/>
                <w:b/>
                <w:color w:val="0F2537"/>
                <w:sz w:val="21"/>
              </w:rPr>
              <w:t>May 16, 2026</w:t>
            </w:r>
          </w:p>
        </w:tc>
      </w:tr>
      <w:tr w:rsidR="00601C89" w14:paraId="204C9DDD" w14:textId="77777777">
        <w:tc>
          <w:tcPr>
            <w:tcW w:w="2592" w:type="dxa"/>
            <w:shd w:val="clear" w:color="auto" w:fill="F8FAFC"/>
            <w:tcMar>
              <w:top w:w="100" w:type="dxa"/>
              <w:left w:w="150" w:type="dxa"/>
              <w:bottom w:w="100" w:type="dxa"/>
              <w:right w:w="150" w:type="dxa"/>
            </w:tcMar>
          </w:tcPr>
          <w:p w14:paraId="4446FDB2" w14:textId="77777777" w:rsidR="00601C89" w:rsidRDefault="00000000">
            <w:r>
              <w:rPr>
                <w:rFonts w:ascii="Helvetica" w:hAnsi="Helvetica"/>
                <w:b/>
                <w:color w:val="64748B"/>
                <w:sz w:val="19"/>
              </w:rPr>
              <w:t>Location:</w:t>
            </w:r>
          </w:p>
        </w:tc>
        <w:tc>
          <w:tcPr>
            <w:tcW w:w="6768" w:type="dxa"/>
            <w:shd w:val="clear" w:color="auto" w:fill="F8FAFC"/>
            <w:tcMar>
              <w:top w:w="100" w:type="dxa"/>
              <w:left w:w="150" w:type="dxa"/>
              <w:bottom w:w="100" w:type="dxa"/>
              <w:right w:w="150" w:type="dxa"/>
            </w:tcMar>
          </w:tcPr>
          <w:p w14:paraId="727F7F89" w14:textId="15E0B753" w:rsidR="00601C89" w:rsidRDefault="00000000">
            <w:r>
              <w:rPr>
                <w:rFonts w:ascii="Helvetica" w:hAnsi="Helvetica"/>
                <w:b/>
                <w:color w:val="0F2537"/>
                <w:sz w:val="21"/>
              </w:rPr>
              <w:t>Lugbe, Abuja, Nigeria</w:t>
            </w:r>
          </w:p>
        </w:tc>
      </w:tr>
    </w:tbl>
    <w:tbl>
      <w:tblPr>
        <w:tblpPr w:leftFromText="180" w:rightFromText="180" w:vertAnchor="text" w:horzAnchor="margin" w:tblpY="2311"/>
        <w:tblW w:w="0" w:type="auto"/>
        <w:tblLook w:val="04A0" w:firstRow="1" w:lastRow="0" w:firstColumn="1" w:lastColumn="0" w:noHBand="0" w:noVBand="1"/>
      </w:tblPr>
      <w:tblGrid>
        <w:gridCol w:w="9360"/>
      </w:tblGrid>
      <w:tr w:rsidR="00C56FF4" w14:paraId="501C111B" w14:textId="77777777" w:rsidTr="00C56FF4">
        <w:tc>
          <w:tcPr>
            <w:tcW w:w="9378" w:type="dxa"/>
            <w:shd w:val="clear" w:color="auto" w:fill="1A73E8"/>
          </w:tcPr>
          <w:p w14:paraId="66DD3A8D" w14:textId="77777777" w:rsidR="00C56FF4" w:rsidRDefault="00C56FF4" w:rsidP="00C56FF4"/>
        </w:tc>
      </w:tr>
    </w:tbl>
    <w:p w14:paraId="3650DAC3" w14:textId="77777777" w:rsidR="00601C89" w:rsidRDefault="00000000">
      <w:r>
        <w:br w:type="page"/>
      </w:r>
    </w:p>
    <w:p w14:paraId="56E53C83" w14:textId="77777777" w:rsidR="00601C89" w:rsidRDefault="00000000">
      <w:pPr>
        <w:keepNext/>
        <w:pBdr>
          <w:bottom w:val="single" w:sz="8" w:space="4" w:color="CBD5E1"/>
        </w:pBdr>
        <w:spacing w:before="480" w:after="240"/>
      </w:pPr>
      <w:r>
        <w:rPr>
          <w:rFonts w:ascii="Helvetica" w:hAnsi="Helvetica"/>
          <w:b/>
          <w:color w:val="0F2537"/>
          <w:sz w:val="28"/>
        </w:rPr>
        <w:lastRenderedPageBreak/>
        <w:t>1. Commute Service Overview</w:t>
      </w:r>
    </w:p>
    <w:p w14:paraId="334F46FB" w14:textId="77777777" w:rsidR="00601C89" w:rsidRDefault="00000000">
      <w:pPr>
        <w:spacing w:after="160" w:line="288" w:lineRule="auto"/>
      </w:pPr>
      <w:r>
        <w:rPr>
          <w:rFonts w:ascii="Helvetica" w:hAnsi="Helvetica"/>
          <w:color w:val="2C3E50"/>
          <w:sz w:val="21"/>
        </w:rPr>
        <w:t>Commute Service is an innovative, hyper-local, trust-based rideshare platform engineered specifically to address the intensive daily commuting challenges within gated estates and structured residential communities. By connecting verified neighbors who have available empty car seats with fellow residents heading along identical workplace or school routes, the platform optimizes suburban transit through a systematic, estate-level trust framework.</w:t>
      </w:r>
    </w:p>
    <w:p w14:paraId="0362D96A" w14:textId="77777777" w:rsidR="00601C89" w:rsidRDefault="00000000">
      <w:pPr>
        <w:spacing w:after="160" w:line="288" w:lineRule="auto"/>
      </w:pPr>
      <w:r>
        <w:rPr>
          <w:rFonts w:ascii="Helvetica" w:hAnsi="Helvetica"/>
          <w:color w:val="2C3E50"/>
          <w:sz w:val="21"/>
        </w:rPr>
        <w:t>Unlike conventional ride-hailing services that rely on a generic, commercial pool of unknown drivers, Commute Service utilizes localized resident networks and rigorous estate validation systems to deliver a highly reliable, cost-effective, and secure transportation alternative. The operational pilot is targeted for rollout within the Lugbe axis of Abuja, beginning with Newsite Estate and surrounding residential clusters.</w:t>
      </w:r>
    </w:p>
    <w:p w14:paraId="023B5CE7" w14:textId="77777777" w:rsidR="00601C89" w:rsidRDefault="00000000">
      <w:pPr>
        <w:keepNext/>
        <w:pBdr>
          <w:bottom w:val="single" w:sz="8" w:space="4" w:color="CBD5E1"/>
        </w:pBdr>
        <w:spacing w:before="480" w:after="240"/>
      </w:pPr>
      <w:r>
        <w:rPr>
          <w:rFonts w:ascii="Helvetica" w:hAnsi="Helvetica"/>
          <w:b/>
          <w:color w:val="0F2537"/>
          <w:sz w:val="28"/>
        </w:rPr>
        <w:t>2. Funding Objective &amp; Equity Structure</w:t>
      </w:r>
    </w:p>
    <w:tbl>
      <w:tblPr>
        <w:tblW w:w="0" w:type="auto"/>
        <w:jc w:val="center"/>
        <w:tblLook w:val="04A0" w:firstRow="1" w:lastRow="0" w:firstColumn="1" w:lastColumn="0" w:noHBand="0" w:noVBand="1"/>
      </w:tblPr>
      <w:tblGrid>
        <w:gridCol w:w="9360"/>
      </w:tblGrid>
      <w:tr w:rsidR="00601C89" w14:paraId="578EEA53" w14:textId="77777777">
        <w:trPr>
          <w:jc w:val="center"/>
        </w:trPr>
        <w:tc>
          <w:tcPr>
            <w:tcW w:w="9360" w:type="dxa"/>
            <w:shd w:val="clear" w:color="auto" w:fill="0F2537"/>
            <w:tcMar>
              <w:top w:w="160" w:type="dxa"/>
              <w:left w:w="200" w:type="dxa"/>
              <w:bottom w:w="160" w:type="dxa"/>
              <w:right w:w="200" w:type="dxa"/>
            </w:tcMar>
          </w:tcPr>
          <w:p w14:paraId="3A67AF88" w14:textId="77777777" w:rsidR="00601C89" w:rsidRDefault="00000000">
            <w:pPr>
              <w:spacing w:after="40"/>
            </w:pPr>
            <w:r>
              <w:rPr>
                <w:rFonts w:ascii="Helvetica" w:hAnsi="Helvetica"/>
                <w:b/>
                <w:color w:val="38BDF8"/>
                <w:sz w:val="18"/>
              </w:rPr>
              <w:t>SEED ROUND CAPITAL OBJECTIVE</w:t>
            </w:r>
          </w:p>
          <w:p w14:paraId="36C5D54B" w14:textId="77777777" w:rsidR="00601C89" w:rsidRPr="00C56FF4" w:rsidRDefault="00000000">
            <w:pPr>
              <w:spacing w:after="40"/>
              <w:rPr>
                <w:sz w:val="20"/>
                <w:szCs w:val="20"/>
              </w:rPr>
            </w:pPr>
            <w:r w:rsidRPr="00C56FF4">
              <w:rPr>
                <w:rFonts w:ascii="Helvetica" w:hAnsi="Helvetica"/>
                <w:b/>
                <w:color w:val="FFFFFF"/>
                <w:sz w:val="40"/>
                <w:szCs w:val="20"/>
              </w:rPr>
              <w:t>₦5,000,000 Requested</w:t>
            </w:r>
          </w:p>
          <w:p w14:paraId="5E946367" w14:textId="77777777" w:rsidR="00601C89" w:rsidRDefault="00000000">
            <w:r>
              <w:rPr>
                <w:rFonts w:ascii="Helvetica" w:hAnsi="Helvetica"/>
                <w:b/>
                <w:color w:val="34D399"/>
              </w:rPr>
              <w:t>Allocation: 5% Equity Stake  |  Implied Post-Money Valuation: ₦100,000,000</w:t>
            </w:r>
          </w:p>
          <w:p w14:paraId="7DB6595B" w14:textId="77777777" w:rsidR="00601C89" w:rsidRDefault="00000000">
            <w:pPr>
              <w:spacing w:after="0" w:line="288" w:lineRule="auto"/>
            </w:pPr>
            <w:r>
              <w:rPr>
                <w:rFonts w:ascii="Helvetica" w:hAnsi="Helvetica"/>
                <w:color w:val="E2E8F0"/>
                <w:sz w:val="20"/>
              </w:rPr>
              <w:t>This capitalization will strictly fund the complete initial software development, core relational database infrastructure build, and launch operating runway over the next 6–9 months, advancing the platform seamlessly from concept stage into live community transaction generation.</w:t>
            </w:r>
          </w:p>
        </w:tc>
      </w:tr>
    </w:tbl>
    <w:p w14:paraId="20C04C25" w14:textId="5FC92980" w:rsidR="00601C89" w:rsidRDefault="00000000">
      <w:pPr>
        <w:keepNext/>
        <w:pBdr>
          <w:bottom w:val="single" w:sz="8" w:space="4" w:color="CBD5E1"/>
        </w:pBdr>
        <w:spacing w:before="480" w:after="240"/>
      </w:pPr>
      <w:r>
        <w:rPr>
          <w:rFonts w:ascii="Helvetica" w:hAnsi="Helvetica"/>
          <w:b/>
          <w:color w:val="0F2537"/>
          <w:sz w:val="28"/>
        </w:rPr>
        <w:t>3. Strategic Use of Funds</w:t>
      </w:r>
    </w:p>
    <w:p w14:paraId="0C35E0B1" w14:textId="77777777" w:rsidR="00601C89" w:rsidRDefault="00000000">
      <w:pPr>
        <w:spacing w:after="160" w:line="288" w:lineRule="auto"/>
      </w:pPr>
      <w:r>
        <w:rPr>
          <w:rFonts w:ascii="Helvetica" w:hAnsi="Helvetica"/>
          <w:color w:val="2C3E50"/>
          <w:sz w:val="21"/>
        </w:rPr>
        <w:t>To maximize execution precision and avoid capital overlap, the ₦5,000,000 investment is budgeted cleanly into two core workflows over a 6 to 9-month timeframe:</w:t>
      </w:r>
    </w:p>
    <w:tbl>
      <w:tblPr>
        <w:tblW w:w="0" w:type="auto"/>
        <w:jc w:val="center"/>
        <w:tblLayout w:type="fixed"/>
        <w:tblLook w:val="04A0" w:firstRow="1" w:lastRow="0" w:firstColumn="1" w:lastColumn="0" w:noHBand="0" w:noVBand="1"/>
      </w:tblPr>
      <w:tblGrid>
        <w:gridCol w:w="4680"/>
        <w:gridCol w:w="4680"/>
      </w:tblGrid>
      <w:tr w:rsidR="00601C89" w14:paraId="17E739CE" w14:textId="77777777">
        <w:trPr>
          <w:jc w:val="center"/>
        </w:trPr>
        <w:tc>
          <w:tcPr>
            <w:tcW w:w="4680" w:type="dxa"/>
            <w:tcBorders>
              <w:left w:val="single" w:sz="32" w:space="0" w:color="1A73E8"/>
            </w:tcBorders>
            <w:shd w:val="clear" w:color="auto" w:fill="F8FAFC"/>
            <w:tcMar>
              <w:top w:w="120" w:type="dxa"/>
              <w:left w:w="140" w:type="dxa"/>
              <w:bottom w:w="120" w:type="dxa"/>
              <w:right w:w="140" w:type="dxa"/>
            </w:tcMar>
          </w:tcPr>
          <w:p w14:paraId="09F99117" w14:textId="77777777" w:rsidR="00601C89" w:rsidRDefault="00000000">
            <w:r>
              <w:rPr>
                <w:b/>
                <w:color w:val="0F2537"/>
              </w:rPr>
              <w:t>Platform Development (40%)</w:t>
            </w:r>
            <w:r>
              <w:rPr>
                <w:b/>
                <w:color w:val="0F2537"/>
              </w:rPr>
              <w:br/>
            </w:r>
            <w:r>
              <w:rPr>
                <w:b/>
                <w:color w:val="1A73E8"/>
                <w:sz w:val="28"/>
              </w:rPr>
              <w:t>₦2,000,000</w:t>
            </w:r>
            <w:r>
              <w:rPr>
                <w:b/>
                <w:color w:val="1A73E8"/>
                <w:sz w:val="28"/>
              </w:rPr>
              <w:br/>
            </w:r>
            <w:r>
              <w:rPr>
                <w:b/>
                <w:color w:val="1A73E8"/>
                <w:sz w:val="28"/>
              </w:rPr>
              <w:br/>
            </w:r>
            <w:r>
              <w:rPr>
                <w:color w:val="2C3E50"/>
                <w:sz w:val="19"/>
              </w:rPr>
              <w:t>Complete engineering of full-stack MVP architecture: relational data normalization (Supabase Pro), light mobile web application interfaces (Vercel Edge hosting), and real-time automated WhatsApp matching system notification webhooks.</w:t>
            </w:r>
          </w:p>
        </w:tc>
        <w:tc>
          <w:tcPr>
            <w:tcW w:w="4680" w:type="dxa"/>
            <w:tcBorders>
              <w:left w:val="single" w:sz="32" w:space="0" w:color="16A34A"/>
            </w:tcBorders>
            <w:shd w:val="clear" w:color="auto" w:fill="F8FAFC"/>
            <w:tcMar>
              <w:top w:w="120" w:type="dxa"/>
              <w:left w:w="140" w:type="dxa"/>
              <w:bottom w:w="120" w:type="dxa"/>
              <w:right w:w="140" w:type="dxa"/>
            </w:tcMar>
          </w:tcPr>
          <w:p w14:paraId="463FC7F7" w14:textId="77777777" w:rsidR="00601C89" w:rsidRDefault="00000000">
            <w:r>
              <w:rPr>
                <w:b/>
                <w:color w:val="0F2537"/>
              </w:rPr>
              <w:t>Launch Operating Runway (60%)</w:t>
            </w:r>
            <w:r>
              <w:rPr>
                <w:b/>
                <w:color w:val="0F2537"/>
              </w:rPr>
              <w:br/>
            </w:r>
            <w:r>
              <w:rPr>
                <w:b/>
                <w:color w:val="16A34A"/>
                <w:sz w:val="28"/>
              </w:rPr>
              <w:t>₦3,000,000</w:t>
            </w:r>
            <w:r>
              <w:rPr>
                <w:b/>
                <w:color w:val="16A34A"/>
                <w:sz w:val="28"/>
              </w:rPr>
              <w:br/>
            </w:r>
            <w:r>
              <w:rPr>
                <w:b/>
                <w:color w:val="16A34A"/>
                <w:sz w:val="28"/>
              </w:rPr>
              <w:br/>
            </w:r>
            <w:r>
              <w:rPr>
                <w:color w:val="2C3E50"/>
                <w:sz w:val="19"/>
              </w:rPr>
              <w:t>Establishes a solid 6-7 month operating buffer: formal Corporate Affairs Commission (CAC) business incorporation, passenger liability waiver drafting, print estate signage, flyer kits, and localized Ambassador launch networks.</w:t>
            </w:r>
          </w:p>
        </w:tc>
      </w:tr>
    </w:tbl>
    <w:p w14:paraId="1CA15CF8" w14:textId="77777777" w:rsidR="00601C89" w:rsidRDefault="00000000">
      <w:pPr>
        <w:keepNext/>
        <w:pBdr>
          <w:bottom w:val="single" w:sz="8" w:space="4" w:color="CBD5E1"/>
        </w:pBdr>
        <w:spacing w:before="480" w:after="240"/>
      </w:pPr>
      <w:r>
        <w:rPr>
          <w:rFonts w:ascii="Helvetica" w:hAnsi="Helvetica"/>
          <w:b/>
          <w:color w:val="0F2537"/>
          <w:sz w:val="28"/>
        </w:rPr>
        <w:lastRenderedPageBreak/>
        <w:t>4. Valuation Justification (Why ₦100 Million Pre-Build?)</w:t>
      </w:r>
    </w:p>
    <w:p w14:paraId="7578545B" w14:textId="77777777" w:rsidR="00601C89" w:rsidRDefault="00000000">
      <w:pPr>
        <w:spacing w:after="160" w:line="288" w:lineRule="auto"/>
      </w:pPr>
      <w:r>
        <w:rPr>
          <w:rFonts w:ascii="Helvetica" w:hAnsi="Helvetica"/>
          <w:color w:val="2C3E50"/>
          <w:sz w:val="21"/>
        </w:rPr>
        <w:t>Securing a ₦100,000,000 valuation prior to product build is backed up by specific technical advantages, asset-light scaling physics, and immediate network entry locks:</w:t>
      </w:r>
    </w:p>
    <w:p w14:paraId="24492517" w14:textId="77777777" w:rsidR="00601C89" w:rsidRDefault="00000000">
      <w:pPr>
        <w:keepNext/>
        <w:spacing w:before="320" w:after="120"/>
      </w:pPr>
      <w:r>
        <w:rPr>
          <w:rFonts w:ascii="Helvetica" w:hAnsi="Helvetica"/>
          <w:b/>
          <w:color w:val="1A73E8"/>
          <w:sz w:val="23"/>
        </w:rPr>
        <w:t>1. High Technical Build Capital Efficiency</w:t>
      </w:r>
    </w:p>
    <w:p w14:paraId="2520AAEA" w14:textId="0707F992" w:rsidR="00601C89" w:rsidRDefault="00000000">
      <w:pPr>
        <w:spacing w:after="160" w:line="288" w:lineRule="auto"/>
      </w:pPr>
      <w:r>
        <w:rPr>
          <w:rFonts w:ascii="Helvetica" w:hAnsi="Helvetica"/>
          <w:color w:val="2C3E50"/>
          <w:sz w:val="21"/>
        </w:rPr>
        <w:t>Building a secure, real-time marketplace app typically triggers massive third-party engineering agency costs. Because the core software architecture is designed and directly executed by an experienced, full-stack product engineer, the ₦2,000,000 development allocation produces enterprise-grade tech that would cost technical teams over ₦7,500,000 to construct externally. This efficiency protects investor capital from friction loss.</w:t>
      </w:r>
    </w:p>
    <w:p w14:paraId="71499864" w14:textId="77777777" w:rsidR="00601C89" w:rsidRDefault="00000000">
      <w:pPr>
        <w:keepNext/>
        <w:spacing w:before="320" w:after="120"/>
      </w:pPr>
      <w:r>
        <w:rPr>
          <w:rFonts w:ascii="Helvetica" w:hAnsi="Helvetica"/>
          <w:b/>
          <w:color w:val="1A73E8"/>
          <w:sz w:val="23"/>
        </w:rPr>
        <w:t>2. Structural Local Network Moat vs. Software Duplication</w:t>
      </w:r>
    </w:p>
    <w:p w14:paraId="2F6815D0" w14:textId="77777777" w:rsidR="00601C89" w:rsidRDefault="00000000">
      <w:pPr>
        <w:spacing w:after="160" w:line="288" w:lineRule="auto"/>
      </w:pPr>
      <w:r>
        <w:rPr>
          <w:rFonts w:ascii="Helvetica" w:hAnsi="Helvetica"/>
          <w:color w:val="2C3E50"/>
          <w:sz w:val="21"/>
        </w:rPr>
        <w:t>Software code can always be replicated; exclusive local estate entries cannot. The core value engine driving our valuation is the closed-loop trust infrastructure. Formal integrations with estate home-owner associations (HOAs) form a protective barrier. Generalized commercial ride-hailing networks like Uber or Bolt cannot easily audit or break into private, secure estate security systems.</w:t>
      </w:r>
    </w:p>
    <w:p w14:paraId="47198C2D" w14:textId="77777777" w:rsidR="00601C89" w:rsidRDefault="00000000">
      <w:pPr>
        <w:keepNext/>
        <w:spacing w:before="320" w:after="120"/>
      </w:pPr>
      <w:r>
        <w:rPr>
          <w:rFonts w:ascii="Helvetica" w:hAnsi="Helvetica"/>
          <w:b/>
          <w:color w:val="1A73E8"/>
          <w:sz w:val="23"/>
        </w:rPr>
        <w:t>3. Scalable Digital Marketplace Physics</w:t>
      </w:r>
    </w:p>
    <w:p w14:paraId="3A237C5B" w14:textId="77777777" w:rsidR="00601C89" w:rsidRDefault="00000000">
      <w:pPr>
        <w:spacing w:after="160" w:line="288" w:lineRule="auto"/>
      </w:pPr>
      <w:r>
        <w:rPr>
          <w:rFonts w:ascii="Helvetica" w:hAnsi="Helvetica"/>
          <w:color w:val="2C3E50"/>
          <w:sz w:val="21"/>
        </w:rPr>
        <w:t>As a digital matchmaker interface, Commute Service carries zero asset overhead—no vehicle purchase, fuel dependencies, or fleet maintenance fees. Once the baseline server code is compiled and live, the incremental cost of expanding to 10 more estates or adding 5,000 daily active riders is practically zero, triggering high operational profit margins.</w:t>
      </w:r>
    </w:p>
    <w:p w14:paraId="7E667902" w14:textId="77777777" w:rsidR="00601C89" w:rsidRDefault="00000000">
      <w:pPr>
        <w:keepNext/>
        <w:spacing w:before="320" w:after="120"/>
      </w:pPr>
      <w:r>
        <w:rPr>
          <w:rFonts w:ascii="Helvetica" w:hAnsi="Helvetica"/>
          <w:b/>
          <w:color w:val="1A73E8"/>
          <w:sz w:val="23"/>
        </w:rPr>
        <w:t>4. Compounding Revenue Multiples &amp; Network Density</w:t>
      </w:r>
    </w:p>
    <w:p w14:paraId="3C3D4CA5" w14:textId="77777777" w:rsidR="00601C89" w:rsidRDefault="00000000">
      <w:pPr>
        <w:spacing w:after="160" w:line="288" w:lineRule="auto"/>
      </w:pPr>
      <w:r>
        <w:rPr>
          <w:rFonts w:ascii="Helvetica" w:hAnsi="Helvetica"/>
          <w:color w:val="2C3E50"/>
          <w:sz w:val="21"/>
        </w:rPr>
        <w:t>While our initial Phase 1 baseline target (100 vehicles) outlines a conservative transaction fee capture for validation, the true model relies on rapid replications across Lugbe's massive residential hubs. Scaling to just 15 targeted estates expands ride liquidity exponentially, building powerful network density independent of supplemental subscription monetization tiers.</w:t>
      </w:r>
    </w:p>
    <w:p w14:paraId="16B226CB" w14:textId="77777777" w:rsidR="00601C89" w:rsidRDefault="00000000">
      <w:pPr>
        <w:keepNext/>
        <w:pBdr>
          <w:bottom w:val="single" w:sz="8" w:space="4" w:color="CBD5E1"/>
        </w:pBdr>
        <w:spacing w:before="480" w:after="240"/>
      </w:pPr>
      <w:r>
        <w:rPr>
          <w:rFonts w:ascii="Helvetica" w:hAnsi="Helvetica"/>
          <w:b/>
          <w:color w:val="0F2537"/>
          <w:sz w:val="28"/>
        </w:rPr>
        <w:t>5. Post-Launch Phase 1 Projected Operating Budget</w:t>
      </w:r>
    </w:p>
    <w:p w14:paraId="4B86ECD9" w14:textId="77777777" w:rsidR="00601C89" w:rsidRDefault="00000000">
      <w:pPr>
        <w:spacing w:after="160" w:line="288" w:lineRule="auto"/>
      </w:pPr>
      <w:r>
        <w:rPr>
          <w:rFonts w:ascii="Helvetica" w:hAnsi="Helvetica"/>
          <w:color w:val="2C3E50"/>
          <w:sz w:val="21"/>
        </w:rPr>
        <w:t>Once software compilation is finalized and live, the monthly recurring operational burn required to run and scale the pilot within the initial estate hubs is structured as follows:</w:t>
      </w:r>
    </w:p>
    <w:tbl>
      <w:tblPr>
        <w:tblW w:w="0" w:type="auto"/>
        <w:jc w:val="center"/>
        <w:tblLayout w:type="fixed"/>
        <w:tblLook w:val="04A0" w:firstRow="1" w:lastRow="0" w:firstColumn="1" w:lastColumn="0" w:noHBand="0" w:noVBand="1"/>
      </w:tblPr>
      <w:tblGrid>
        <w:gridCol w:w="2592"/>
        <w:gridCol w:w="4896"/>
        <w:gridCol w:w="1872"/>
      </w:tblGrid>
      <w:tr w:rsidR="00601C89" w14:paraId="0D69B464" w14:textId="77777777">
        <w:trPr>
          <w:jc w:val="center"/>
        </w:trPr>
        <w:tc>
          <w:tcPr>
            <w:tcW w:w="2592" w:type="dxa"/>
            <w:shd w:val="clear" w:color="auto" w:fill="0F2537"/>
            <w:tcMar>
              <w:top w:w="100" w:type="dxa"/>
              <w:left w:w="120" w:type="dxa"/>
              <w:bottom w:w="100" w:type="dxa"/>
              <w:right w:w="120" w:type="dxa"/>
            </w:tcMar>
          </w:tcPr>
          <w:p w14:paraId="12391607" w14:textId="77777777" w:rsidR="00601C89" w:rsidRDefault="00000000">
            <w:pPr>
              <w:spacing w:after="0"/>
            </w:pPr>
            <w:r>
              <w:rPr>
                <w:rFonts w:ascii="Helvetica" w:hAnsi="Helvetica"/>
                <w:b/>
                <w:color w:val="FFFFFF"/>
                <w:sz w:val="20"/>
              </w:rPr>
              <w:t>Expense Category</w:t>
            </w:r>
          </w:p>
        </w:tc>
        <w:tc>
          <w:tcPr>
            <w:tcW w:w="4896" w:type="dxa"/>
            <w:shd w:val="clear" w:color="auto" w:fill="0F2537"/>
            <w:tcMar>
              <w:top w:w="100" w:type="dxa"/>
              <w:left w:w="120" w:type="dxa"/>
              <w:bottom w:w="100" w:type="dxa"/>
              <w:right w:w="120" w:type="dxa"/>
            </w:tcMar>
          </w:tcPr>
          <w:p w14:paraId="330ED22D" w14:textId="77777777" w:rsidR="00601C89" w:rsidRDefault="00000000">
            <w:pPr>
              <w:spacing w:after="0"/>
            </w:pPr>
            <w:r>
              <w:rPr>
                <w:rFonts w:ascii="Helvetica" w:hAnsi="Helvetica"/>
                <w:b/>
                <w:color w:val="FFFFFF"/>
                <w:sz w:val="20"/>
              </w:rPr>
              <w:t>Operational Coverage &amp; Resource Allocation</w:t>
            </w:r>
          </w:p>
        </w:tc>
        <w:tc>
          <w:tcPr>
            <w:tcW w:w="1872" w:type="dxa"/>
            <w:shd w:val="clear" w:color="auto" w:fill="0F2537"/>
            <w:tcMar>
              <w:top w:w="100" w:type="dxa"/>
              <w:left w:w="120" w:type="dxa"/>
              <w:bottom w:w="100" w:type="dxa"/>
              <w:right w:w="120" w:type="dxa"/>
            </w:tcMar>
          </w:tcPr>
          <w:p w14:paraId="5AA1D4B3" w14:textId="77777777" w:rsidR="00601C89" w:rsidRDefault="00000000">
            <w:pPr>
              <w:spacing w:after="0"/>
              <w:jc w:val="right"/>
            </w:pPr>
            <w:r>
              <w:rPr>
                <w:rFonts w:ascii="Helvetica" w:hAnsi="Helvetica"/>
                <w:b/>
                <w:color w:val="FFFFFF"/>
                <w:sz w:val="20"/>
              </w:rPr>
              <w:t>Monthly Budget (₦)</w:t>
            </w:r>
          </w:p>
        </w:tc>
      </w:tr>
      <w:tr w:rsidR="00601C89" w14:paraId="2C0E905C" w14:textId="77777777">
        <w:trPr>
          <w:jc w:val="center"/>
        </w:trPr>
        <w:tc>
          <w:tcPr>
            <w:tcW w:w="2592" w:type="dxa"/>
            <w:tcBorders>
              <w:bottom w:val="single" w:sz="4" w:space="0" w:color="E2E8F0"/>
            </w:tcBorders>
            <w:shd w:val="clear" w:color="auto" w:fill="FFFFFF"/>
            <w:tcMar>
              <w:top w:w="80" w:type="dxa"/>
              <w:left w:w="120" w:type="dxa"/>
              <w:bottom w:w="80" w:type="dxa"/>
              <w:right w:w="120" w:type="dxa"/>
            </w:tcMar>
          </w:tcPr>
          <w:p w14:paraId="2B3A203E" w14:textId="77777777" w:rsidR="00601C89" w:rsidRDefault="00000000">
            <w:pPr>
              <w:spacing w:after="0"/>
            </w:pPr>
            <w:r>
              <w:rPr>
                <w:rFonts w:ascii="Helvetica" w:hAnsi="Helvetica"/>
                <w:b/>
                <w:color w:val="2C3E50"/>
                <w:sz w:val="19"/>
              </w:rPr>
              <w:t>Tech Infrastructure</w:t>
            </w:r>
          </w:p>
        </w:tc>
        <w:tc>
          <w:tcPr>
            <w:tcW w:w="4896" w:type="dxa"/>
            <w:tcBorders>
              <w:bottom w:val="single" w:sz="4" w:space="0" w:color="E2E8F0"/>
            </w:tcBorders>
            <w:shd w:val="clear" w:color="auto" w:fill="FFFFFF"/>
            <w:tcMar>
              <w:top w:w="80" w:type="dxa"/>
              <w:left w:w="120" w:type="dxa"/>
              <w:bottom w:w="80" w:type="dxa"/>
              <w:right w:w="120" w:type="dxa"/>
            </w:tcMar>
          </w:tcPr>
          <w:p w14:paraId="6FF3C209" w14:textId="77777777" w:rsidR="00601C89" w:rsidRDefault="00000000">
            <w:pPr>
              <w:spacing w:after="0"/>
            </w:pPr>
            <w:r>
              <w:rPr>
                <w:rFonts w:ascii="Helvetica" w:hAnsi="Helvetica"/>
                <w:color w:val="2C3E50"/>
                <w:sz w:val="19"/>
              </w:rPr>
              <w:t>Production servers, Supabase database, WhatsApp API text webhooks.</w:t>
            </w:r>
          </w:p>
        </w:tc>
        <w:tc>
          <w:tcPr>
            <w:tcW w:w="1872" w:type="dxa"/>
            <w:tcBorders>
              <w:bottom w:val="single" w:sz="4" w:space="0" w:color="E2E8F0"/>
            </w:tcBorders>
            <w:shd w:val="clear" w:color="auto" w:fill="FFFFFF"/>
            <w:tcMar>
              <w:top w:w="80" w:type="dxa"/>
              <w:left w:w="120" w:type="dxa"/>
              <w:bottom w:w="80" w:type="dxa"/>
              <w:right w:w="120" w:type="dxa"/>
            </w:tcMar>
          </w:tcPr>
          <w:p w14:paraId="7567D977" w14:textId="77777777" w:rsidR="00601C89" w:rsidRDefault="00000000">
            <w:pPr>
              <w:spacing w:after="0"/>
              <w:jc w:val="right"/>
            </w:pPr>
            <w:r>
              <w:rPr>
                <w:rFonts w:ascii="Helvetica" w:hAnsi="Helvetica"/>
                <w:color w:val="2C3E50"/>
                <w:sz w:val="19"/>
              </w:rPr>
              <w:t>80,000</w:t>
            </w:r>
          </w:p>
        </w:tc>
      </w:tr>
      <w:tr w:rsidR="00601C89" w14:paraId="6CE7A81C" w14:textId="77777777">
        <w:trPr>
          <w:jc w:val="center"/>
        </w:trPr>
        <w:tc>
          <w:tcPr>
            <w:tcW w:w="2592" w:type="dxa"/>
            <w:tcBorders>
              <w:bottom w:val="single" w:sz="4" w:space="0" w:color="E2E8F0"/>
            </w:tcBorders>
            <w:shd w:val="clear" w:color="auto" w:fill="F8FAFC"/>
            <w:tcMar>
              <w:top w:w="80" w:type="dxa"/>
              <w:left w:w="120" w:type="dxa"/>
              <w:bottom w:w="80" w:type="dxa"/>
              <w:right w:w="120" w:type="dxa"/>
            </w:tcMar>
          </w:tcPr>
          <w:p w14:paraId="45C4E314" w14:textId="77777777" w:rsidR="00601C89" w:rsidRDefault="00000000">
            <w:pPr>
              <w:spacing w:after="0"/>
            </w:pPr>
            <w:r>
              <w:rPr>
                <w:rFonts w:ascii="Helvetica" w:hAnsi="Helvetica"/>
                <w:b/>
                <w:color w:val="2C3E50"/>
                <w:sz w:val="19"/>
              </w:rPr>
              <w:t>Ambassador Network</w:t>
            </w:r>
          </w:p>
        </w:tc>
        <w:tc>
          <w:tcPr>
            <w:tcW w:w="4896" w:type="dxa"/>
            <w:tcBorders>
              <w:bottom w:val="single" w:sz="4" w:space="0" w:color="E2E8F0"/>
            </w:tcBorders>
            <w:shd w:val="clear" w:color="auto" w:fill="F8FAFC"/>
            <w:tcMar>
              <w:top w:w="80" w:type="dxa"/>
              <w:left w:w="120" w:type="dxa"/>
              <w:bottom w:w="80" w:type="dxa"/>
              <w:right w:w="120" w:type="dxa"/>
            </w:tcMar>
          </w:tcPr>
          <w:p w14:paraId="2D483EF3" w14:textId="77777777" w:rsidR="00601C89" w:rsidRDefault="00000000">
            <w:pPr>
              <w:spacing w:after="0"/>
            </w:pPr>
            <w:r>
              <w:rPr>
                <w:rFonts w:ascii="Helvetica" w:hAnsi="Helvetica"/>
                <w:color w:val="2C3E50"/>
                <w:sz w:val="19"/>
              </w:rPr>
              <w:t>Stipends for local estate agents, on-site driver identity validation.</w:t>
            </w:r>
          </w:p>
        </w:tc>
        <w:tc>
          <w:tcPr>
            <w:tcW w:w="1872" w:type="dxa"/>
            <w:tcBorders>
              <w:bottom w:val="single" w:sz="4" w:space="0" w:color="E2E8F0"/>
            </w:tcBorders>
            <w:shd w:val="clear" w:color="auto" w:fill="F8FAFC"/>
            <w:tcMar>
              <w:top w:w="80" w:type="dxa"/>
              <w:left w:w="120" w:type="dxa"/>
              <w:bottom w:w="80" w:type="dxa"/>
              <w:right w:w="120" w:type="dxa"/>
            </w:tcMar>
          </w:tcPr>
          <w:p w14:paraId="47A3AB19" w14:textId="77777777" w:rsidR="00601C89" w:rsidRDefault="00000000">
            <w:pPr>
              <w:spacing w:after="0"/>
              <w:jc w:val="right"/>
            </w:pPr>
            <w:r>
              <w:rPr>
                <w:rFonts w:ascii="Helvetica" w:hAnsi="Helvetica"/>
                <w:color w:val="2C3E50"/>
                <w:sz w:val="19"/>
              </w:rPr>
              <w:t>100,000</w:t>
            </w:r>
          </w:p>
        </w:tc>
      </w:tr>
      <w:tr w:rsidR="00601C89" w14:paraId="4FB65167" w14:textId="77777777">
        <w:trPr>
          <w:jc w:val="center"/>
        </w:trPr>
        <w:tc>
          <w:tcPr>
            <w:tcW w:w="2592" w:type="dxa"/>
            <w:tcBorders>
              <w:bottom w:val="single" w:sz="4" w:space="0" w:color="E2E8F0"/>
            </w:tcBorders>
            <w:shd w:val="clear" w:color="auto" w:fill="FFFFFF"/>
            <w:tcMar>
              <w:top w:w="80" w:type="dxa"/>
              <w:left w:w="120" w:type="dxa"/>
              <w:bottom w:w="80" w:type="dxa"/>
              <w:right w:w="120" w:type="dxa"/>
            </w:tcMar>
          </w:tcPr>
          <w:p w14:paraId="0E2925B3" w14:textId="77777777" w:rsidR="00601C89" w:rsidRDefault="00000000">
            <w:pPr>
              <w:spacing w:after="0"/>
            </w:pPr>
            <w:r>
              <w:rPr>
                <w:rFonts w:ascii="Helvetica" w:hAnsi="Helvetica"/>
                <w:b/>
                <w:color w:val="2C3E50"/>
                <w:sz w:val="19"/>
              </w:rPr>
              <w:lastRenderedPageBreak/>
              <w:t>Operations &amp; Admin</w:t>
            </w:r>
          </w:p>
        </w:tc>
        <w:tc>
          <w:tcPr>
            <w:tcW w:w="4896" w:type="dxa"/>
            <w:tcBorders>
              <w:bottom w:val="single" w:sz="4" w:space="0" w:color="E2E8F0"/>
            </w:tcBorders>
            <w:shd w:val="clear" w:color="auto" w:fill="FFFFFF"/>
            <w:tcMar>
              <w:top w:w="80" w:type="dxa"/>
              <w:left w:w="120" w:type="dxa"/>
              <w:bottom w:w="80" w:type="dxa"/>
              <w:right w:w="120" w:type="dxa"/>
            </w:tcMar>
          </w:tcPr>
          <w:p w14:paraId="5B97EA50" w14:textId="77777777" w:rsidR="00601C89" w:rsidRDefault="00000000">
            <w:pPr>
              <w:spacing w:after="0"/>
            </w:pPr>
            <w:r>
              <w:rPr>
                <w:rFonts w:ascii="Helvetica" w:hAnsi="Helvetica"/>
                <w:color w:val="2C3E50"/>
                <w:sz w:val="19"/>
              </w:rPr>
              <w:t>General management, communications data allocations, local logistics.</w:t>
            </w:r>
          </w:p>
        </w:tc>
        <w:tc>
          <w:tcPr>
            <w:tcW w:w="1872" w:type="dxa"/>
            <w:tcBorders>
              <w:bottom w:val="single" w:sz="4" w:space="0" w:color="E2E8F0"/>
            </w:tcBorders>
            <w:shd w:val="clear" w:color="auto" w:fill="FFFFFF"/>
            <w:tcMar>
              <w:top w:w="80" w:type="dxa"/>
              <w:left w:w="120" w:type="dxa"/>
              <w:bottom w:w="80" w:type="dxa"/>
              <w:right w:w="120" w:type="dxa"/>
            </w:tcMar>
          </w:tcPr>
          <w:p w14:paraId="6E04F84B" w14:textId="77777777" w:rsidR="00601C89" w:rsidRDefault="00000000">
            <w:pPr>
              <w:spacing w:after="0"/>
              <w:jc w:val="right"/>
            </w:pPr>
            <w:r>
              <w:rPr>
                <w:rFonts w:ascii="Helvetica" w:hAnsi="Helvetica"/>
                <w:color w:val="2C3E50"/>
                <w:sz w:val="19"/>
              </w:rPr>
              <w:t>120,000</w:t>
            </w:r>
          </w:p>
        </w:tc>
      </w:tr>
      <w:tr w:rsidR="00601C89" w14:paraId="5DD038DC" w14:textId="77777777">
        <w:trPr>
          <w:jc w:val="center"/>
        </w:trPr>
        <w:tc>
          <w:tcPr>
            <w:tcW w:w="2592" w:type="dxa"/>
            <w:tcBorders>
              <w:bottom w:val="single" w:sz="4" w:space="0" w:color="E2E8F0"/>
            </w:tcBorders>
            <w:shd w:val="clear" w:color="auto" w:fill="F8FAFC"/>
            <w:tcMar>
              <w:top w:w="80" w:type="dxa"/>
              <w:left w:w="120" w:type="dxa"/>
              <w:bottom w:w="80" w:type="dxa"/>
              <w:right w:w="120" w:type="dxa"/>
            </w:tcMar>
          </w:tcPr>
          <w:p w14:paraId="205DB583" w14:textId="77777777" w:rsidR="00601C89" w:rsidRDefault="00000000">
            <w:pPr>
              <w:spacing w:after="0"/>
            </w:pPr>
            <w:r>
              <w:rPr>
                <w:rFonts w:ascii="Helvetica" w:hAnsi="Helvetica"/>
                <w:b/>
                <w:color w:val="2C3E50"/>
                <w:sz w:val="19"/>
              </w:rPr>
              <w:t>Marketing &amp; Growth</w:t>
            </w:r>
          </w:p>
        </w:tc>
        <w:tc>
          <w:tcPr>
            <w:tcW w:w="4896" w:type="dxa"/>
            <w:tcBorders>
              <w:bottom w:val="single" w:sz="4" w:space="0" w:color="E2E8F0"/>
            </w:tcBorders>
            <w:shd w:val="clear" w:color="auto" w:fill="F8FAFC"/>
            <w:tcMar>
              <w:top w:w="80" w:type="dxa"/>
              <w:left w:w="120" w:type="dxa"/>
              <w:bottom w:w="80" w:type="dxa"/>
              <w:right w:w="120" w:type="dxa"/>
            </w:tcMar>
          </w:tcPr>
          <w:p w14:paraId="460914F1" w14:textId="77777777" w:rsidR="00601C89" w:rsidRDefault="00000000">
            <w:pPr>
              <w:spacing w:after="0"/>
            </w:pPr>
            <w:r>
              <w:rPr>
                <w:rFonts w:ascii="Helvetica" w:hAnsi="Helvetica"/>
                <w:color w:val="2C3E50"/>
                <w:sz w:val="19"/>
              </w:rPr>
              <w:t>Physical outdoor banners, estate flyering, local targeted acquisition.</w:t>
            </w:r>
          </w:p>
        </w:tc>
        <w:tc>
          <w:tcPr>
            <w:tcW w:w="1872" w:type="dxa"/>
            <w:tcBorders>
              <w:bottom w:val="single" w:sz="4" w:space="0" w:color="E2E8F0"/>
            </w:tcBorders>
            <w:shd w:val="clear" w:color="auto" w:fill="F8FAFC"/>
            <w:tcMar>
              <w:top w:w="80" w:type="dxa"/>
              <w:left w:w="120" w:type="dxa"/>
              <w:bottom w:w="80" w:type="dxa"/>
              <w:right w:w="120" w:type="dxa"/>
            </w:tcMar>
          </w:tcPr>
          <w:p w14:paraId="65753DC9" w14:textId="77777777" w:rsidR="00601C89" w:rsidRDefault="00000000">
            <w:pPr>
              <w:spacing w:after="0"/>
              <w:jc w:val="right"/>
            </w:pPr>
            <w:r>
              <w:rPr>
                <w:rFonts w:ascii="Helvetica" w:hAnsi="Helvetica"/>
                <w:color w:val="2C3E50"/>
                <w:sz w:val="19"/>
              </w:rPr>
              <w:t>50,000</w:t>
            </w:r>
          </w:p>
        </w:tc>
      </w:tr>
      <w:tr w:rsidR="00601C89" w14:paraId="3141BDAA" w14:textId="77777777">
        <w:trPr>
          <w:jc w:val="center"/>
        </w:trPr>
        <w:tc>
          <w:tcPr>
            <w:tcW w:w="2592" w:type="dxa"/>
            <w:tcBorders>
              <w:bottom w:val="single" w:sz="4" w:space="0" w:color="E2E8F0"/>
            </w:tcBorders>
            <w:shd w:val="clear" w:color="auto" w:fill="FFFFFF"/>
            <w:tcMar>
              <w:top w:w="80" w:type="dxa"/>
              <w:left w:w="120" w:type="dxa"/>
              <w:bottom w:w="80" w:type="dxa"/>
              <w:right w:w="120" w:type="dxa"/>
            </w:tcMar>
          </w:tcPr>
          <w:p w14:paraId="18223EE5" w14:textId="77777777" w:rsidR="00601C89" w:rsidRDefault="00000000">
            <w:pPr>
              <w:spacing w:after="0"/>
            </w:pPr>
            <w:r>
              <w:rPr>
                <w:rFonts w:ascii="Helvetica" w:hAnsi="Helvetica"/>
                <w:b/>
                <w:color w:val="2C3E50"/>
                <w:sz w:val="19"/>
              </w:rPr>
              <w:t>Customer Success</w:t>
            </w:r>
          </w:p>
        </w:tc>
        <w:tc>
          <w:tcPr>
            <w:tcW w:w="4896" w:type="dxa"/>
            <w:tcBorders>
              <w:bottom w:val="single" w:sz="4" w:space="0" w:color="E2E8F0"/>
            </w:tcBorders>
            <w:shd w:val="clear" w:color="auto" w:fill="FFFFFF"/>
            <w:tcMar>
              <w:top w:w="80" w:type="dxa"/>
              <w:left w:w="120" w:type="dxa"/>
              <w:bottom w:w="80" w:type="dxa"/>
              <w:right w:w="120" w:type="dxa"/>
            </w:tcMar>
          </w:tcPr>
          <w:p w14:paraId="74D38B0A" w14:textId="77777777" w:rsidR="00601C89" w:rsidRDefault="00000000">
            <w:pPr>
              <w:spacing w:after="0"/>
            </w:pPr>
            <w:r>
              <w:rPr>
                <w:rFonts w:ascii="Helvetica" w:hAnsi="Helvetica"/>
                <w:color w:val="2C3E50"/>
                <w:sz w:val="19"/>
              </w:rPr>
              <w:t>Dedicated user support desks, issue triage pipelines, live matching assistance.</w:t>
            </w:r>
          </w:p>
        </w:tc>
        <w:tc>
          <w:tcPr>
            <w:tcW w:w="1872" w:type="dxa"/>
            <w:tcBorders>
              <w:bottom w:val="single" w:sz="4" w:space="0" w:color="E2E8F0"/>
            </w:tcBorders>
            <w:shd w:val="clear" w:color="auto" w:fill="FFFFFF"/>
            <w:tcMar>
              <w:top w:w="80" w:type="dxa"/>
              <w:left w:w="120" w:type="dxa"/>
              <w:bottom w:w="80" w:type="dxa"/>
              <w:right w:w="120" w:type="dxa"/>
            </w:tcMar>
          </w:tcPr>
          <w:p w14:paraId="7289F325" w14:textId="77777777" w:rsidR="00601C89" w:rsidRDefault="00000000">
            <w:pPr>
              <w:spacing w:after="0"/>
              <w:jc w:val="right"/>
            </w:pPr>
            <w:r>
              <w:rPr>
                <w:rFonts w:ascii="Helvetica" w:hAnsi="Helvetica"/>
                <w:color w:val="2C3E50"/>
                <w:sz w:val="19"/>
              </w:rPr>
              <w:t>40,000</w:t>
            </w:r>
          </w:p>
        </w:tc>
      </w:tr>
      <w:tr w:rsidR="00601C89" w14:paraId="35526B4A" w14:textId="77777777">
        <w:trPr>
          <w:jc w:val="center"/>
        </w:trPr>
        <w:tc>
          <w:tcPr>
            <w:tcW w:w="2592" w:type="dxa"/>
            <w:tcBorders>
              <w:bottom w:val="single" w:sz="4" w:space="0" w:color="E2E8F0"/>
            </w:tcBorders>
            <w:shd w:val="clear" w:color="auto" w:fill="F8FAFC"/>
            <w:tcMar>
              <w:top w:w="80" w:type="dxa"/>
              <w:left w:w="120" w:type="dxa"/>
              <w:bottom w:w="80" w:type="dxa"/>
              <w:right w:w="120" w:type="dxa"/>
            </w:tcMar>
          </w:tcPr>
          <w:p w14:paraId="4215F9E6" w14:textId="77777777" w:rsidR="00601C89" w:rsidRDefault="00000000">
            <w:pPr>
              <w:spacing w:after="0"/>
            </w:pPr>
            <w:r>
              <w:rPr>
                <w:rFonts w:ascii="Helvetica" w:hAnsi="Helvetica"/>
                <w:b/>
                <w:color w:val="2C3E50"/>
                <w:sz w:val="19"/>
              </w:rPr>
              <w:t>Legal &amp; Compliance</w:t>
            </w:r>
          </w:p>
        </w:tc>
        <w:tc>
          <w:tcPr>
            <w:tcW w:w="4896" w:type="dxa"/>
            <w:tcBorders>
              <w:bottom w:val="single" w:sz="4" w:space="0" w:color="E2E8F0"/>
            </w:tcBorders>
            <w:shd w:val="clear" w:color="auto" w:fill="F8FAFC"/>
            <w:tcMar>
              <w:top w:w="80" w:type="dxa"/>
              <w:left w:w="120" w:type="dxa"/>
              <w:bottom w:w="80" w:type="dxa"/>
              <w:right w:w="120" w:type="dxa"/>
            </w:tcMar>
          </w:tcPr>
          <w:p w14:paraId="6020CFE8" w14:textId="77777777" w:rsidR="00601C89" w:rsidRDefault="00000000">
            <w:pPr>
              <w:spacing w:after="0"/>
            </w:pPr>
            <w:r>
              <w:rPr>
                <w:rFonts w:ascii="Helvetica" w:hAnsi="Helvetica"/>
                <w:color w:val="2C3E50"/>
                <w:sz w:val="19"/>
              </w:rPr>
              <w:t>Continuous estate compliance oversight, regulatory audits, filing reserves.</w:t>
            </w:r>
          </w:p>
        </w:tc>
        <w:tc>
          <w:tcPr>
            <w:tcW w:w="1872" w:type="dxa"/>
            <w:tcBorders>
              <w:bottom w:val="single" w:sz="4" w:space="0" w:color="E2E8F0"/>
            </w:tcBorders>
            <w:shd w:val="clear" w:color="auto" w:fill="F8FAFC"/>
            <w:tcMar>
              <w:top w:w="80" w:type="dxa"/>
              <w:left w:w="120" w:type="dxa"/>
              <w:bottom w:w="80" w:type="dxa"/>
              <w:right w:w="120" w:type="dxa"/>
            </w:tcMar>
          </w:tcPr>
          <w:p w14:paraId="65D4F1F0" w14:textId="77777777" w:rsidR="00601C89" w:rsidRDefault="00000000">
            <w:pPr>
              <w:spacing w:after="0"/>
              <w:jc w:val="right"/>
            </w:pPr>
            <w:r>
              <w:rPr>
                <w:rFonts w:ascii="Helvetica" w:hAnsi="Helvetica"/>
                <w:color w:val="2C3E50"/>
                <w:sz w:val="19"/>
              </w:rPr>
              <w:t>30,000</w:t>
            </w:r>
          </w:p>
        </w:tc>
      </w:tr>
      <w:tr w:rsidR="00601C89" w14:paraId="4DFCCBB9" w14:textId="77777777">
        <w:trPr>
          <w:jc w:val="center"/>
        </w:trPr>
        <w:tc>
          <w:tcPr>
            <w:tcW w:w="2592" w:type="dxa"/>
            <w:tcBorders>
              <w:top w:val="single" w:sz="12" w:space="0" w:color="CBD5E1"/>
              <w:bottom w:val="single" w:sz="12" w:space="0" w:color="CBD5E1"/>
            </w:tcBorders>
            <w:shd w:val="clear" w:color="auto" w:fill="F1F5F9"/>
            <w:tcMar>
              <w:top w:w="100" w:type="dxa"/>
              <w:left w:w="120" w:type="dxa"/>
              <w:bottom w:w="100" w:type="dxa"/>
              <w:right w:w="120" w:type="dxa"/>
            </w:tcMar>
          </w:tcPr>
          <w:p w14:paraId="35EACD53" w14:textId="77777777" w:rsidR="00601C89" w:rsidRDefault="00000000">
            <w:pPr>
              <w:spacing w:after="0"/>
            </w:pPr>
            <w:r>
              <w:rPr>
                <w:rFonts w:ascii="Helvetica" w:hAnsi="Helvetica"/>
                <w:b/>
                <w:color w:val="0F2537"/>
                <w:sz w:val="20"/>
              </w:rPr>
              <w:t>Total Monthly Operating Cost</w:t>
            </w:r>
          </w:p>
        </w:tc>
        <w:tc>
          <w:tcPr>
            <w:tcW w:w="4896" w:type="dxa"/>
            <w:tcBorders>
              <w:top w:val="single" w:sz="12" w:space="0" w:color="CBD5E1"/>
              <w:bottom w:val="single" w:sz="12" w:space="0" w:color="CBD5E1"/>
            </w:tcBorders>
            <w:shd w:val="clear" w:color="auto" w:fill="F1F5F9"/>
            <w:tcMar>
              <w:top w:w="100" w:type="dxa"/>
              <w:left w:w="120" w:type="dxa"/>
              <w:bottom w:w="100" w:type="dxa"/>
              <w:right w:w="120" w:type="dxa"/>
            </w:tcMar>
          </w:tcPr>
          <w:p w14:paraId="0BD3C205" w14:textId="77777777" w:rsidR="00601C89" w:rsidRDefault="00000000">
            <w:pPr>
              <w:spacing w:after="0"/>
            </w:pPr>
            <w:r>
              <w:rPr>
                <w:rFonts w:ascii="Helvetica" w:hAnsi="Helvetica"/>
                <w:b/>
                <w:color w:val="0F2537"/>
                <w:sz w:val="20"/>
              </w:rPr>
              <w:t>Sustained Post-Build Operational Scaling Budget</w:t>
            </w:r>
          </w:p>
        </w:tc>
        <w:tc>
          <w:tcPr>
            <w:tcW w:w="1872" w:type="dxa"/>
            <w:tcBorders>
              <w:top w:val="single" w:sz="12" w:space="0" w:color="CBD5E1"/>
              <w:bottom w:val="single" w:sz="12" w:space="0" w:color="CBD5E1"/>
            </w:tcBorders>
            <w:shd w:val="clear" w:color="auto" w:fill="F1F5F9"/>
            <w:tcMar>
              <w:top w:w="100" w:type="dxa"/>
              <w:left w:w="120" w:type="dxa"/>
              <w:bottom w:w="100" w:type="dxa"/>
              <w:right w:w="120" w:type="dxa"/>
            </w:tcMar>
          </w:tcPr>
          <w:p w14:paraId="55C6FDA0" w14:textId="77777777" w:rsidR="00601C89" w:rsidRDefault="00000000">
            <w:pPr>
              <w:spacing w:after="0"/>
              <w:jc w:val="right"/>
            </w:pPr>
            <w:r>
              <w:rPr>
                <w:rFonts w:ascii="Helvetica" w:hAnsi="Helvetica"/>
                <w:b/>
                <w:color w:val="0F2537"/>
                <w:sz w:val="20"/>
              </w:rPr>
              <w:t>420,000</w:t>
            </w:r>
          </w:p>
        </w:tc>
      </w:tr>
    </w:tbl>
    <w:p w14:paraId="762067EC" w14:textId="77777777" w:rsidR="00601C89" w:rsidRDefault="00000000">
      <w:pPr>
        <w:keepNext/>
        <w:pBdr>
          <w:bottom w:val="single" w:sz="8" w:space="4" w:color="CBD5E1"/>
        </w:pBdr>
        <w:spacing w:before="480" w:after="240"/>
      </w:pPr>
      <w:r>
        <w:rPr>
          <w:rFonts w:ascii="Helvetica" w:hAnsi="Helvetica"/>
          <w:b/>
          <w:color w:val="0F2537"/>
          <w:sz w:val="28"/>
        </w:rPr>
        <w:t>6. Initial Revenue Architecture (100 Vehicle Scale)</w:t>
      </w:r>
    </w:p>
    <w:p w14:paraId="543FC244" w14:textId="77777777" w:rsidR="00601C89" w:rsidRDefault="00000000">
      <w:pPr>
        <w:spacing w:after="160" w:line="288" w:lineRule="auto"/>
      </w:pPr>
      <w:r>
        <w:rPr>
          <w:rFonts w:ascii="Helvetica" w:hAnsi="Helvetica"/>
          <w:color w:val="2C3E50"/>
          <w:sz w:val="21"/>
        </w:rPr>
        <w:t>The validation economics outline the baseline transaction fees captured upon introducing the initial core supply of active estate commuter vehicles:</w:t>
      </w:r>
    </w:p>
    <w:p w14:paraId="2D0C9C85" w14:textId="77777777" w:rsidR="00601C89" w:rsidRDefault="00000000">
      <w:pPr>
        <w:pStyle w:val="ListBullet"/>
        <w:spacing w:after="80"/>
      </w:pPr>
      <w:r>
        <w:rPr>
          <w:rFonts w:ascii="Helvetica" w:hAnsi="Helvetica"/>
          <w:b/>
          <w:color w:val="2C3E50"/>
          <w:sz w:val="21"/>
        </w:rPr>
        <w:t xml:space="preserve">Supply Pool: </w:t>
      </w:r>
      <w:r>
        <w:rPr>
          <w:rFonts w:ascii="Helvetica" w:hAnsi="Helvetica"/>
          <w:color w:val="2C3E50"/>
          <w:sz w:val="21"/>
        </w:rPr>
        <w:t>100 verified estate driver vehicles active on the platform.</w:t>
      </w:r>
    </w:p>
    <w:p w14:paraId="57DD70C8" w14:textId="77777777" w:rsidR="00601C89" w:rsidRDefault="00000000">
      <w:pPr>
        <w:pStyle w:val="ListBullet"/>
        <w:spacing w:after="80"/>
      </w:pPr>
      <w:r>
        <w:rPr>
          <w:rFonts w:ascii="Helvetica" w:hAnsi="Helvetica"/>
          <w:b/>
          <w:color w:val="2C3E50"/>
          <w:sz w:val="21"/>
        </w:rPr>
        <w:t xml:space="preserve">Daily Volume: </w:t>
      </w:r>
      <w:r>
        <w:rPr>
          <w:rFonts w:ascii="Helvetica" w:hAnsi="Helvetica"/>
          <w:color w:val="2C3E50"/>
          <w:sz w:val="21"/>
        </w:rPr>
        <w:t>Conservative target average of 2 matched paid seats per vehicle daily.</w:t>
      </w:r>
    </w:p>
    <w:p w14:paraId="653C9A05" w14:textId="77777777" w:rsidR="00601C89" w:rsidRDefault="00000000">
      <w:pPr>
        <w:pStyle w:val="ListBullet"/>
        <w:spacing w:after="80"/>
      </w:pPr>
      <w:r>
        <w:rPr>
          <w:rFonts w:ascii="Helvetica" w:hAnsi="Helvetica"/>
          <w:b/>
          <w:color w:val="2C3E50"/>
          <w:sz w:val="21"/>
        </w:rPr>
        <w:t xml:space="preserve">Temporal Scale: </w:t>
      </w:r>
      <w:r>
        <w:rPr>
          <w:rFonts w:ascii="Helvetica" w:hAnsi="Helvetica"/>
          <w:color w:val="2C3E50"/>
          <w:sz w:val="21"/>
        </w:rPr>
        <w:t>Calculated over 22 active professional/corporate commuting days per month.</w:t>
      </w:r>
    </w:p>
    <w:p w14:paraId="60EDAB33" w14:textId="77777777" w:rsidR="00601C89" w:rsidRDefault="00000000">
      <w:pPr>
        <w:pStyle w:val="ListBullet"/>
        <w:spacing w:after="80"/>
      </w:pPr>
      <w:r>
        <w:rPr>
          <w:rFonts w:ascii="Helvetica" w:hAnsi="Helvetica"/>
          <w:b/>
          <w:color w:val="2C3E50"/>
          <w:sz w:val="21"/>
        </w:rPr>
        <w:t xml:space="preserve">Unit Fee: </w:t>
      </w:r>
      <w:r>
        <w:rPr>
          <w:rFonts w:ascii="Helvetica" w:hAnsi="Helvetica"/>
          <w:color w:val="2C3E50"/>
          <w:sz w:val="21"/>
        </w:rPr>
        <w:t>Set at a flat baseline platform processing micro-fee of ₦50 per individual matched seat.</w:t>
      </w:r>
    </w:p>
    <w:tbl>
      <w:tblPr>
        <w:tblW w:w="0" w:type="auto"/>
        <w:jc w:val="center"/>
        <w:tblLook w:val="04A0" w:firstRow="1" w:lastRow="0" w:firstColumn="1" w:lastColumn="0" w:noHBand="0" w:noVBand="1"/>
      </w:tblPr>
      <w:tblGrid>
        <w:gridCol w:w="9320"/>
      </w:tblGrid>
      <w:tr w:rsidR="00601C89" w14:paraId="24965FC0" w14:textId="77777777">
        <w:trPr>
          <w:jc w:val="center"/>
        </w:trPr>
        <w:tc>
          <w:tcPr>
            <w:tcW w:w="9360" w:type="dxa"/>
            <w:tcBorders>
              <w:left w:val="single" w:sz="32" w:space="0" w:color="1A73E8"/>
            </w:tcBorders>
            <w:shd w:val="clear" w:color="auto" w:fill="F1F5F9"/>
            <w:tcMar>
              <w:top w:w="100" w:type="dxa"/>
              <w:left w:w="140" w:type="dxa"/>
              <w:bottom w:w="100" w:type="dxa"/>
              <w:right w:w="140" w:type="dxa"/>
            </w:tcMar>
          </w:tcPr>
          <w:p w14:paraId="18CDA742" w14:textId="77777777" w:rsidR="00601C89" w:rsidRDefault="00000000">
            <w:pPr>
              <w:spacing w:after="0"/>
              <w:jc w:val="center"/>
            </w:pPr>
            <w:r>
              <w:rPr>
                <w:rFonts w:ascii="Times New Roman" w:hAnsi="Times New Roman"/>
                <w:b/>
                <w:i/>
                <w:color w:val="1A73E8"/>
              </w:rPr>
              <w:t>Monthly Gross Revenue =</w:t>
            </w:r>
            <w:r>
              <w:rPr>
                <w:rFonts w:ascii="Times New Roman" w:hAnsi="Times New Roman"/>
                <w:b/>
                <w:i/>
                <w:color w:val="1A73E8"/>
              </w:rPr>
              <w:br/>
              <w:t>100 Vehicles × 2 Seats × 22 Operational Days × ₦50 Fee = ₦220,000</w:t>
            </w:r>
          </w:p>
        </w:tc>
      </w:tr>
    </w:tbl>
    <w:p w14:paraId="37E41B3F" w14:textId="77777777" w:rsidR="00601C89" w:rsidRDefault="00000000">
      <w:pPr>
        <w:spacing w:after="240" w:line="288" w:lineRule="auto"/>
        <w:jc w:val="center"/>
      </w:pPr>
      <w:r>
        <w:rPr>
          <w:rFonts w:ascii="Helvetica" w:hAnsi="Helvetica"/>
          <w:color w:val="2C3E50"/>
          <w:sz w:val="21"/>
        </w:rPr>
        <w:t>Estimated Baseline Gross Revenue Yield: ₦220,000 / Month</w:t>
      </w:r>
    </w:p>
    <w:p w14:paraId="44F61934" w14:textId="77777777" w:rsidR="00601C89" w:rsidRDefault="00000000">
      <w:pPr>
        <w:spacing w:after="160" w:line="288" w:lineRule="auto"/>
      </w:pPr>
      <w:r>
        <w:rPr>
          <w:rFonts w:ascii="Helvetica" w:hAnsi="Helvetica"/>
          <w:color w:val="64748B"/>
          <w:sz w:val="19"/>
        </w:rPr>
        <w:t>*Note: This basic fee capture model serves to validate early user loops. Scaling the completed technology to 15 targeted local estates drives transaction revenue to ₦4,400,000/month at 2,000 active vehicles, excluding layered recurring memberships.</w:t>
      </w:r>
    </w:p>
    <w:p w14:paraId="3031A726" w14:textId="0D695EFB" w:rsidR="00601C89" w:rsidRDefault="00000000">
      <w:pPr>
        <w:keepNext/>
        <w:pBdr>
          <w:bottom w:val="single" w:sz="8" w:space="4" w:color="CBD5E1"/>
        </w:pBdr>
        <w:spacing w:before="480" w:after="240"/>
      </w:pPr>
      <w:r>
        <w:rPr>
          <w:rFonts w:ascii="Helvetica" w:hAnsi="Helvetica"/>
          <w:b/>
          <w:color w:val="0F2537"/>
          <w:sz w:val="28"/>
        </w:rPr>
        <w:t xml:space="preserve">7. Long-Term Monetization Blueprint </w:t>
      </w:r>
    </w:p>
    <w:p w14:paraId="7BE62CAD" w14:textId="77777777" w:rsidR="00601C89" w:rsidRDefault="00000000">
      <w:pPr>
        <w:pStyle w:val="ListBullet"/>
        <w:spacing w:after="80"/>
      </w:pPr>
      <w:r>
        <w:rPr>
          <w:rFonts w:ascii="Helvetica" w:hAnsi="Helvetica"/>
          <w:b/>
          <w:color w:val="2C3E50"/>
          <w:sz w:val="21"/>
        </w:rPr>
        <w:t xml:space="preserve">Premium Subscriptions: </w:t>
      </w:r>
      <w:r>
        <w:rPr>
          <w:rFonts w:ascii="Helvetica" w:hAnsi="Helvetica"/>
          <w:color w:val="2C3E50"/>
          <w:sz w:val="21"/>
        </w:rPr>
        <w:t>Tiered monthly priority access passes for locked corporate transit routes.</w:t>
      </w:r>
    </w:p>
    <w:p w14:paraId="484CDAD0" w14:textId="77777777" w:rsidR="00601C89" w:rsidRDefault="00000000">
      <w:pPr>
        <w:pStyle w:val="ListBullet"/>
        <w:spacing w:after="80"/>
      </w:pPr>
      <w:r>
        <w:rPr>
          <w:rFonts w:ascii="Helvetica" w:hAnsi="Helvetica"/>
          <w:b/>
          <w:color w:val="2C3E50"/>
          <w:sz w:val="21"/>
        </w:rPr>
        <w:t xml:space="preserve">Demographic Formations: </w:t>
      </w:r>
      <w:r>
        <w:rPr>
          <w:rFonts w:ascii="Helvetica" w:hAnsi="Helvetica"/>
          <w:color w:val="2C3E50"/>
          <w:sz w:val="21"/>
        </w:rPr>
        <w:t>Specialized, strictly audited ladies-only commute clusters for maximized peace of mind.</w:t>
      </w:r>
    </w:p>
    <w:p w14:paraId="4773420B" w14:textId="77777777" w:rsidR="00601C89" w:rsidRDefault="00000000">
      <w:pPr>
        <w:pStyle w:val="ListBullet"/>
        <w:spacing w:after="80"/>
      </w:pPr>
      <w:r>
        <w:rPr>
          <w:rFonts w:ascii="Helvetica" w:hAnsi="Helvetica"/>
          <w:b/>
          <w:color w:val="2C3E50"/>
          <w:sz w:val="21"/>
        </w:rPr>
        <w:t xml:space="preserve">Corporate Agreements: </w:t>
      </w:r>
      <w:r>
        <w:rPr>
          <w:rFonts w:ascii="Helvetica" w:hAnsi="Helvetica"/>
          <w:color w:val="2C3E50"/>
          <w:sz w:val="21"/>
        </w:rPr>
        <w:t>B2B enterprise ride-pooling agreements mapping directly to urban commercial CBD zones.</w:t>
      </w:r>
    </w:p>
    <w:p w14:paraId="2BB969BA" w14:textId="77777777" w:rsidR="00601C89" w:rsidRDefault="00000000">
      <w:pPr>
        <w:pStyle w:val="ListBullet"/>
        <w:spacing w:after="80"/>
      </w:pPr>
      <w:r>
        <w:rPr>
          <w:rFonts w:ascii="Helvetica" w:hAnsi="Helvetica"/>
          <w:b/>
          <w:color w:val="2C3E50"/>
          <w:sz w:val="21"/>
        </w:rPr>
        <w:t xml:space="preserve">Hyper-Local Placements: </w:t>
      </w:r>
      <w:r>
        <w:rPr>
          <w:rFonts w:ascii="Helvetica" w:hAnsi="Helvetica"/>
          <w:color w:val="2C3E50"/>
          <w:sz w:val="21"/>
        </w:rPr>
        <w:t>Contextual programmatic ad placement reaching verified premium homeowners natively inside app alerts.</w:t>
      </w:r>
    </w:p>
    <w:p w14:paraId="6B4B0216" w14:textId="77777777" w:rsidR="00C56FF4" w:rsidRDefault="00C56FF4" w:rsidP="00C56FF4">
      <w:pPr>
        <w:pStyle w:val="ListBullet"/>
        <w:numPr>
          <w:ilvl w:val="0"/>
          <w:numId w:val="0"/>
        </w:numPr>
      </w:pPr>
    </w:p>
    <w:p w14:paraId="199190C2" w14:textId="77777777" w:rsidR="00C56FF4" w:rsidRDefault="00C56FF4" w:rsidP="00C56FF4">
      <w:pPr>
        <w:pStyle w:val="ListBullet"/>
        <w:numPr>
          <w:ilvl w:val="0"/>
          <w:numId w:val="0"/>
        </w:numPr>
      </w:pPr>
    </w:p>
    <w:p w14:paraId="212ECBCC" w14:textId="77777777" w:rsidR="00C56FF4" w:rsidRPr="00C56FF4" w:rsidRDefault="00C56FF4" w:rsidP="00C56FF4">
      <w:pPr>
        <w:spacing w:after="160" w:line="288" w:lineRule="auto"/>
        <w:rPr>
          <w:rFonts w:ascii="Helvetica" w:hAnsi="Helvetica"/>
        </w:rPr>
      </w:pPr>
      <w:r w:rsidRPr="00C56FF4">
        <w:rPr>
          <w:rFonts w:ascii="Helvetica" w:hAnsi="Helvetica"/>
          <w:color w:val="2C3E50"/>
        </w:rPr>
        <w:lastRenderedPageBreak/>
        <w:t>The foundational equity distributions, validation capital tranches, and operational configurations remain highly flexible and structural. Commute Service is actively targeting investment partners who provide strategic acceleration capability, institutional reach, and multi-market scaling expertise alongside financial injections.</w:t>
      </w:r>
    </w:p>
    <w:p w14:paraId="1B4D0304" w14:textId="77777777" w:rsidR="00C56FF4" w:rsidRPr="00C56FF4" w:rsidRDefault="00C56FF4" w:rsidP="00C56FF4">
      <w:pPr>
        <w:spacing w:after="160" w:line="288" w:lineRule="auto"/>
        <w:rPr>
          <w:rFonts w:ascii="Helvetica" w:hAnsi="Helvetica"/>
        </w:rPr>
      </w:pPr>
      <w:r w:rsidRPr="00C56FF4">
        <w:rPr>
          <w:rFonts w:ascii="Helvetica" w:hAnsi="Helvetica"/>
          <w:color w:val="2C3E50"/>
        </w:rPr>
        <w:t>Our immediate near-term operational mandate remains absolute structural proof-of-concept validation inside the Lugbe corridor, finalizing a repeatable blueprints network engineered for efficient deployment across the wider Federal Capital Territory.</w:t>
      </w:r>
    </w:p>
    <w:p w14:paraId="063B04AB" w14:textId="77777777" w:rsidR="00C56FF4" w:rsidRPr="00C56FF4" w:rsidRDefault="00C56FF4" w:rsidP="00C56FF4">
      <w:pPr>
        <w:pStyle w:val="ListBullet"/>
        <w:numPr>
          <w:ilvl w:val="0"/>
          <w:numId w:val="0"/>
        </w:numPr>
        <w:rPr>
          <w:rFonts w:ascii="Helvetica" w:hAnsi="Helvetica"/>
        </w:rPr>
      </w:pPr>
    </w:p>
    <w:p w14:paraId="27332372" w14:textId="77777777" w:rsidR="00C56FF4" w:rsidRPr="00C56FF4" w:rsidRDefault="00C56FF4" w:rsidP="00C56FF4">
      <w:pPr>
        <w:pStyle w:val="ListBullet"/>
        <w:numPr>
          <w:ilvl w:val="0"/>
          <w:numId w:val="0"/>
        </w:numPr>
        <w:rPr>
          <w:rFonts w:ascii="Helvetica" w:hAnsi="Helvetica"/>
        </w:rPr>
      </w:pPr>
    </w:p>
    <w:p w14:paraId="1D1B58F2" w14:textId="006B15E2" w:rsidR="00C56FF4" w:rsidRPr="00C56FF4" w:rsidRDefault="00C56FF4" w:rsidP="00C56FF4">
      <w:pPr>
        <w:pStyle w:val="ListBullet"/>
        <w:numPr>
          <w:ilvl w:val="0"/>
          <w:numId w:val="0"/>
        </w:numPr>
        <w:rPr>
          <w:rFonts w:ascii="Helvetica" w:hAnsi="Helvetica"/>
        </w:rPr>
      </w:pPr>
      <w:r w:rsidRPr="00C56FF4">
        <w:rPr>
          <w:rFonts w:ascii="Helvetica" w:hAnsi="Helvetica"/>
        </w:rPr>
        <w:t>I look forward to continuing our discussion and answering any operational, legal, or financial questions you might have.</w:t>
      </w:r>
    </w:p>
    <w:p w14:paraId="35824CE4" w14:textId="77777777" w:rsidR="00C56FF4" w:rsidRPr="00C56FF4" w:rsidRDefault="00C56FF4" w:rsidP="00C56FF4">
      <w:pPr>
        <w:pStyle w:val="ListBullet"/>
        <w:numPr>
          <w:ilvl w:val="0"/>
          <w:numId w:val="0"/>
        </w:numPr>
        <w:rPr>
          <w:rFonts w:ascii="Helvetica" w:hAnsi="Helvetica"/>
        </w:rPr>
      </w:pPr>
    </w:p>
    <w:p w14:paraId="58506D57" w14:textId="421BD0A9" w:rsidR="00C56FF4" w:rsidRPr="00C56FF4" w:rsidRDefault="00C56FF4" w:rsidP="00C56FF4">
      <w:pPr>
        <w:pStyle w:val="ListBullet"/>
        <w:numPr>
          <w:ilvl w:val="0"/>
          <w:numId w:val="0"/>
        </w:numPr>
        <w:ind w:left="360" w:hanging="360"/>
        <w:rPr>
          <w:rFonts w:ascii="Helvetica" w:hAnsi="Helvetica"/>
        </w:rPr>
      </w:pPr>
      <w:r w:rsidRPr="00C56FF4">
        <w:rPr>
          <w:rFonts w:ascii="Helvetica" w:hAnsi="Helvetica"/>
        </w:rPr>
        <w:t>Regards</w:t>
      </w:r>
      <w:r>
        <w:rPr>
          <w:rFonts w:ascii="Helvetica" w:hAnsi="Helvetica"/>
        </w:rPr>
        <w:t>.</w:t>
      </w:r>
    </w:p>
    <w:p w14:paraId="568B0AF0" w14:textId="77777777" w:rsidR="00C56FF4" w:rsidRPr="00C56FF4" w:rsidRDefault="00C56FF4" w:rsidP="00C56FF4">
      <w:pPr>
        <w:pStyle w:val="ListBullet"/>
        <w:numPr>
          <w:ilvl w:val="0"/>
          <w:numId w:val="0"/>
        </w:numPr>
        <w:ind w:left="360" w:hanging="360"/>
        <w:rPr>
          <w:rFonts w:ascii="Helvetica" w:hAnsi="Helvetica"/>
        </w:rPr>
      </w:pPr>
    </w:p>
    <w:p w14:paraId="0C4FC605" w14:textId="77777777" w:rsidR="00C56FF4" w:rsidRPr="00C56FF4" w:rsidRDefault="00C56FF4" w:rsidP="00C56FF4">
      <w:pPr>
        <w:spacing w:after="0"/>
        <w:rPr>
          <w:rFonts w:ascii="Helvetica" w:hAnsi="Helvetica"/>
        </w:rPr>
      </w:pPr>
      <w:r w:rsidRPr="00C56FF4">
        <w:rPr>
          <w:rFonts w:ascii="Helvetica" w:hAnsi="Helvetica"/>
          <w:b/>
          <w:color w:val="0F2537"/>
        </w:rPr>
        <w:t>Michael Everest Nwaohiri</w:t>
      </w:r>
    </w:p>
    <w:p w14:paraId="4BA1769A" w14:textId="6B6C59A6" w:rsidR="00C56FF4" w:rsidRPr="00C56FF4" w:rsidRDefault="00C56FF4" w:rsidP="00C56FF4">
      <w:pPr>
        <w:pStyle w:val="ListBullet"/>
        <w:numPr>
          <w:ilvl w:val="0"/>
          <w:numId w:val="0"/>
        </w:numPr>
        <w:ind w:left="360" w:hanging="360"/>
        <w:rPr>
          <w:rFonts w:ascii="Helvetica" w:hAnsi="Helvetica"/>
        </w:rPr>
      </w:pPr>
      <w:r w:rsidRPr="00C56FF4">
        <w:rPr>
          <w:rFonts w:ascii="Helvetica" w:hAnsi="Helvetica"/>
          <w:color w:val="64748B"/>
        </w:rPr>
        <w:t>Founder &amp; Tech Lead, Commute Service</w:t>
      </w:r>
    </w:p>
    <w:p w14:paraId="0319D439" w14:textId="77777777" w:rsidR="00601C89" w:rsidRPr="00C56FF4" w:rsidRDefault="00601C89">
      <w:pPr>
        <w:spacing w:before="600"/>
        <w:rPr>
          <w:rFonts w:ascii="Helvetica" w:hAnsi="Helvetica"/>
          <w:sz w:val="24"/>
          <w:szCs w:val="24"/>
        </w:rPr>
      </w:pPr>
    </w:p>
    <w:p w14:paraId="4B7C49BD" w14:textId="77777777" w:rsidR="00C56FF4" w:rsidRPr="00C56FF4" w:rsidRDefault="00C56FF4">
      <w:pPr>
        <w:spacing w:before="600"/>
        <w:rPr>
          <w:rFonts w:ascii="Helvetica" w:hAnsi="Helvetica"/>
          <w:sz w:val="24"/>
          <w:szCs w:val="24"/>
        </w:rPr>
      </w:pPr>
    </w:p>
    <w:p w14:paraId="2EC03BC3" w14:textId="77777777" w:rsidR="007F2F1F" w:rsidRDefault="007F2F1F"/>
    <w:sectPr w:rsidR="007F2F1F" w:rsidSect="00C56FF4">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723793">
    <w:abstractNumId w:val="8"/>
  </w:num>
  <w:num w:numId="2" w16cid:durableId="569923782">
    <w:abstractNumId w:val="6"/>
  </w:num>
  <w:num w:numId="3" w16cid:durableId="398216972">
    <w:abstractNumId w:val="5"/>
  </w:num>
  <w:num w:numId="4" w16cid:durableId="1368678242">
    <w:abstractNumId w:val="4"/>
  </w:num>
  <w:num w:numId="5" w16cid:durableId="480268728">
    <w:abstractNumId w:val="7"/>
  </w:num>
  <w:num w:numId="6" w16cid:durableId="308942735">
    <w:abstractNumId w:val="3"/>
  </w:num>
  <w:num w:numId="7" w16cid:durableId="965350206">
    <w:abstractNumId w:val="2"/>
  </w:num>
  <w:num w:numId="8" w16cid:durableId="1241330593">
    <w:abstractNumId w:val="1"/>
  </w:num>
  <w:num w:numId="9" w16cid:durableId="1367365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1C89"/>
    <w:rsid w:val="007F2F1F"/>
    <w:rsid w:val="00AA1D8D"/>
    <w:rsid w:val="00B47730"/>
    <w:rsid w:val="00C56FF4"/>
    <w:rsid w:val="00CB0664"/>
    <w:rsid w:val="00D0740E"/>
    <w:rsid w:val="00F26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79450"/>
  <w14:defaultImageDpi w14:val="300"/>
  <w15:docId w15:val="{F684BDC9-E186-43C2-A8D7-C5931B90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1133</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Great Everest</cp:lastModifiedBy>
  <cp:revision>2</cp:revision>
  <dcterms:created xsi:type="dcterms:W3CDTF">2026-05-16T19:36:00Z</dcterms:created>
  <dcterms:modified xsi:type="dcterms:W3CDTF">2026-05-16T19:36:00Z</dcterms:modified>
  <cp:category/>
</cp:coreProperties>
</file>