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line="252" w:lineRule="auto"/>
        <w:jc w:val="center"/>
      </w:pPr>
      <w:r>
        <w:drawing>
          <wp:inline xmlns:a="http://schemas.openxmlformats.org/drawingml/2006/main" xmlns:pic="http://schemas.openxmlformats.org/drawingml/2006/picture">
            <wp:extent cx="3840480" cy="889374"/>
            <wp:docPr id="1" name="Picture 1"/>
            <wp:cNvGraphicFramePr>
              <a:graphicFrameLocks noChangeAspect="1"/>
            </wp:cNvGraphicFramePr>
            <a:graphic>
              <a:graphicData uri="http://schemas.openxmlformats.org/drawingml/2006/picture">
                <pic:pic>
                  <pic:nvPicPr>
                    <pic:cNvPr id="0" name="gazie_estateos_lockup.png"/>
                    <pic:cNvPicPr/>
                  </pic:nvPicPr>
                  <pic:blipFill>
                    <a:blip r:embed="rId11"/>
                    <a:stretch>
                      <a:fillRect/>
                    </a:stretch>
                  </pic:blipFill>
                  <pic:spPr>
                    <a:xfrm>
                      <a:off x="0" y="0"/>
                      <a:ext cx="3840480" cy="889374"/>
                    </a:xfrm>
                    <a:prstGeom prst="rect"/>
                  </pic:spPr>
                </pic:pic>
              </a:graphicData>
            </a:graphic>
          </wp:inline>
        </w:drawing>
      </w:r>
    </w:p>
    <w:p>
      <w:pPr>
        <w:spacing w:before="160" w:after="80" w:line="252" w:lineRule="auto"/>
        <w:jc w:val="center"/>
      </w:pPr>
      <w:r>
        <w:rPr>
          <w:rFonts w:ascii="Aptos" w:hAnsi="Aptos"/>
          <w:b/>
          <w:color w:val="1F4EA3"/>
          <w:sz w:val="24"/>
        </w:rPr>
        <w:t>SUMMARIZED PROPOSAL</w:t>
      </w:r>
    </w:p>
    <w:p>
      <w:pPr>
        <w:spacing w:before="0" w:after="80" w:line="252" w:lineRule="auto"/>
        <w:jc w:val="center"/>
      </w:pPr>
      <w:r>
        <w:rPr>
          <w:rFonts w:ascii="Aptos" w:hAnsi="Aptos"/>
          <w:b/>
          <w:color w:val="10233F"/>
          <w:sz w:val="48"/>
        </w:rPr>
        <w:t>Newsite Estate Service Charge Management Platform</w:t>
      </w:r>
    </w:p>
    <w:p>
      <w:pPr>
        <w:spacing w:before="0" w:after="320" w:line="252" w:lineRule="auto"/>
        <w:jc w:val="center"/>
      </w:pPr>
      <w:r>
        <w:rPr>
          <w:rFonts w:ascii="Aptos" w:hAnsi="Aptos"/>
          <w:b w:val="0"/>
          <w:color w:val="6B7280"/>
          <w:sz w:val="23"/>
        </w:rPr>
        <w:t>A practical digital system for apartment-linked payments, resident ledgers, reconciliation, expenses and estate financial accountability.</w:t>
      </w:r>
    </w:p>
    <w:tbl>
      <w:tblPr>
        <w:tblW w:type="auto" w:w="0"/>
        <w:jc w:val="center"/>
        <w:tblLayout w:type="fixed"/>
        <w:tblLook w:firstColumn="1" w:firstRow="1" w:lastColumn="0" w:lastRow="0" w:noHBand="0" w:noVBand="1" w:val="04A0"/>
      </w:tblPr>
      <w:tblGrid>
        <w:gridCol w:w="2232"/>
        <w:gridCol w:w="7488"/>
      </w:tblGrid>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Prepared for</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Newsite Estate Residents Association, FHA Newsite Estate, Lugbe, Abuja</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Prepared by</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Gazie Commute Technologies Ltd</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Product</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Gazie EstateOS</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Core focus</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Service charge payment, apartment ledger and financial reconciliation</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Date</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July 2026</w:t>
            </w:r>
          </w:p>
        </w:tc>
      </w:tr>
    </w:tbl>
    <w:p/>
    <w:tbl>
      <w:tblPr>
        <w:tblW w:type="auto" w:w="0"/>
        <w:jc w:val="center"/>
        <w:tblLook w:firstColumn="1" w:firstRow="1" w:lastColumn="0" w:lastRow="0" w:noHBand="0" w:noVBand="1" w:val="04A0"/>
      </w:tblPr>
      <w:tblGrid>
        <w:gridCol w:w="9922"/>
      </w:tblGrid>
      <w:tr>
        <w:tc>
          <w:tcPr>
            <w:tcW w:type="dxa" w:w="9922"/>
            <w:tcBorders>
              <w:top w:val="single" w:sz="6" w:color="C8DAFA"/>
              <w:start w:val="single" w:sz="6" w:color="C8DAFA"/>
              <w:bottom w:val="single" w:sz="6" w:color="C8DAFA"/>
              <w:end w:val="single" w:sz="6" w:color="C8DAFA"/>
            </w:tcBorders>
            <w:shd w:fill="EEF4FF"/>
          </w:tcPr>
          <w:p>
            <w:pPr>
              <w:spacing w:before="40" w:after="60" w:line="252" w:lineRule="auto"/>
            </w:pPr>
            <w:r>
              <w:rPr>
                <w:rFonts w:ascii="Aptos" w:hAnsi="Aptos"/>
                <w:b/>
                <w:color w:val="1F4EA3"/>
                <w:sz w:val="21"/>
              </w:rPr>
              <w:t xml:space="preserve">Executive direction: </w:t>
            </w:r>
            <w:r>
              <w:rPr>
                <w:rFonts w:ascii="Aptos" w:hAnsi="Aptos"/>
                <w:b w:val="0"/>
                <w:color w:val="10233F"/>
                <w:sz w:val="20"/>
              </w:rPr>
              <w:t>Gazie EstateOS should not try to become a bloated estate app. The immediate win is to help Newsite Estate collect, identify, reconcile and report service charge payments with less stress and more transparency.</w:t>
            </w:r>
          </w:p>
        </w:tc>
      </w:tr>
    </w:tbl>
    <w:p>
      <w:r>
        <w:br w:type="page"/>
      </w:r>
    </w:p>
    <w:p>
      <w:pPr>
        <w:spacing w:before="240" w:after="120" w:line="252" w:lineRule="auto"/>
      </w:pPr>
      <w:r>
        <w:rPr>
          <w:rFonts w:ascii="Aptos" w:hAnsi="Aptos"/>
          <w:b/>
          <w:color w:val="1F4EA3"/>
          <w:sz w:val="28"/>
        </w:rPr>
        <w:t>1. EXECUTIVE SUMMARY</w:t>
      </w:r>
    </w:p>
    <w:p>
      <w:pPr>
        <w:spacing w:before="0" w:after="120" w:line="252" w:lineRule="auto"/>
      </w:pPr>
      <w:r>
        <w:rPr>
          <w:rFonts w:ascii="Aptos" w:hAnsi="Aptos"/>
          <w:b w:val="0"/>
          <w:color w:val="10233F"/>
          <w:sz w:val="20"/>
        </w:rPr>
        <w:t>Gazie EstateOS is proposed as a focused digital management platform for Newsite Estate. Its first priority is to solve the estate’s service charge payment problem by connecting every payment to the correct apartment, resident ledger and management report. The platform will help estate officers reduce unidentified deposits, manual follow-up, spreadsheet errors and delays in confirming payments.</w:t>
      </w:r>
    </w:p>
    <w:p>
      <w:pPr>
        <w:spacing w:before="0" w:after="160" w:line="252" w:lineRule="auto"/>
      </w:pPr>
      <w:r>
        <w:rPr>
          <w:rFonts w:ascii="Aptos" w:hAnsi="Aptos"/>
          <w:b w:val="0"/>
          <w:color w:val="10233F"/>
          <w:sz w:val="20"/>
        </w:rPr>
        <w:t>The system will also support expense tracking, vendor records and reconciliation so the estate can see both money received and money spent in one organized workflow.</w:t>
      </w:r>
    </w:p>
    <w:p>
      <w:pPr>
        <w:spacing w:before="240" w:after="120" w:line="252" w:lineRule="auto"/>
      </w:pPr>
      <w:r>
        <w:rPr>
          <w:rFonts w:ascii="Aptos" w:hAnsi="Aptos"/>
          <w:b/>
          <w:color w:val="1F4EA3"/>
          <w:sz w:val="28"/>
        </w:rPr>
        <w:t>2. PROBLEM TO SOLVE</w:t>
      </w:r>
    </w:p>
    <w:p>
      <w:pPr>
        <w:pStyle w:val="ListBullet"/>
        <w:spacing w:after="50"/>
        <w:ind w:left="259"/>
      </w:pPr>
      <w:r>
        <w:rPr>
          <w:rFonts w:ascii="Aptos" w:hAnsi="Aptos"/>
          <w:b w:val="0"/>
          <w:color w:val="10233F"/>
          <w:sz w:val="20"/>
        </w:rPr>
        <w:t>Residents currently pay service charges through different account names, company accounts or unclear bank narration, making identification difficult.</w:t>
      </w:r>
    </w:p>
    <w:p>
      <w:pPr>
        <w:pStyle w:val="ListBullet"/>
        <w:spacing w:after="50"/>
        <w:ind w:left="259"/>
      </w:pPr>
      <w:r>
        <w:rPr>
          <w:rFonts w:ascii="Aptos" w:hAnsi="Aptos"/>
          <w:b w:val="0"/>
          <w:color w:val="10233F"/>
          <w:sz w:val="20"/>
        </w:rPr>
        <w:t>Manual reconciliation takes time and creates room for missing records, duplicate entries and avoidable disputes.</w:t>
      </w:r>
    </w:p>
    <w:p>
      <w:pPr>
        <w:pStyle w:val="ListBullet"/>
        <w:spacing w:after="50"/>
        <w:ind w:left="259"/>
      </w:pPr>
      <w:r>
        <w:rPr>
          <w:rFonts w:ascii="Aptos" w:hAnsi="Aptos"/>
          <w:b w:val="0"/>
          <w:color w:val="10233F"/>
          <w:sz w:val="20"/>
        </w:rPr>
        <w:t>Residents need a simple way to see their own payment history, outstanding balance and current charges.</w:t>
      </w:r>
    </w:p>
    <w:p>
      <w:pPr>
        <w:pStyle w:val="ListBullet"/>
        <w:spacing w:after="50"/>
        <w:ind w:left="259"/>
      </w:pPr>
      <w:r>
        <w:rPr>
          <w:rFonts w:ascii="Aptos" w:hAnsi="Aptos"/>
          <w:b w:val="0"/>
          <w:color w:val="10233F"/>
          <w:sz w:val="20"/>
        </w:rPr>
        <w:t>Management needs a reliable view of estate income, expenses, vendors and outstanding apartments.</w:t>
      </w:r>
    </w:p>
    <w:p>
      <w:pPr>
        <w:pStyle w:val="ListBullet"/>
        <w:spacing w:after="50"/>
        <w:ind w:left="259"/>
      </w:pPr>
      <w:r>
        <w:rPr>
          <w:rFonts w:ascii="Aptos" w:hAnsi="Aptos"/>
          <w:b w:val="0"/>
          <w:color w:val="10233F"/>
          <w:sz w:val="20"/>
        </w:rPr>
        <w:t>Google Forms and manual reporting depend too much on resident compliance and administrative chasing.</w:t>
      </w:r>
    </w:p>
    <w:p>
      <w:pPr>
        <w:spacing w:before="240" w:after="120" w:line="252" w:lineRule="auto"/>
      </w:pPr>
      <w:r>
        <w:rPr>
          <w:rFonts w:ascii="Aptos" w:hAnsi="Aptos"/>
          <w:b/>
          <w:color w:val="1F4EA3"/>
          <w:sz w:val="28"/>
        </w:rPr>
        <w:t>3. PROPOSED SOLUTION</w:t>
      </w:r>
    </w:p>
    <w:p>
      <w:pPr>
        <w:spacing w:before="0" w:after="100" w:line="252" w:lineRule="auto"/>
      </w:pPr>
      <w:r>
        <w:rPr>
          <w:rFonts w:ascii="Aptos" w:hAnsi="Aptos"/>
          <w:b w:val="0"/>
          <w:color w:val="10233F"/>
          <w:sz w:val="20"/>
        </w:rPr>
        <w:t>Gazie EstateOS will serve as the estate’s payment and reconciliation layer. Each apartment will have a unique record, payment reference, ledger and balance status. Admins can confirm, match, flag and report payments from one dashboard.</w:t>
      </w:r>
    </w:p>
    <w:p>
      <w:pPr>
        <w:spacing w:before="240" w:after="120" w:line="252" w:lineRule="auto"/>
      </w:pPr>
      <w:r>
        <w:rPr>
          <w:rFonts w:ascii="Aptos" w:hAnsi="Aptos"/>
          <w:b/>
          <w:color w:val="1F4EA3"/>
          <w:sz w:val="28"/>
        </w:rPr>
        <w:t>4. SERVICE CHARGE PAYMENT FLOW</w:t>
      </w:r>
    </w:p>
    <w:tbl>
      <w:tblPr>
        <w:tblW w:type="auto" w:w="0"/>
        <w:jc w:val="center"/>
        <w:tblLayout w:type="fixed"/>
        <w:tblLook w:firstColumn="1" w:firstRow="1" w:lastColumn="0" w:lastRow="0" w:noHBand="0" w:noVBand="1" w:val="04A0"/>
      </w:tblPr>
      <w:tblGrid>
        <w:gridCol w:w="648"/>
        <w:gridCol w:w="2376"/>
        <w:gridCol w:w="6552"/>
      </w:tblGrid>
      <w:tr>
        <w:tc>
          <w:tcPr>
            <w:tcW w:type="dxa" w:w="3307"/>
            <w:tcBorders>
              <w:top w:val="single" w:sz="6" w:color="DCE7FA"/>
              <w:start w:val="single" w:sz="6" w:color="DCE7FA"/>
              <w:bottom w:val="single" w:sz="6" w:color="DCE7FA"/>
              <w:end w:val="single" w:sz="6" w:color="DCE7FA"/>
            </w:tcBorders>
            <w:shd w:fill="1F4EA3"/>
          </w:tcPr>
          <w:p>
            <w:r>
              <w:rPr>
                <w:rFonts w:ascii="Aptos" w:hAnsi="Aptos"/>
                <w:b/>
                <w:color w:val="FFFFFF"/>
                <w:sz w:val="18"/>
              </w:rPr>
              <w:t>#</w:t>
            </w:r>
          </w:p>
        </w:tc>
        <w:tc>
          <w:tcPr>
            <w:tcW w:type="dxa" w:w="3307"/>
            <w:tcBorders>
              <w:top w:val="single" w:sz="6" w:color="DCE7FA"/>
              <w:start w:val="single" w:sz="6" w:color="DCE7FA"/>
              <w:bottom w:val="single" w:sz="6" w:color="DCE7FA"/>
              <w:end w:val="single" w:sz="6" w:color="DCE7FA"/>
            </w:tcBorders>
            <w:shd w:fill="1F4EA3"/>
          </w:tcPr>
          <w:p>
            <w:r>
              <w:rPr>
                <w:rFonts w:ascii="Aptos" w:hAnsi="Aptos"/>
                <w:b/>
                <w:color w:val="FFFFFF"/>
                <w:sz w:val="18"/>
              </w:rPr>
              <w:t>Stage</w:t>
            </w:r>
          </w:p>
        </w:tc>
        <w:tc>
          <w:tcPr>
            <w:tcW w:type="dxa" w:w="3307"/>
            <w:tcBorders>
              <w:top w:val="single" w:sz="6" w:color="DCE7FA"/>
              <w:start w:val="single" w:sz="6" w:color="DCE7FA"/>
              <w:bottom w:val="single" w:sz="6" w:color="DCE7FA"/>
              <w:end w:val="single" w:sz="6" w:color="DCE7FA"/>
            </w:tcBorders>
            <w:shd w:fill="1F4EA3"/>
          </w:tcPr>
          <w:p>
            <w:r>
              <w:rPr>
                <w:rFonts w:ascii="Aptos" w:hAnsi="Aptos"/>
                <w:b/>
                <w:color w:val="FFFFFF"/>
                <w:sz w:val="18"/>
              </w:rPr>
              <w:t>What happens</w:t>
            </w:r>
          </w:p>
        </w:tc>
      </w:tr>
      <w:tr>
        <w:tc>
          <w:tcPr>
            <w:tcW w:type="dxa" w:w="648"/>
            <w:vAlign w:val="center"/>
            <w:shd w:fill="EEF4FF"/>
          </w:tcPr>
          <w:p>
            <w:r>
              <w:rPr>
                <w:rFonts w:ascii="Aptos" w:hAnsi="Aptos"/>
                <w:b w:val="0"/>
                <w:color w:val="10233F"/>
                <w:sz w:val="18"/>
              </w:rPr>
              <w:t>1</w:t>
            </w:r>
          </w:p>
        </w:tc>
        <w:tc>
          <w:tcPr>
            <w:tcW w:type="dxa" w:w="2376"/>
            <w:vAlign w:val="center"/>
          </w:tcPr>
          <w:p>
            <w:r>
              <w:rPr>
                <w:rFonts w:ascii="Aptos" w:hAnsi="Aptos"/>
                <w:b/>
                <w:color w:val="10233F"/>
                <w:sz w:val="18"/>
              </w:rPr>
              <w:t>Apartment Setup</w:t>
            </w:r>
          </w:p>
        </w:tc>
        <w:tc>
          <w:tcPr>
            <w:tcW w:type="dxa" w:w="6552"/>
            <w:vAlign w:val="center"/>
          </w:tcPr>
          <w:p>
            <w:r>
              <w:rPr>
                <w:rFonts w:ascii="Aptos" w:hAnsi="Aptos"/>
                <w:b w:val="0"/>
                <w:color w:val="10233F"/>
                <w:sz w:val="18"/>
              </w:rPr>
              <w:t>Every apartment is registered with owner/occupant details, service charge category and balance status.</w:t>
            </w:r>
          </w:p>
        </w:tc>
      </w:tr>
      <w:tr>
        <w:tc>
          <w:tcPr>
            <w:tcW w:type="dxa" w:w="648"/>
            <w:vAlign w:val="center"/>
            <w:shd w:fill="EEF4FF"/>
          </w:tcPr>
          <w:p>
            <w:r>
              <w:rPr>
                <w:rFonts w:ascii="Aptos" w:hAnsi="Aptos"/>
                <w:b w:val="0"/>
                <w:color w:val="10233F"/>
                <w:sz w:val="18"/>
              </w:rPr>
              <w:t>2</w:t>
            </w:r>
          </w:p>
        </w:tc>
        <w:tc>
          <w:tcPr>
            <w:tcW w:type="dxa" w:w="2376"/>
            <w:vAlign w:val="center"/>
          </w:tcPr>
          <w:p>
            <w:r>
              <w:rPr>
                <w:rFonts w:ascii="Aptos" w:hAnsi="Aptos"/>
                <w:b/>
                <w:color w:val="10233F"/>
                <w:sz w:val="18"/>
              </w:rPr>
              <w:t>Payment Reference</w:t>
            </w:r>
          </w:p>
        </w:tc>
        <w:tc>
          <w:tcPr>
            <w:tcW w:type="dxa" w:w="6552"/>
            <w:vAlign w:val="center"/>
          </w:tcPr>
          <w:p>
            <w:r>
              <w:rPr>
                <w:rFonts w:ascii="Aptos" w:hAnsi="Aptos"/>
                <w:b w:val="0"/>
                <w:color w:val="10233F"/>
                <w:sz w:val="18"/>
              </w:rPr>
              <w:t>Each apartment receives a unique payment reference so bank transfers and platform payments can be matched correctly.</w:t>
            </w:r>
          </w:p>
        </w:tc>
      </w:tr>
      <w:tr>
        <w:tc>
          <w:tcPr>
            <w:tcW w:type="dxa" w:w="648"/>
            <w:vAlign w:val="center"/>
            <w:shd w:fill="EEF4FF"/>
          </w:tcPr>
          <w:p>
            <w:r>
              <w:rPr>
                <w:rFonts w:ascii="Aptos" w:hAnsi="Aptos"/>
                <w:b w:val="0"/>
                <w:color w:val="10233F"/>
                <w:sz w:val="18"/>
              </w:rPr>
              <w:t>3</w:t>
            </w:r>
          </w:p>
        </w:tc>
        <w:tc>
          <w:tcPr>
            <w:tcW w:type="dxa" w:w="2376"/>
            <w:vAlign w:val="center"/>
          </w:tcPr>
          <w:p>
            <w:r>
              <w:rPr>
                <w:rFonts w:ascii="Aptos" w:hAnsi="Aptos"/>
                <w:b/>
                <w:color w:val="10233F"/>
                <w:sz w:val="18"/>
              </w:rPr>
              <w:t>Resident Payment</w:t>
            </w:r>
          </w:p>
        </w:tc>
        <w:tc>
          <w:tcPr>
            <w:tcW w:type="dxa" w:w="6552"/>
            <w:vAlign w:val="center"/>
          </w:tcPr>
          <w:p>
            <w:r>
              <w:rPr>
                <w:rFonts w:ascii="Aptos" w:hAnsi="Aptos"/>
                <w:b w:val="0"/>
                <w:color w:val="10233F"/>
                <w:sz w:val="18"/>
              </w:rPr>
              <w:t>Residents pay service charges and other fees using their phones or approved bank transfer instructions.</w:t>
            </w:r>
          </w:p>
        </w:tc>
      </w:tr>
      <w:tr>
        <w:tc>
          <w:tcPr>
            <w:tcW w:type="dxa" w:w="648"/>
            <w:vAlign w:val="center"/>
            <w:shd w:fill="EEF4FF"/>
          </w:tcPr>
          <w:p>
            <w:r>
              <w:rPr>
                <w:rFonts w:ascii="Aptos" w:hAnsi="Aptos"/>
                <w:b w:val="0"/>
                <w:color w:val="10233F"/>
                <w:sz w:val="18"/>
              </w:rPr>
              <w:t>4</w:t>
            </w:r>
          </w:p>
        </w:tc>
        <w:tc>
          <w:tcPr>
            <w:tcW w:type="dxa" w:w="2376"/>
            <w:vAlign w:val="center"/>
          </w:tcPr>
          <w:p>
            <w:r>
              <w:rPr>
                <w:rFonts w:ascii="Aptos" w:hAnsi="Aptos"/>
                <w:b/>
                <w:color w:val="10233F"/>
                <w:sz w:val="18"/>
              </w:rPr>
              <w:t>Auto/Assisted Reconciliation</w:t>
            </w:r>
          </w:p>
        </w:tc>
        <w:tc>
          <w:tcPr>
            <w:tcW w:type="dxa" w:w="6552"/>
            <w:vAlign w:val="center"/>
          </w:tcPr>
          <w:p>
            <w:r>
              <w:rPr>
                <w:rFonts w:ascii="Aptos" w:hAnsi="Aptos"/>
                <w:b w:val="0"/>
                <w:color w:val="10233F"/>
                <w:sz w:val="18"/>
              </w:rPr>
              <w:t>Payments are automatically matched where possible. Unclear deposits are sent to an unidentified payments queue for admin review.</w:t>
            </w:r>
          </w:p>
        </w:tc>
      </w:tr>
      <w:tr>
        <w:tc>
          <w:tcPr>
            <w:tcW w:type="dxa" w:w="648"/>
            <w:vAlign w:val="center"/>
            <w:shd w:fill="EEF4FF"/>
          </w:tcPr>
          <w:p>
            <w:r>
              <w:rPr>
                <w:rFonts w:ascii="Aptos" w:hAnsi="Aptos"/>
                <w:b w:val="0"/>
                <w:color w:val="10233F"/>
                <w:sz w:val="18"/>
              </w:rPr>
              <w:t>5</w:t>
            </w:r>
          </w:p>
        </w:tc>
        <w:tc>
          <w:tcPr>
            <w:tcW w:type="dxa" w:w="2376"/>
            <w:vAlign w:val="center"/>
          </w:tcPr>
          <w:p>
            <w:r>
              <w:rPr>
                <w:rFonts w:ascii="Aptos" w:hAnsi="Aptos"/>
                <w:b/>
                <w:color w:val="10233F"/>
                <w:sz w:val="18"/>
              </w:rPr>
              <w:t>Ledger Update</w:t>
            </w:r>
          </w:p>
        </w:tc>
        <w:tc>
          <w:tcPr>
            <w:tcW w:type="dxa" w:w="6552"/>
            <w:vAlign w:val="center"/>
          </w:tcPr>
          <w:p>
            <w:r>
              <w:rPr>
                <w:rFonts w:ascii="Aptos" w:hAnsi="Aptos"/>
                <w:b w:val="0"/>
                <w:color w:val="10233F"/>
                <w:sz w:val="18"/>
              </w:rPr>
              <w:t>The resident ledger updates with payment date, amount, purpose, balance and receipt status.</w:t>
            </w:r>
          </w:p>
        </w:tc>
      </w:tr>
    </w:tbl>
    <w:p>
      <w:r>
        <w:br w:type="page"/>
      </w:r>
    </w:p>
    <w:p>
      <w:pPr>
        <w:spacing w:before="240" w:after="120" w:line="252" w:lineRule="auto"/>
      </w:pPr>
      <w:r>
        <w:rPr>
          <w:rFonts w:ascii="Aptos" w:hAnsi="Aptos"/>
          <w:b/>
          <w:color w:val="1F4EA3"/>
          <w:sz w:val="28"/>
        </w:rPr>
        <w:t>5. CORE FEATURES</w:t>
      </w:r>
    </w:p>
    <w:tbl>
      <w:tblPr>
        <w:tblW w:type="auto" w:w="0"/>
        <w:jc w:val="center"/>
        <w:tblLayout w:type="fixed"/>
        <w:tblLook w:firstColumn="1" w:firstRow="1" w:lastColumn="0" w:lastRow="0" w:noHBand="0" w:noVBand="1" w:val="04A0"/>
      </w:tblPr>
      <w:tblGrid>
        <w:gridCol w:w="3096"/>
        <w:gridCol w:w="6552"/>
      </w:tblGrid>
      <w:tr>
        <w:tc>
          <w:tcPr>
            <w:tcW w:type="dxa" w:w="4961"/>
            <w:tcBorders>
              <w:top w:val="single" w:sz="6" w:color="DCE7FA"/>
              <w:start w:val="single" w:sz="6" w:color="DCE7FA"/>
              <w:bottom w:val="single" w:sz="6" w:color="DCE7FA"/>
              <w:end w:val="single" w:sz="6" w:color="DCE7FA"/>
            </w:tcBorders>
            <w:shd w:fill="1F4EA3"/>
          </w:tcPr>
          <w:p>
            <w:r>
              <w:rPr>
                <w:rFonts w:ascii="Aptos" w:hAnsi="Aptos"/>
                <w:b/>
                <w:color w:val="FFFFFF"/>
                <w:sz w:val="18"/>
              </w:rPr>
              <w:t>Feature</w:t>
            </w:r>
          </w:p>
        </w:tc>
        <w:tc>
          <w:tcPr>
            <w:tcW w:type="dxa" w:w="4961"/>
            <w:tcBorders>
              <w:top w:val="single" w:sz="6" w:color="DCE7FA"/>
              <w:start w:val="single" w:sz="6" w:color="DCE7FA"/>
              <w:bottom w:val="single" w:sz="6" w:color="DCE7FA"/>
              <w:end w:val="single" w:sz="6" w:color="DCE7FA"/>
            </w:tcBorders>
            <w:shd w:fill="1F4EA3"/>
          </w:tcPr>
          <w:p>
            <w:r>
              <w:rPr>
                <w:rFonts w:ascii="Aptos" w:hAnsi="Aptos"/>
                <w:b/>
                <w:color w:val="FFFFFF"/>
                <w:sz w:val="18"/>
              </w:rPr>
              <w:t>Purpose</w:t>
            </w:r>
          </w:p>
        </w:tc>
      </w:tr>
      <w:tr>
        <w:tc>
          <w:tcPr>
            <w:tcW w:type="dxa" w:w="3096"/>
            <w:shd w:fill="EEF4FF"/>
          </w:tcPr>
          <w:p>
            <w:r>
              <w:rPr>
                <w:rFonts w:ascii="Aptos" w:hAnsi="Aptos"/>
                <w:b/>
                <w:color w:val="10233F"/>
                <w:sz w:val="18"/>
              </w:rPr>
              <w:t>Resident mobile payment</w:t>
            </w:r>
          </w:p>
        </w:tc>
        <w:tc>
          <w:tcPr>
            <w:tcW w:type="dxa" w:w="6552"/>
          </w:tcPr>
          <w:p>
            <w:r>
              <w:rPr>
                <w:rFonts w:ascii="Aptos" w:hAnsi="Aptos"/>
                <w:b w:val="0"/>
                <w:color w:val="10233F"/>
                <w:sz w:val="18"/>
              </w:rPr>
              <w:t>Residents can pay service charges and approved estate fees from their phones, with every payment connected to an apartment record.</w:t>
            </w:r>
          </w:p>
        </w:tc>
      </w:tr>
      <w:tr>
        <w:tc>
          <w:tcPr>
            <w:tcW w:type="dxa" w:w="3096"/>
            <w:shd w:fill="EEF4FF"/>
          </w:tcPr>
          <w:p>
            <w:r>
              <w:rPr>
                <w:rFonts w:ascii="Aptos" w:hAnsi="Aptos"/>
                <w:b/>
                <w:color w:val="10233F"/>
                <w:sz w:val="18"/>
              </w:rPr>
              <w:t>Apartment ledger</w:t>
            </w:r>
          </w:p>
        </w:tc>
        <w:tc>
          <w:tcPr>
            <w:tcW w:type="dxa" w:w="6552"/>
          </w:tcPr>
          <w:p>
            <w:r>
              <w:rPr>
                <w:rFonts w:ascii="Aptos" w:hAnsi="Aptos"/>
                <w:b w:val="0"/>
                <w:color w:val="10233F"/>
                <w:sz w:val="18"/>
              </w:rPr>
              <w:t>Each apartment gets a private ledger showing payment history, charges, outstanding balance and receipts.</w:t>
            </w:r>
          </w:p>
        </w:tc>
      </w:tr>
      <w:tr>
        <w:tc>
          <w:tcPr>
            <w:tcW w:type="dxa" w:w="3096"/>
            <w:shd w:fill="EEF4FF"/>
          </w:tcPr>
          <w:p>
            <w:r>
              <w:rPr>
                <w:rFonts w:ascii="Aptos" w:hAnsi="Aptos"/>
                <w:b/>
                <w:color w:val="10233F"/>
                <w:sz w:val="18"/>
              </w:rPr>
              <w:t>Payment reconciliation dashboard</w:t>
            </w:r>
          </w:p>
        </w:tc>
        <w:tc>
          <w:tcPr>
            <w:tcW w:type="dxa" w:w="6552"/>
          </w:tcPr>
          <w:p>
            <w:r>
              <w:rPr>
                <w:rFonts w:ascii="Aptos" w:hAnsi="Aptos"/>
                <w:b w:val="0"/>
                <w:color w:val="10233F"/>
                <w:sz w:val="18"/>
              </w:rPr>
              <w:t>Admins can match bank inflows to apartments, detect unclear deposits, approve/reject entries and maintain clean records.</w:t>
            </w:r>
          </w:p>
        </w:tc>
      </w:tr>
      <w:tr>
        <w:tc>
          <w:tcPr>
            <w:tcW w:type="dxa" w:w="3096"/>
            <w:shd w:fill="EEF4FF"/>
          </w:tcPr>
          <w:p>
            <w:r>
              <w:rPr>
                <w:rFonts w:ascii="Aptos" w:hAnsi="Aptos"/>
                <w:b/>
                <w:color w:val="10233F"/>
                <w:sz w:val="18"/>
              </w:rPr>
              <w:t>Unidentified payments queue</w:t>
            </w:r>
          </w:p>
        </w:tc>
        <w:tc>
          <w:tcPr>
            <w:tcW w:type="dxa" w:w="6552"/>
          </w:tcPr>
          <w:p>
            <w:r>
              <w:rPr>
                <w:rFonts w:ascii="Aptos" w:hAnsi="Aptos"/>
                <w:b w:val="0"/>
                <w:color w:val="10233F"/>
                <w:sz w:val="18"/>
              </w:rPr>
              <w:t>Deposits with unclear narration or unknown account names are flagged for review instead of being lost inside bank statements.</w:t>
            </w:r>
          </w:p>
        </w:tc>
      </w:tr>
      <w:tr>
        <w:tc>
          <w:tcPr>
            <w:tcW w:type="dxa" w:w="3096"/>
            <w:shd w:fill="EEF4FF"/>
          </w:tcPr>
          <w:p>
            <w:r>
              <w:rPr>
                <w:rFonts w:ascii="Aptos" w:hAnsi="Aptos"/>
                <w:b/>
                <w:color w:val="10233F"/>
                <w:sz w:val="18"/>
              </w:rPr>
              <w:t>Expense management</w:t>
            </w:r>
          </w:p>
        </w:tc>
        <w:tc>
          <w:tcPr>
            <w:tcW w:type="dxa" w:w="6552"/>
          </w:tcPr>
          <w:p>
            <w:r>
              <w:rPr>
                <w:rFonts w:ascii="Aptos" w:hAnsi="Aptos"/>
                <w:b w:val="0"/>
                <w:color w:val="10233F"/>
                <w:sz w:val="18"/>
              </w:rPr>
              <w:t>Management can record estate expenses by category, date, approval status and supporting evidence.</w:t>
            </w:r>
          </w:p>
        </w:tc>
      </w:tr>
      <w:tr>
        <w:tc>
          <w:tcPr>
            <w:tcW w:type="dxa" w:w="3096"/>
            <w:shd w:fill="EEF4FF"/>
          </w:tcPr>
          <w:p>
            <w:r>
              <w:rPr>
                <w:rFonts w:ascii="Aptos" w:hAnsi="Aptos"/>
                <w:b/>
                <w:color w:val="10233F"/>
                <w:sz w:val="18"/>
              </w:rPr>
              <w:t>Vendor tracking</w:t>
            </w:r>
          </w:p>
        </w:tc>
        <w:tc>
          <w:tcPr>
            <w:tcW w:type="dxa" w:w="6552"/>
          </w:tcPr>
          <w:p>
            <w:r>
              <w:rPr>
                <w:rFonts w:ascii="Aptos" w:hAnsi="Aptos"/>
                <w:b w:val="0"/>
                <w:color w:val="10233F"/>
                <w:sz w:val="18"/>
              </w:rPr>
              <w:t>Vendors can be registered with contact details, service type, payment history and outstanding obligations.</w:t>
            </w:r>
          </w:p>
        </w:tc>
      </w:tr>
      <w:tr>
        <w:tc>
          <w:tcPr>
            <w:tcW w:type="dxa" w:w="3096"/>
            <w:shd w:fill="EEF4FF"/>
          </w:tcPr>
          <w:p>
            <w:r>
              <w:rPr>
                <w:rFonts w:ascii="Aptos" w:hAnsi="Aptos"/>
                <w:b/>
                <w:color w:val="10233F"/>
                <w:sz w:val="18"/>
              </w:rPr>
              <w:t>Reports and summaries</w:t>
            </w:r>
          </w:p>
        </w:tc>
        <w:tc>
          <w:tcPr>
            <w:tcW w:type="dxa" w:w="6552"/>
          </w:tcPr>
          <w:p>
            <w:r>
              <w:rPr>
                <w:rFonts w:ascii="Aptos" w:hAnsi="Aptos"/>
                <w:b w:val="0"/>
                <w:color w:val="10233F"/>
                <w:sz w:val="18"/>
              </w:rPr>
              <w:t>Management can generate summaries for paid apartments, debtors, expenses, collections and monthly financial status.</w:t>
            </w:r>
          </w:p>
        </w:tc>
      </w:tr>
    </w:tbl>
    <w:p>
      <w:pPr>
        <w:spacing w:before="240" w:after="120" w:line="252" w:lineRule="auto"/>
      </w:pPr>
      <w:r>
        <w:rPr>
          <w:rFonts w:ascii="Aptos" w:hAnsi="Aptos"/>
          <w:b/>
          <w:color w:val="1F4EA3"/>
          <w:sz w:val="28"/>
        </w:rPr>
        <w:t>6. VALUE TO NEWSITE ESTATE</w:t>
      </w:r>
    </w:p>
    <w:p>
      <w:pPr>
        <w:pStyle w:val="ListBullet"/>
        <w:spacing w:after="50"/>
        <w:ind w:left="259"/>
      </w:pPr>
      <w:r>
        <w:rPr>
          <w:rFonts w:ascii="Aptos" w:hAnsi="Aptos"/>
          <w:b w:val="0"/>
          <w:color w:val="10233F"/>
          <w:sz w:val="20"/>
        </w:rPr>
        <w:t>Cleaner service charge records and fewer unidentified payments.</w:t>
      </w:r>
    </w:p>
    <w:p>
      <w:pPr>
        <w:pStyle w:val="ListBullet"/>
        <w:spacing w:after="50"/>
        <w:ind w:left="259"/>
      </w:pPr>
      <w:r>
        <w:rPr>
          <w:rFonts w:ascii="Aptos" w:hAnsi="Aptos"/>
          <w:b w:val="0"/>
          <w:color w:val="10233F"/>
          <w:sz w:val="20"/>
        </w:rPr>
        <w:t>Reduced workload for the financial secretary and estate executives.</w:t>
      </w:r>
    </w:p>
    <w:p>
      <w:pPr>
        <w:pStyle w:val="ListBullet"/>
        <w:spacing w:after="50"/>
        <w:ind w:left="259"/>
      </w:pPr>
      <w:r>
        <w:rPr>
          <w:rFonts w:ascii="Aptos" w:hAnsi="Aptos"/>
          <w:b w:val="0"/>
          <w:color w:val="10233F"/>
          <w:sz w:val="20"/>
        </w:rPr>
        <w:t>More transparency for residents because each apartment can see its own ledger.</w:t>
      </w:r>
    </w:p>
    <w:p>
      <w:pPr>
        <w:pStyle w:val="ListBullet"/>
        <w:spacing w:after="50"/>
        <w:ind w:left="259"/>
      </w:pPr>
      <w:r>
        <w:rPr>
          <w:rFonts w:ascii="Aptos" w:hAnsi="Aptos"/>
          <w:b w:val="0"/>
          <w:color w:val="10233F"/>
          <w:sz w:val="20"/>
        </w:rPr>
        <w:t>Better accountability around estate expenses and vendor payments.</w:t>
      </w:r>
    </w:p>
    <w:p>
      <w:pPr>
        <w:pStyle w:val="ListBullet"/>
        <w:spacing w:after="50"/>
        <w:ind w:left="259"/>
      </w:pPr>
      <w:r>
        <w:rPr>
          <w:rFonts w:ascii="Aptos" w:hAnsi="Aptos"/>
          <w:b w:val="0"/>
          <w:color w:val="10233F"/>
          <w:sz w:val="20"/>
        </w:rPr>
        <w:t>Faster monthly reporting and stronger trust between management and residents.</w:t>
      </w:r>
    </w:p>
    <w:p>
      <w:r>
        <w:br w:type="page"/>
      </w:r>
    </w:p>
    <w:p>
      <w:pPr>
        <w:spacing w:before="240" w:after="120" w:line="252" w:lineRule="auto"/>
      </w:pPr>
      <w:r>
        <w:rPr>
          <w:rFonts w:ascii="Aptos" w:hAnsi="Aptos"/>
          <w:b/>
          <w:color w:val="1F4EA3"/>
          <w:sz w:val="28"/>
        </w:rPr>
        <w:t>7. IMPLEMENTATION APPROACH</w:t>
      </w:r>
    </w:p>
    <w:tbl>
      <w:tblPr>
        <w:tblW w:type="auto" w:w="0"/>
        <w:jc w:val="center"/>
        <w:tblLayout w:type="fixed"/>
        <w:tblLook w:firstColumn="1" w:firstRow="1" w:lastColumn="0" w:lastRow="0" w:noHBand="0" w:noVBand="1" w:val="04A0"/>
      </w:tblPr>
      <w:tblGrid>
        <w:gridCol w:w="1440"/>
        <w:gridCol w:w="3240"/>
        <w:gridCol w:w="5184"/>
      </w:tblGrid>
      <w:tr>
        <w:tc>
          <w:tcPr>
            <w:tcW w:type="dxa" w:w="3307"/>
            <w:tcBorders>
              <w:top w:val="single" w:sz="6" w:color="DCE7FA"/>
              <w:start w:val="single" w:sz="6" w:color="DCE7FA"/>
              <w:bottom w:val="single" w:sz="6" w:color="DCE7FA"/>
              <w:end w:val="single" w:sz="6" w:color="DCE7FA"/>
            </w:tcBorders>
            <w:shd w:fill="1F4EA3"/>
          </w:tcPr>
          <w:p>
            <w:r>
              <w:rPr>
                <w:rFonts w:ascii="Aptos" w:hAnsi="Aptos"/>
                <w:b/>
                <w:color w:val="FFFFFF"/>
                <w:sz w:val="18"/>
              </w:rPr>
              <w:t>Phase</w:t>
            </w:r>
          </w:p>
        </w:tc>
        <w:tc>
          <w:tcPr>
            <w:tcW w:type="dxa" w:w="3307"/>
            <w:tcBorders>
              <w:top w:val="single" w:sz="6" w:color="DCE7FA"/>
              <w:start w:val="single" w:sz="6" w:color="DCE7FA"/>
              <w:bottom w:val="single" w:sz="6" w:color="DCE7FA"/>
              <w:end w:val="single" w:sz="6" w:color="DCE7FA"/>
            </w:tcBorders>
            <w:shd w:fill="1F4EA3"/>
          </w:tcPr>
          <w:p>
            <w:r>
              <w:rPr>
                <w:rFonts w:ascii="Aptos" w:hAnsi="Aptos"/>
                <w:b/>
                <w:color w:val="FFFFFF"/>
                <w:sz w:val="18"/>
              </w:rPr>
              <w:t>Focus</w:t>
            </w:r>
          </w:p>
        </w:tc>
        <w:tc>
          <w:tcPr>
            <w:tcW w:type="dxa" w:w="3307"/>
            <w:tcBorders>
              <w:top w:val="single" w:sz="6" w:color="DCE7FA"/>
              <w:start w:val="single" w:sz="6" w:color="DCE7FA"/>
              <w:bottom w:val="single" w:sz="6" w:color="DCE7FA"/>
              <w:end w:val="single" w:sz="6" w:color="DCE7FA"/>
            </w:tcBorders>
            <w:shd w:fill="1F4EA3"/>
          </w:tcPr>
          <w:p>
            <w:r>
              <w:rPr>
                <w:rFonts w:ascii="Aptos" w:hAnsi="Aptos"/>
                <w:b/>
                <w:color w:val="FFFFFF"/>
                <w:sz w:val="18"/>
              </w:rPr>
              <w:t>Outcome</w:t>
            </w:r>
          </w:p>
        </w:tc>
      </w:tr>
      <w:tr>
        <w:tc>
          <w:tcPr>
            <w:tcW w:type="dxa" w:w="1440"/>
            <w:shd w:fill="EEF4FF"/>
          </w:tcPr>
          <w:p>
            <w:r>
              <w:rPr>
                <w:rFonts w:ascii="Aptos" w:hAnsi="Aptos"/>
                <w:b/>
                <w:color w:val="10233F"/>
                <w:sz w:val="18"/>
              </w:rPr>
              <w:t>Phase 1</w:t>
            </w:r>
          </w:p>
        </w:tc>
        <w:tc>
          <w:tcPr>
            <w:tcW w:type="dxa" w:w="3240"/>
          </w:tcPr>
          <w:p>
            <w:r>
              <w:rPr>
                <w:rFonts w:ascii="Aptos" w:hAnsi="Aptos"/>
                <w:b w:val="0"/>
                <w:color w:val="10233F"/>
                <w:sz w:val="18"/>
              </w:rPr>
              <w:t>Apartment and resident setup</w:t>
            </w:r>
          </w:p>
        </w:tc>
        <w:tc>
          <w:tcPr>
            <w:tcW w:type="dxa" w:w="5184"/>
          </w:tcPr>
          <w:p>
            <w:r>
              <w:rPr>
                <w:rFonts w:ascii="Aptos" w:hAnsi="Aptos"/>
                <w:b w:val="0"/>
                <w:color w:val="10233F"/>
                <w:sz w:val="18"/>
              </w:rPr>
              <w:t>Import apartment list, residents, service charge categories and existing balances.</w:t>
            </w:r>
          </w:p>
        </w:tc>
      </w:tr>
      <w:tr>
        <w:tc>
          <w:tcPr>
            <w:tcW w:type="dxa" w:w="1440"/>
            <w:shd w:fill="EEF4FF"/>
          </w:tcPr>
          <w:p>
            <w:r>
              <w:rPr>
                <w:rFonts w:ascii="Aptos" w:hAnsi="Aptos"/>
                <w:b/>
                <w:color w:val="10233F"/>
                <w:sz w:val="18"/>
              </w:rPr>
              <w:t>Phase 2</w:t>
            </w:r>
          </w:p>
        </w:tc>
        <w:tc>
          <w:tcPr>
            <w:tcW w:type="dxa" w:w="3240"/>
          </w:tcPr>
          <w:p>
            <w:r>
              <w:rPr>
                <w:rFonts w:ascii="Aptos" w:hAnsi="Aptos"/>
                <w:b w:val="0"/>
                <w:color w:val="10233F"/>
                <w:sz w:val="18"/>
              </w:rPr>
              <w:t>Payment and ledger workflow</w:t>
            </w:r>
          </w:p>
        </w:tc>
        <w:tc>
          <w:tcPr>
            <w:tcW w:type="dxa" w:w="5184"/>
          </w:tcPr>
          <w:p>
            <w:r>
              <w:rPr>
                <w:rFonts w:ascii="Aptos" w:hAnsi="Aptos"/>
                <w:b w:val="0"/>
                <w:color w:val="10233F"/>
                <w:sz w:val="18"/>
              </w:rPr>
              <w:t>Activate payment references, resident ledger pages, receipt records and admin payment confirmation.</w:t>
            </w:r>
          </w:p>
        </w:tc>
      </w:tr>
      <w:tr>
        <w:tc>
          <w:tcPr>
            <w:tcW w:type="dxa" w:w="1440"/>
            <w:shd w:fill="EEF4FF"/>
          </w:tcPr>
          <w:p>
            <w:r>
              <w:rPr>
                <w:rFonts w:ascii="Aptos" w:hAnsi="Aptos"/>
                <w:b/>
                <w:color w:val="10233F"/>
                <w:sz w:val="18"/>
              </w:rPr>
              <w:t>Phase 3</w:t>
            </w:r>
          </w:p>
        </w:tc>
        <w:tc>
          <w:tcPr>
            <w:tcW w:type="dxa" w:w="3240"/>
          </w:tcPr>
          <w:p>
            <w:r>
              <w:rPr>
                <w:rFonts w:ascii="Aptos" w:hAnsi="Aptos"/>
                <w:b w:val="0"/>
                <w:color w:val="10233F"/>
                <w:sz w:val="18"/>
              </w:rPr>
              <w:t>Reconciliation tools</w:t>
            </w:r>
          </w:p>
        </w:tc>
        <w:tc>
          <w:tcPr>
            <w:tcW w:type="dxa" w:w="5184"/>
          </w:tcPr>
          <w:p>
            <w:r>
              <w:rPr>
                <w:rFonts w:ascii="Aptos" w:hAnsi="Aptos"/>
                <w:b w:val="0"/>
                <w:color w:val="10233F"/>
                <w:sz w:val="18"/>
              </w:rPr>
              <w:t>Add bank statement upload/import, matching rules and unidentified payment review.</w:t>
            </w:r>
          </w:p>
        </w:tc>
      </w:tr>
      <w:tr>
        <w:tc>
          <w:tcPr>
            <w:tcW w:type="dxa" w:w="1440"/>
            <w:shd w:fill="EEF4FF"/>
          </w:tcPr>
          <w:p>
            <w:r>
              <w:rPr>
                <w:rFonts w:ascii="Aptos" w:hAnsi="Aptos"/>
                <w:b/>
                <w:color w:val="10233F"/>
                <w:sz w:val="18"/>
              </w:rPr>
              <w:t>Phase 4</w:t>
            </w:r>
          </w:p>
        </w:tc>
        <w:tc>
          <w:tcPr>
            <w:tcW w:type="dxa" w:w="3240"/>
          </w:tcPr>
          <w:p>
            <w:r>
              <w:rPr>
                <w:rFonts w:ascii="Aptos" w:hAnsi="Aptos"/>
                <w:b w:val="0"/>
                <w:color w:val="10233F"/>
                <w:sz w:val="18"/>
              </w:rPr>
              <w:t>Expense and vendor module</w:t>
            </w:r>
          </w:p>
        </w:tc>
        <w:tc>
          <w:tcPr>
            <w:tcW w:type="dxa" w:w="5184"/>
          </w:tcPr>
          <w:p>
            <w:r>
              <w:rPr>
                <w:rFonts w:ascii="Aptos" w:hAnsi="Aptos"/>
                <w:b w:val="0"/>
                <w:color w:val="10233F"/>
                <w:sz w:val="18"/>
              </w:rPr>
              <w:t>Add expense categories, vendor records, approvals and monthly reporting.</w:t>
            </w:r>
          </w:p>
        </w:tc>
      </w:tr>
      <w:tr>
        <w:tc>
          <w:tcPr>
            <w:tcW w:type="dxa" w:w="1440"/>
            <w:shd w:fill="EEF4FF"/>
          </w:tcPr>
          <w:p>
            <w:r>
              <w:rPr>
                <w:rFonts w:ascii="Aptos" w:hAnsi="Aptos"/>
                <w:b/>
                <w:color w:val="10233F"/>
                <w:sz w:val="18"/>
              </w:rPr>
              <w:t>Phase 5</w:t>
            </w:r>
          </w:p>
        </w:tc>
        <w:tc>
          <w:tcPr>
            <w:tcW w:type="dxa" w:w="3240"/>
          </w:tcPr>
          <w:p>
            <w:r>
              <w:rPr>
                <w:rFonts w:ascii="Aptos" w:hAnsi="Aptos"/>
                <w:b w:val="0"/>
                <w:color w:val="10233F"/>
                <w:sz w:val="18"/>
              </w:rPr>
              <w:t>Training and handover</w:t>
            </w:r>
          </w:p>
        </w:tc>
        <w:tc>
          <w:tcPr>
            <w:tcW w:type="dxa" w:w="5184"/>
          </w:tcPr>
          <w:p>
            <w:r>
              <w:rPr>
                <w:rFonts w:ascii="Aptos" w:hAnsi="Aptos"/>
                <w:b w:val="0"/>
                <w:color w:val="10233F"/>
                <w:sz w:val="18"/>
              </w:rPr>
              <w:t>Train admins and financial officers, document workflows and support initial usage.</w:t>
            </w:r>
          </w:p>
        </w:tc>
      </w:tr>
    </w:tbl>
    <w:p>
      <w:pPr>
        <w:spacing w:before="240" w:after="120" w:line="252" w:lineRule="auto"/>
      </w:pPr>
      <w:r>
        <w:rPr>
          <w:rFonts w:ascii="Aptos" w:hAnsi="Aptos"/>
          <w:b/>
          <w:color w:val="1F4EA3"/>
          <w:sz w:val="28"/>
        </w:rPr>
        <w:t>8. RECOMMENDED NEXT STEPS</w:t>
      </w:r>
    </w:p>
    <w:p>
      <w:pPr>
        <w:pStyle w:val="ListBullet"/>
        <w:spacing w:after="50"/>
        <w:ind w:left="259"/>
      </w:pPr>
      <w:r>
        <w:rPr>
          <w:rFonts w:ascii="Aptos" w:hAnsi="Aptos"/>
          <w:b w:val="0"/>
          <w:color w:val="10233F"/>
          <w:sz w:val="20"/>
        </w:rPr>
        <w:t>Confirm the official apartment list, resident records and current outstanding balances.</w:t>
      </w:r>
    </w:p>
    <w:p>
      <w:pPr>
        <w:pStyle w:val="ListBullet"/>
        <w:spacing w:after="50"/>
        <w:ind w:left="259"/>
      </w:pPr>
      <w:r>
        <w:rPr>
          <w:rFonts w:ascii="Aptos" w:hAnsi="Aptos"/>
          <w:b w:val="0"/>
          <w:color w:val="10233F"/>
          <w:sz w:val="20"/>
        </w:rPr>
        <w:t>Agree the service charge categories, payment cycles and receipt format.</w:t>
      </w:r>
    </w:p>
    <w:p>
      <w:pPr>
        <w:pStyle w:val="ListBullet"/>
        <w:spacing w:after="50"/>
        <w:ind w:left="259"/>
      </w:pPr>
      <w:r>
        <w:rPr>
          <w:rFonts w:ascii="Aptos" w:hAnsi="Aptos"/>
          <w:b w:val="0"/>
          <w:color w:val="10233F"/>
          <w:sz w:val="20"/>
        </w:rPr>
        <w:t>Provide sample bank statements showing unclear payment entries for reconciliation testing.</w:t>
      </w:r>
    </w:p>
    <w:p>
      <w:pPr>
        <w:pStyle w:val="ListBullet"/>
        <w:spacing w:after="50"/>
        <w:ind w:left="259"/>
      </w:pPr>
      <w:r>
        <w:rPr>
          <w:rFonts w:ascii="Aptos" w:hAnsi="Aptos"/>
          <w:b w:val="0"/>
          <w:color w:val="10233F"/>
          <w:sz w:val="20"/>
        </w:rPr>
        <w:t>Approve the first pilot scope: payments, apartment ledger, reconciliation and basic reports.</w:t>
      </w:r>
    </w:p>
    <w:p>
      <w:pPr>
        <w:pStyle w:val="ListBullet"/>
        <w:spacing w:after="50"/>
        <w:ind w:left="259"/>
      </w:pPr>
      <w:r>
        <w:rPr>
          <w:rFonts w:ascii="Aptos" w:hAnsi="Aptos"/>
          <w:b w:val="0"/>
          <w:color w:val="10233F"/>
          <w:sz w:val="20"/>
        </w:rPr>
        <w:t>Run a controlled pilot with estate executives before opening access to all residents.</w:t>
      </w:r>
    </w:p>
    <w:tbl>
      <w:tblPr>
        <w:tblW w:type="auto" w:w="0"/>
        <w:jc w:val="center"/>
        <w:tblLook w:firstColumn="1" w:firstRow="1" w:lastColumn="0" w:lastRow="0" w:noHBand="0" w:noVBand="1" w:val="04A0"/>
      </w:tblPr>
      <w:tblGrid>
        <w:gridCol w:w="9922"/>
      </w:tblGrid>
      <w:tr>
        <w:tc>
          <w:tcPr>
            <w:tcW w:type="dxa" w:w="9922"/>
            <w:tcBorders>
              <w:top w:val="single" w:sz="6" w:color="C8DAFA"/>
              <w:start w:val="single" w:sz="6" w:color="C8DAFA"/>
              <w:bottom w:val="single" w:sz="6" w:color="C8DAFA"/>
              <w:end w:val="single" w:sz="6" w:color="C8DAFA"/>
            </w:tcBorders>
            <w:shd w:fill="EEF4FF"/>
          </w:tcPr>
          <w:p>
            <w:pPr>
              <w:spacing w:before="40" w:after="60" w:line="252" w:lineRule="auto"/>
            </w:pPr>
            <w:r>
              <w:rPr>
                <w:rFonts w:ascii="Aptos" w:hAnsi="Aptos"/>
                <w:b/>
                <w:color w:val="1F4EA3"/>
                <w:sz w:val="21"/>
              </w:rPr>
              <w:t xml:space="preserve">Important build principle: </w:t>
            </w:r>
            <w:r>
              <w:rPr>
                <w:rFonts w:ascii="Aptos" w:hAnsi="Aptos"/>
                <w:b w:val="0"/>
                <w:color w:val="10233F"/>
                <w:sz w:val="20"/>
              </w:rPr>
              <w:t>The existing platform should be protected. New features should be added carefully around the core payment and reconciliation workflow, not by rebuilding or breaking what already works.</w:t>
            </w:r>
          </w:p>
        </w:tc>
      </w:tr>
    </w:tbl>
    <w:p>
      <w:pPr>
        <w:spacing w:before="240" w:after="120" w:line="252" w:lineRule="auto"/>
      </w:pPr>
      <w:r>
        <w:rPr>
          <w:rFonts w:ascii="Aptos" w:hAnsi="Aptos"/>
          <w:b/>
          <w:color w:val="1F4EA3"/>
          <w:sz w:val="28"/>
        </w:rPr>
        <w:t>9. CONTACT</w:t>
      </w:r>
    </w:p>
    <w:tbl>
      <w:tblPr>
        <w:tblW w:type="auto" w:w="0"/>
        <w:jc w:val="center"/>
        <w:tblLayout w:type="fixed"/>
        <w:tblLook w:firstColumn="1" w:firstRow="1" w:lastColumn="0" w:lastRow="0" w:noHBand="0" w:noVBand="1" w:val="04A0"/>
      </w:tblPr>
      <w:tblGrid>
        <w:gridCol w:w="2016"/>
        <w:gridCol w:w="7704"/>
      </w:tblGrid>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Company</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Gazie Commute Technologies Ltd</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Product</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Gazie EstateOS</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Phone</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+234 816 473 7221</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Email</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gaziecommute@gmail.com</w:t>
            </w:r>
          </w:p>
        </w:tc>
      </w:tr>
      <w:tr>
        <w:tc>
          <w:tcPr>
            <w:tcW w:type="dxa" w:w="4961"/>
            <w:tcBorders>
              <w:top w:val="single" w:sz="6" w:color="DCE7FA"/>
              <w:start w:val="single" w:sz="6" w:color="DCE7FA"/>
              <w:bottom w:val="single" w:sz="6" w:color="DCE7FA"/>
              <w:end w:val="single" w:sz="6" w:color="DCE7FA"/>
            </w:tcBorders>
            <w:shd w:fill="EEF4FF"/>
            <w:vAlign w:val="center"/>
          </w:tcPr>
          <w:p>
            <w:r>
              <w:rPr>
                <w:rFonts w:ascii="Aptos" w:hAnsi="Aptos"/>
                <w:b/>
                <w:color w:val="10233F"/>
                <w:sz w:val="19"/>
              </w:rPr>
              <w:t>Website</w:t>
            </w:r>
          </w:p>
        </w:tc>
        <w:tc>
          <w:tcPr>
            <w:tcW w:type="dxa" w:w="4961"/>
            <w:tcBorders>
              <w:top w:val="single" w:sz="6" w:color="DCE7FA"/>
              <w:start w:val="single" w:sz="6" w:color="DCE7FA"/>
              <w:bottom w:val="single" w:sz="6" w:color="DCE7FA"/>
              <w:end w:val="single" w:sz="6" w:color="DCE7FA"/>
            </w:tcBorders>
            <w:vAlign w:val="center"/>
          </w:tcPr>
          <w:p>
            <w:r>
              <w:rPr>
                <w:rFonts w:ascii="Aptos" w:hAnsi="Aptos"/>
                <w:b w:val="0"/>
                <w:color w:val="10233F"/>
                <w:sz w:val="19"/>
              </w:rPr>
              <w:t>gaziecommute.com.ng</w:t>
            </w:r>
          </w:p>
        </w:tc>
      </w:tr>
    </w:tbl>
    <w:sectPr w:rsidR="00FC693F" w:rsidRPr="0006063C" w:rsidSect="00034616">
      <w:headerReference w:type="default" r:id="rId9"/>
      <w:footerReference w:type="default" r:id="rId10"/>
      <w:pgSz w:w="11906" w:h="16838"/>
      <w:pgMar w:top="1020" w:right="992" w:bottom="850" w:left="992"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912"/>
      <w:gridCol w:w="2880"/>
    </w:tblGrid>
    <w:tr>
      <w:tc>
        <w:tcPr>
          <w:tcW w:type="dxa" w:w="4896"/>
        </w:tcPr>
        <w:p>
          <w:r>
            <w:rPr>
              <w:rFonts w:ascii="Aptos" w:hAnsi="Aptos"/>
              <w:b w:val="0"/>
              <w:color w:val="6B7280"/>
              <w:sz w:val="15"/>
            </w:rPr>
            <w:t>Gazie EstateOS Proposal | Property finance, service charge and resident ledger system</w:t>
          </w:r>
        </w:p>
      </w:tc>
      <w:tc>
        <w:tcPr>
          <w:tcW w:type="dxa" w:w="4896"/>
        </w:tcPr>
        <w:p>
          <w:pPr>
            <w:jc w:val="right"/>
          </w:pPr>
          <w:r>
            <w:rPr>
              <w:rFonts w:ascii="Aptos" w:hAnsi="Aptos"/>
              <w:b w:val="0"/>
              <w:color w:val="6B7280"/>
              <w:sz w:val="15"/>
            </w:rPr>
            <w:t>Confidential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4752"/>
      <w:gridCol w:w="5040"/>
    </w:tblGrid>
    <w:tr>
      <w:tc>
        <w:tcPr>
          <w:tcW w:type="dxa" w:w="4896"/>
          <w:vAlign w:val="center"/>
        </w:tcPr>
        <w:p>
          <w:pPr>
            <w:jc w:val="left"/>
          </w:pPr>
          <w:r>
            <w:drawing>
              <wp:inline xmlns:a="http://schemas.openxmlformats.org/drawingml/2006/main" xmlns:pic="http://schemas.openxmlformats.org/drawingml/2006/picture">
                <wp:extent cx="2423160" cy="561153"/>
                <wp:docPr id="1" name="Picture 1"/>
                <wp:cNvGraphicFramePr>
                  <a:graphicFrameLocks noChangeAspect="1"/>
                </wp:cNvGraphicFramePr>
                <a:graphic>
                  <a:graphicData uri="http://schemas.openxmlformats.org/drawingml/2006/picture">
                    <pic:pic>
                      <pic:nvPicPr>
                        <pic:cNvPr id="0" name="gazie_estateos_lockup.png"/>
                        <pic:cNvPicPr/>
                      </pic:nvPicPr>
                      <pic:blipFill>
                        <a:blip r:embed="rId1"/>
                        <a:stretch>
                          <a:fillRect/>
                        </a:stretch>
                      </pic:blipFill>
                      <pic:spPr>
                        <a:xfrm>
                          <a:off x="0" y="0"/>
                          <a:ext cx="2423160" cy="561153"/>
                        </a:xfrm>
                        <a:prstGeom prst="rect"/>
                      </pic:spPr>
                    </pic:pic>
                  </a:graphicData>
                </a:graphic>
              </wp:inline>
            </w:drawing>
          </w:r>
        </w:p>
      </w:tc>
      <w:tc>
        <w:tcPr>
          <w:tcW w:type="dxa" w:w="4896"/>
          <w:vAlign w:val="center"/>
        </w:tcPr>
        <w:p>
          <w:pPr>
            <w:jc w:val="right"/>
          </w:pPr>
          <w:r>
            <w:rPr>
              <w:rFonts w:ascii="Aptos" w:hAnsi="Aptos"/>
              <w:b/>
              <w:color w:val="10233F"/>
              <w:sz w:val="17"/>
            </w:rPr>
            <w:t>Gazie Commute Technologies Ltd</w:t>
            <w:br/>
          </w:r>
          <w:r>
            <w:rPr>
              <w:rFonts w:ascii="Aptos" w:hAnsi="Aptos"/>
              <w:b w:val="0"/>
              <w:color w:val="6B7280"/>
              <w:sz w:val="16"/>
            </w:rPr>
            <w:t>RC 9599595 | Abuja, Nigeria</w:t>
            <w:br/>
          </w:r>
          <w:r>
            <w:rPr>
              <w:rFonts w:ascii="Aptos" w:hAnsi="Aptos"/>
              <w:b w:val="0"/>
              <w:color w:val="6B7280"/>
              <w:sz w:val="16"/>
            </w:rPr>
            <w:t>+234 816 473 7221 | gaziecommute@gmail.com</w:t>
            <w:br/>
          </w:r>
          <w:r>
            <w:rPr>
              <w:rFonts w:ascii="Aptos" w:hAnsi="Aptos"/>
              <w:b w:val="0"/>
              <w:color w:val="1F4EA3"/>
              <w:sz w:val="16"/>
            </w:rPr>
            <w:t>gaziecommute.com.ng</w:t>
          </w:r>
        </w:p>
      </w:tc>
    </w:tr>
  </w:tbl>
  <w:p>
    <w:pPr>
      <w:jc w:val="center"/>
    </w:pPr>
    <w:r>
      <w:rPr>
        <w:rFonts w:ascii="Aptos" w:hAnsi="Aptos"/>
        <w:color w:val="D9E6FF"/>
        <w:sz w:val="10"/>
      </w:rP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3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0233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3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