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A73E8"/>
          <w:sz w:val="19"/>
        </w:rPr>
        <w:t>INVESTMENT PROPOSAL</w:t>
      </w:r>
    </w:p>
    <w:p>
      <w:pPr>
        <w:spacing w:before="200" w:after="160"/>
      </w:pPr>
      <w:r>
        <w:rPr>
          <w:rFonts w:ascii="Helvetica" w:hAnsi="Helvetica"/>
          <w:b/>
          <w:color w:val="0F2537"/>
          <w:sz w:val="64"/>
        </w:rPr>
        <w:t>Commute Service</w:t>
      </w:r>
    </w:p>
    <w:p>
      <w:pPr>
        <w:spacing w:after="480"/>
      </w:pPr>
      <w:r>
        <w:rPr>
          <w:rFonts w:ascii="Helvetica" w:hAnsi="Helvetica"/>
          <w:color w:val="64748B"/>
          <w:sz w:val="24"/>
        </w:rPr>
        <w:t>A hyper-local, trust-based micro-mobility &amp; rideshare infrastructure designed for gated estates and residential communities.</w:t>
      </w:r>
    </w:p>
    <w:tbl>
      <w:tblPr>
        <w:tblW w:type="auto" w:w="0"/>
        <w:jc w:val="left"/>
        <w:tblLook w:firstColumn="1" w:firstRow="1" w:lastColumn="0" w:lastRow="0" w:noHBand="0" w:noVBand="1" w:val="04A0"/>
      </w:tblPr>
      <w:tblGrid>
        <w:gridCol w:w="9360"/>
      </w:tblGrid>
      <w:tr>
        <w:tc>
          <w:tcPr>
            <w:tcW w:type="dxa" w:w="1152"/>
            <w:shd w:fill="1A73E8"/>
            <w:tcBorders>
              <w:top w:val="none"/>
              <w:left w:val="none"/>
              <w:bottom w:val="none"/>
              <w:right w:val="none"/>
            </w:tcBorders>
          </w:tcPr>
          <w:p>
            <w:pPr>
              <w:spacing w:before="0" w:after="0"/>
            </w:pPr>
            <w:r>
              <w:rPr>
                <w:sz w:val="4"/>
              </w:rPr>
            </w:r>
          </w:p>
        </w:tc>
      </w:tr>
    </w:tbl>
    <w:p>
      <w:pPr>
        <w:spacing w:before="800"/>
      </w:pPr>
    </w:p>
    <w:tbl>
      <w:tblPr>
        <w:tblW w:type="auto" w:w="0"/>
        <w:jc w:val="left"/>
        <w:tblLayout w:type="fixed"/>
        <w:tblLook w:firstColumn="1" w:firstRow="1" w:lastColumn="0" w:lastRow="0" w:noHBand="0" w:noVBand="1" w:val="04A0"/>
      </w:tblPr>
      <w:tblGrid>
        <w:gridCol w:w="4680"/>
        <w:gridCol w:w="4680"/>
      </w:tblGrid>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Prepared For:</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Benedicta Nwaefido</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Prepared By:</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Michael Everest Nwaohiri</w:t>
              <w:br/>
              <w:t>Founder &amp; Tech Lead, Commute Service</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Date:</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May 16, 2026</w:t>
            </w:r>
          </w:p>
        </w:tc>
      </w:tr>
      <w:tr>
        <w:tc>
          <w:tcPr>
            <w:tcW w:type="dxa" w:w="2592"/>
            <w:shd w:fill="F8FAFC"/>
            <w:tcMar>
              <w:top w:w="100" w:type="dxa"/>
              <w:bottom w:w="100" w:type="dxa"/>
              <w:left w:w="150" w:type="dxa"/>
              <w:right w:w="150" w:type="dxa"/>
            </w:tcMar>
            <w:tcBorders>
              <w:top w:val="none"/>
              <w:left w:val="none"/>
              <w:bottom w:val="none"/>
              <w:right w:val="none"/>
            </w:tcBorders>
          </w:tcPr>
          <w:p>
            <w:r>
              <w:rPr>
                <w:rFonts w:ascii="Helvetica" w:hAnsi="Helvetica"/>
                <w:b/>
                <w:color w:val="64748B"/>
                <w:sz w:val="19"/>
              </w:rPr>
              <w:t>Location:</w:t>
            </w:r>
          </w:p>
        </w:tc>
        <w:tc>
          <w:tcPr>
            <w:tcW w:type="dxa" w:w="6480"/>
            <w:shd w:fill="F8FAFC"/>
            <w:tcMar>
              <w:top w:w="100" w:type="dxa"/>
              <w:bottom w:w="100" w:type="dxa"/>
              <w:left w:w="150" w:type="dxa"/>
              <w:right w:w="150" w:type="dxa"/>
            </w:tcMar>
            <w:tcBorders>
              <w:top w:val="none"/>
              <w:left w:val="none"/>
              <w:bottom w:val="none"/>
              <w:right w:val="none"/>
            </w:tcBorders>
          </w:tcPr>
          <w:p>
            <w:r>
              <w:rPr>
                <w:rFonts w:ascii="Helvetica" w:hAnsi="Helvetica"/>
                <w:b/>
                <w:color w:val="0F2537"/>
                <w:sz w:val="21"/>
              </w:rPr>
              <w:t>Lugbe Axis, Abuja, Nigeria</w:t>
            </w:r>
          </w:p>
        </w:tc>
      </w:tr>
    </w:tbl>
    <w:p>
      <w:r>
        <w:br w:type="page"/>
      </w:r>
    </w:p>
    <w:p>
      <w:pPr>
        <w:keepNext/>
        <w:spacing w:before="480" w:after="240"/>
        <w:pBdr>
          <w:bottom w:val="single" w:sz="8" w:space="4" w:color="CBD5E1"/>
        </w:pBdr>
      </w:pPr>
      <w:r>
        <w:rPr>
          <w:rFonts w:ascii="Helvetica" w:hAnsi="Helvetica"/>
          <w:b/>
          <w:color w:val="0F2537"/>
          <w:sz w:val="28"/>
        </w:rPr>
        <w:t>1. Executive Overview</w:t>
      </w:r>
    </w:p>
    <w:p>
      <w:pPr>
        <w:spacing w:after="160" w:line="288" w:lineRule="auto"/>
      </w:pPr>
      <w:r>
        <w:rPr>
          <w:rFonts w:ascii="Helvetica" w:hAnsi="Helvetica"/>
          <w:color w:val="2C3E50"/>
          <w:sz w:val="21"/>
        </w:rPr>
        <w:t>Commute Service is an innovative, hyper-local, trust-based rideshare platform engineered specifically to address the daily commuting challenges within gated estates and structured residential communities. By connecting verified neighbors who have available empty car seats with fellow residents heading along identical routes, the platform optimizes suburban transit through a systematic, estate-level trust framework.</w:t>
      </w:r>
    </w:p>
    <w:p>
      <w:pPr>
        <w:spacing w:after="160" w:line="288" w:lineRule="auto"/>
      </w:pPr>
      <w:r>
        <w:rPr>
          <w:rFonts w:ascii="Helvetica" w:hAnsi="Helvetica"/>
          <w:color w:val="2C3E50"/>
          <w:sz w:val="21"/>
        </w:rPr>
        <w:t>Unlike conventional ride-hailing services that rely on a generic, commercial pool of unknown drivers, Commute Service utilizes localized resident networks and rigorous estate validation systems to deliver a highly reliable, cost-effective, and secure transportation alternative. The operational pilot is currently being actively validated within the Lugbe axis of Abuja, establishing its initial footprint in Newsite Estate and adjacent suburban communities.</w:t>
      </w:r>
    </w:p>
    <w:tbl>
      <w:tblPr>
        <w:tblW w:type="auto" w:w="0"/>
        <w:jc w:val="center"/>
        <w:tblLayout w:type="fixed"/>
        <w:tblLook w:firstColumn="1" w:firstRow="1" w:lastColumn="0" w:lastRow="0" w:noHBand="0" w:noVBand="1" w:val="04A0"/>
      </w:tblPr>
      <w:tblGrid>
        <w:gridCol w:w="4680"/>
        <w:gridCol w:w="4680"/>
      </w:tblGrid>
      <w:tr>
        <w:tc>
          <w:tcPr>
            <w:tcW w:type="dxa" w:w="460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pPr>
            <w:r>
              <w:rPr>
                <w:rFonts w:ascii="Helvetica" w:hAnsi="Helvetica"/>
                <w:b/>
                <w:color w:val="0F2537"/>
                <w:sz w:val="20"/>
              </w:rPr>
              <w:t xml:space="preserve">Predictable Daily Commutes: </w:t>
            </w:r>
            <w:r>
              <w:rPr>
                <w:rFonts w:ascii="Helvetica" w:hAnsi="Helvetica"/>
                <w:color w:val="2C3E50"/>
                <w:sz w:val="20"/>
              </w:rPr>
              <w:t>Structured around recurring, systematic morning and evening workplace and school routes.</w:t>
            </w:r>
          </w:p>
        </w:tc>
        <w:tc>
          <w:tcPr>
            <w:tcW w:type="dxa" w:w="460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pPr>
            <w:r>
              <w:rPr>
                <w:rFonts w:ascii="Helvetica" w:hAnsi="Helvetica"/>
                <w:b/>
                <w:color w:val="0F2537"/>
                <w:sz w:val="20"/>
              </w:rPr>
              <w:t xml:space="preserve">Reduced Transit Costs: </w:t>
            </w:r>
            <w:r>
              <w:rPr>
                <w:rFonts w:ascii="Helvetica" w:hAnsi="Helvetica"/>
                <w:color w:val="2C3E50"/>
                <w:sz w:val="20"/>
              </w:rPr>
              <w:t>Fractional expense sharing models that significantly lower daily travel budgets for commuters.</w:t>
            </w:r>
          </w:p>
        </w:tc>
      </w:tr>
      <w:tr>
        <w:tc>
          <w:tcPr>
            <w:tcW w:type="dxa" w:w="460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pPr>
            <w:r>
              <w:rPr>
                <w:rFonts w:ascii="Helvetica" w:hAnsi="Helvetica"/>
                <w:b/>
                <w:color w:val="0F2537"/>
                <w:sz w:val="20"/>
              </w:rPr>
              <w:t xml:space="preserve">Estate-Level Verification: </w:t>
            </w:r>
            <w:r>
              <w:rPr>
                <w:rFonts w:ascii="Helvetica" w:hAnsi="Helvetica"/>
                <w:color w:val="2C3E50"/>
                <w:sz w:val="20"/>
              </w:rPr>
              <w:t>Security integration leveraging estate home-owner associations and resident database networks.</w:t>
            </w:r>
          </w:p>
        </w:tc>
        <w:tc>
          <w:tcPr>
            <w:tcW w:type="dxa" w:w="4608"/>
            <w:shd w:fill="F8FAFC"/>
            <w:tcMar>
              <w:top w:w="120" w:type="dxa"/>
              <w:bottom w:w="12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0"/>
            </w:pPr>
            <w:r>
              <w:rPr>
                <w:rFonts w:ascii="Helvetica" w:hAnsi="Helvetica"/>
                <w:b/>
                <w:color w:val="0F2537"/>
                <w:sz w:val="20"/>
              </w:rPr>
              <w:t xml:space="preserve">Shared Route Efficiency: </w:t>
            </w:r>
            <w:r>
              <w:rPr>
                <w:rFonts w:ascii="Helvetica" w:hAnsi="Helvetica"/>
                <w:color w:val="2C3E50"/>
                <w:sz w:val="20"/>
              </w:rPr>
              <w:t>Optimizing existing community vehicular capacity to mitigate traffic bottlenecks and carbon footprints.</w:t>
            </w:r>
          </w:p>
        </w:tc>
      </w:tr>
    </w:tbl>
    <w:p>
      <w:pPr>
        <w:keepNext/>
        <w:spacing w:before="480" w:after="240"/>
        <w:pBdr>
          <w:bottom w:val="single" w:sz="8" w:space="4" w:color="CBD5E1"/>
        </w:pBdr>
      </w:pPr>
      <w:r>
        <w:rPr>
          <w:rFonts w:ascii="Helvetica" w:hAnsi="Helvetica"/>
          <w:b/>
          <w:color w:val="0F2537"/>
          <w:sz w:val="28"/>
        </w:rPr>
        <w:t>2. Funding Objective</w:t>
      </w:r>
    </w:p>
    <w:tbl>
      <w:tblPr>
        <w:tblW w:type="auto" w:w="0"/>
        <w:jc w:val="center"/>
        <w:tblLook w:firstColumn="1" w:firstRow="1" w:lastColumn="0" w:lastRow="0" w:noHBand="0" w:noVBand="1" w:val="04A0"/>
      </w:tblPr>
      <w:tblGrid>
        <w:gridCol w:w="9360"/>
      </w:tblGrid>
      <w:tr>
        <w:tc>
          <w:tcPr>
            <w:tcW w:type="dxa" w:w="9360"/>
            <w:shd w:fill="0F2537"/>
            <w:tcMar>
              <w:top w:w="160" w:type="dxa"/>
              <w:bottom w:w="160" w:type="dxa"/>
              <w:left w:w="200" w:type="dxa"/>
              <w:right w:w="200" w:type="dxa"/>
            </w:tcMar>
            <w:tcBorders>
              <w:top w:val="none"/>
              <w:left w:val="none"/>
              <w:bottom w:val="none"/>
              <w:right w:val="none"/>
            </w:tcBorders>
          </w:tcPr>
          <w:p>
            <w:pPr>
              <w:spacing w:after="40"/>
            </w:pPr>
            <w:r>
              <w:rPr>
                <w:rFonts w:ascii="Helvetica" w:hAnsi="Helvetica"/>
                <w:b/>
                <w:color w:val="38BDF8"/>
                <w:sz w:val="18"/>
              </w:rPr>
              <w:t>SEED CAPITAL REQUIREMENT</w:t>
            </w:r>
          </w:p>
          <w:p>
            <w:pPr>
              <w:spacing w:after="160"/>
            </w:pPr>
            <w:r>
              <w:rPr>
                <w:rFonts w:ascii="Helvetica" w:hAnsi="Helvetica"/>
                <w:b/>
                <w:color w:val="FFFFFF"/>
                <w:sz w:val="48"/>
              </w:rPr>
              <w:t>₦5,000,000</w:t>
            </w:r>
          </w:p>
          <w:p>
            <w:pPr>
              <w:spacing w:after="0" w:line="288" w:lineRule="auto"/>
            </w:pPr>
            <w:r>
              <w:rPr>
                <w:rFonts w:ascii="Helvetica" w:hAnsi="Helvetica"/>
                <w:color w:val="E2E8F0"/>
                <w:sz w:val="20"/>
              </w:rPr>
              <w:t>Targeted strategic allocation to fund Phase 1 Operations over the upcoming 6–9 months. This capitalization will transition the venture seamlessly from an agile community pilot into a highly structured, compliance-grounded, and scalable technology startup enterprise.</w:t>
            </w:r>
          </w:p>
        </w:tc>
      </w:tr>
    </w:tbl>
    <w:p>
      <w:pPr>
        <w:keepNext/>
        <w:spacing w:before="480" w:after="240"/>
        <w:pBdr>
          <w:bottom w:val="single" w:sz="8" w:space="4" w:color="CBD5E1"/>
        </w:pBdr>
      </w:pPr>
      <w:r>
        <w:rPr>
          <w:rFonts w:ascii="Helvetica" w:hAnsi="Helvetica"/>
          <w:b/>
          <w:color w:val="0F2537"/>
          <w:sz w:val="28"/>
        </w:rPr>
        <w:t>3. Phase 1 Deployment Roadmap</w:t>
      </w:r>
    </w:p>
    <w:p>
      <w:pPr>
        <w:spacing w:after="160" w:line="288" w:lineRule="auto"/>
      </w:pPr>
      <w:r>
        <w:rPr>
          <w:rFonts w:ascii="Helvetica" w:hAnsi="Helvetica"/>
          <w:color w:val="2C3E50"/>
          <w:sz w:val="21"/>
        </w:rPr>
        <w:t>The injected seed capital will be systematically deployed across four critical pillars to establish absolute operational liquidity, regulatory safeguards, and predictable user growth vectors:</w:t>
      </w:r>
    </w:p>
    <w:p>
      <w:pPr>
        <w:keepNext/>
        <w:spacing w:before="320" w:after="120"/>
      </w:pPr>
      <w:r>
        <w:rPr>
          <w:rFonts w:ascii="Helvetica" w:hAnsi="Helvetica"/>
          <w:b/>
          <w:color w:val="1A73E8"/>
          <w:sz w:val="23"/>
        </w:rPr>
        <w:t>Legal &amp; Corporate Compliance</w:t>
      </w:r>
    </w:p>
    <w:p>
      <w:pPr>
        <w:pStyle w:val="ListBullet"/>
        <w:spacing w:after="80" w:line="276" w:lineRule="auto"/>
      </w:pPr>
      <w:r>
        <w:rPr>
          <w:rFonts w:ascii="Helvetica" w:hAnsi="Helvetica"/>
          <w:b/>
          <w:color w:val="2C3E50"/>
          <w:sz w:val="21"/>
        </w:rPr>
        <w:t xml:space="preserve">Corporate Setup: </w:t>
      </w:r>
      <w:r>
        <w:rPr>
          <w:rFonts w:ascii="Helvetica" w:hAnsi="Helvetica"/>
          <w:color w:val="2C3E50"/>
          <w:sz w:val="21"/>
        </w:rPr>
        <w:t>Full structural incorporation processes executed with the Corporate Affairs Commission (CAC).</w:t>
      </w:r>
    </w:p>
    <w:p>
      <w:pPr>
        <w:pStyle w:val="ListBullet"/>
        <w:spacing w:after="80" w:line="276" w:lineRule="auto"/>
      </w:pPr>
      <w:r>
        <w:rPr>
          <w:rFonts w:ascii="Helvetica" w:hAnsi="Helvetica"/>
          <w:b/>
          <w:color w:val="2C3E50"/>
          <w:sz w:val="21"/>
        </w:rPr>
        <w:t xml:space="preserve">Risk Management: </w:t>
      </w:r>
      <w:r>
        <w:rPr>
          <w:rFonts w:ascii="Helvetica" w:hAnsi="Helvetica"/>
          <w:color w:val="2C3E50"/>
          <w:sz w:val="21"/>
        </w:rPr>
        <w:t>Drafting comprehensive operational protection policies and protective liability waivers.</w:t>
      </w:r>
    </w:p>
    <w:p>
      <w:pPr>
        <w:pStyle w:val="ListBullet"/>
        <w:spacing w:after="80" w:line="276" w:lineRule="auto"/>
      </w:pPr>
      <w:r>
        <w:rPr>
          <w:rFonts w:ascii="Helvetica" w:hAnsi="Helvetica"/>
          <w:b/>
          <w:color w:val="2C3E50"/>
          <w:sz w:val="21"/>
        </w:rPr>
        <w:t xml:space="preserve">Ecosystem Policies: </w:t>
      </w:r>
      <w:r>
        <w:rPr>
          <w:rFonts w:ascii="Helvetica" w:hAnsi="Helvetica"/>
          <w:color w:val="2C3E50"/>
          <w:sz w:val="21"/>
        </w:rPr>
        <w:t>Structuring custom estate ecosystem mutual rules, terms of platform service, and local data privacy frameworks.</w:t>
      </w:r>
    </w:p>
    <w:p>
      <w:pPr>
        <w:keepNext/>
        <w:spacing w:before="320" w:after="120"/>
      </w:pPr>
      <w:r>
        <w:rPr>
          <w:rFonts w:ascii="Helvetica" w:hAnsi="Helvetica"/>
          <w:b/>
          <w:color w:val="1A73E8"/>
          <w:sz w:val="23"/>
        </w:rPr>
        <w:t>Technology Infrastructure Optimization</w:t>
      </w:r>
    </w:p>
    <w:p>
      <w:pPr>
        <w:pStyle w:val="ListBullet"/>
        <w:spacing w:after="80" w:line="276" w:lineRule="auto"/>
      </w:pPr>
      <w:r>
        <w:rPr>
          <w:rFonts w:ascii="Helvetica" w:hAnsi="Helvetica"/>
          <w:b/>
          <w:color w:val="2C3E50"/>
          <w:sz w:val="21"/>
        </w:rPr>
        <w:t xml:space="preserve">Production Architecture: </w:t>
      </w:r>
      <w:r>
        <w:rPr>
          <w:rFonts w:ascii="Helvetica" w:hAnsi="Helvetica"/>
          <w:color w:val="2C3E50"/>
          <w:sz w:val="21"/>
        </w:rPr>
        <w:t>Provisioning and scaling production microservice environments across Vercel Pro and Supabase Pro models.</w:t>
      </w:r>
    </w:p>
    <w:p>
      <w:pPr>
        <w:pStyle w:val="ListBullet"/>
        <w:spacing w:after="80" w:line="276" w:lineRule="auto"/>
      </w:pPr>
      <w:r>
        <w:rPr>
          <w:rFonts w:ascii="Helvetica" w:hAnsi="Helvetica"/>
          <w:b/>
          <w:color w:val="2C3E50"/>
          <w:sz w:val="21"/>
        </w:rPr>
        <w:t xml:space="preserve">Identity Guardrails: </w:t>
      </w:r>
      <w:r>
        <w:rPr>
          <w:rFonts w:ascii="Helvetica" w:hAnsi="Helvetica"/>
          <w:color w:val="2C3E50"/>
          <w:sz w:val="21"/>
        </w:rPr>
        <w:t>Automating digital multi-layer identity checks to verify local estate resident authenticity flawlessly.</w:t>
      </w:r>
    </w:p>
    <w:p>
      <w:pPr>
        <w:pStyle w:val="ListBullet"/>
        <w:spacing w:after="80" w:line="276" w:lineRule="auto"/>
      </w:pPr>
      <w:r>
        <w:rPr>
          <w:rFonts w:ascii="Helvetica" w:hAnsi="Helvetica"/>
          <w:b/>
          <w:color w:val="2C3E50"/>
          <w:sz w:val="21"/>
        </w:rPr>
        <w:t xml:space="preserve">Coordination Stack: </w:t>
      </w:r>
      <w:r>
        <w:rPr>
          <w:rFonts w:ascii="Helvetica" w:hAnsi="Helvetica"/>
          <w:color w:val="2C3E50"/>
          <w:sz w:val="21"/>
        </w:rPr>
        <w:t>Deploying instant WhatsApp-centric automated match configurations, telemetry notifications, and scheduling layers.</w:t>
      </w:r>
    </w:p>
    <w:p>
      <w:pPr>
        <w:keepNext/>
        <w:spacing w:before="320" w:after="120"/>
      </w:pPr>
      <w:r>
        <w:rPr>
          <w:rFonts w:ascii="Helvetica" w:hAnsi="Helvetica"/>
          <w:b/>
          <w:color w:val="1A73E8"/>
          <w:sz w:val="23"/>
        </w:rPr>
        <w:t>Estate Expansion &amp; Localization</w:t>
      </w:r>
    </w:p>
    <w:p>
      <w:pPr>
        <w:pStyle w:val="ListBullet"/>
        <w:spacing w:after="80" w:line="276" w:lineRule="auto"/>
      </w:pPr>
      <w:r>
        <w:rPr>
          <w:rFonts w:ascii="Helvetica" w:hAnsi="Helvetica"/>
          <w:b/>
          <w:color w:val="2C3E50"/>
          <w:sz w:val="21"/>
        </w:rPr>
        <w:t xml:space="preserve">Strategic Footprint: </w:t>
      </w:r>
      <w:r>
        <w:rPr>
          <w:rFonts w:ascii="Helvetica" w:hAnsi="Helvetica"/>
          <w:color w:val="2C3E50"/>
          <w:sz w:val="21"/>
        </w:rPr>
        <w:t>Sequential cluster expansion mapping across 10–15 target gated communities within the high-volume Lugbe transit hub.</w:t>
      </w:r>
    </w:p>
    <w:p>
      <w:pPr>
        <w:pStyle w:val="ListBullet"/>
        <w:spacing w:after="80" w:line="276" w:lineRule="auto"/>
      </w:pPr>
      <w:r>
        <w:rPr>
          <w:rFonts w:ascii="Helvetica" w:hAnsi="Helvetica"/>
          <w:b/>
          <w:color w:val="2C3E50"/>
          <w:sz w:val="21"/>
        </w:rPr>
        <w:t xml:space="preserve">Ambassador Network: </w:t>
      </w:r>
      <w:r>
        <w:rPr>
          <w:rFonts w:ascii="Helvetica" w:hAnsi="Helvetica"/>
          <w:color w:val="2C3E50"/>
          <w:sz w:val="21"/>
        </w:rPr>
        <w:t>Recruiting and incentive-matching Estate Ambassadors to streamline onboarding networks and handle local conflicts.</w:t>
      </w:r>
    </w:p>
    <w:p>
      <w:pPr>
        <w:pStyle w:val="ListBullet"/>
        <w:spacing w:after="80" w:line="276" w:lineRule="auto"/>
      </w:pPr>
      <w:r>
        <w:rPr>
          <w:rFonts w:ascii="Helvetica" w:hAnsi="Helvetica"/>
          <w:b/>
          <w:color w:val="2C3E50"/>
          <w:sz w:val="21"/>
        </w:rPr>
        <w:t xml:space="preserve">Acquisition Campaigns: </w:t>
      </w:r>
      <w:r>
        <w:rPr>
          <w:rFonts w:ascii="Helvetica" w:hAnsi="Helvetica"/>
          <w:color w:val="2C3E50"/>
          <w:sz w:val="21"/>
        </w:rPr>
        <w:t>Executing synchronized targeted local flyers, community visual signage, town hall representations, and hyper-local ads.</w:t>
      </w:r>
    </w:p>
    <w:p>
      <w:pPr>
        <w:keepNext/>
        <w:spacing w:before="320" w:after="120"/>
      </w:pPr>
      <w:r>
        <w:rPr>
          <w:rFonts w:ascii="Helvetica" w:hAnsi="Helvetica"/>
          <w:b/>
          <w:color w:val="1A73E8"/>
          <w:sz w:val="23"/>
        </w:rPr>
        <w:t>Operational Validation &amp; Liquidity</w:t>
      </w:r>
    </w:p>
    <w:p>
      <w:pPr>
        <w:pStyle w:val="ListBullet"/>
        <w:spacing w:after="80" w:line="276" w:lineRule="auto"/>
      </w:pPr>
      <w:r>
        <w:rPr>
          <w:rFonts w:ascii="Helvetica" w:hAnsi="Helvetica"/>
          <w:b/>
          <w:color w:val="2C3E50"/>
          <w:sz w:val="21"/>
        </w:rPr>
        <w:t xml:space="preserve">Supply Aggregation: </w:t>
      </w:r>
      <w:r>
        <w:rPr>
          <w:rFonts w:ascii="Helvetica" w:hAnsi="Helvetica"/>
          <w:color w:val="2C3E50"/>
          <w:sz w:val="21"/>
        </w:rPr>
        <w:t>Onboarding, inspecting, and cataloging a baseline cohort of 100–200 high-integrity community driver vehicles.</w:t>
      </w:r>
    </w:p>
    <w:p>
      <w:pPr>
        <w:pStyle w:val="ListBullet"/>
        <w:spacing w:after="80" w:line="276" w:lineRule="auto"/>
      </w:pPr>
      <w:r>
        <w:rPr>
          <w:rFonts w:ascii="Helvetica" w:hAnsi="Helvetica"/>
          <w:b/>
          <w:color w:val="2C3E50"/>
          <w:sz w:val="21"/>
        </w:rPr>
        <w:t xml:space="preserve">Transit Channels: </w:t>
      </w:r>
      <w:r>
        <w:rPr>
          <w:rFonts w:ascii="Helvetica" w:hAnsi="Helvetica"/>
          <w:color w:val="2C3E50"/>
          <w:sz w:val="21"/>
        </w:rPr>
        <w:t>Establishing concrete ride liquidity parameters across primary core commute channels mapping to central commercial districts.</w:t>
      </w:r>
    </w:p>
    <w:p>
      <w:pPr>
        <w:pStyle w:val="ListBullet"/>
        <w:spacing w:after="80" w:line="276" w:lineRule="auto"/>
      </w:pPr>
      <w:r>
        <w:rPr>
          <w:rFonts w:ascii="Helvetica" w:hAnsi="Helvetica"/>
          <w:b/>
          <w:color w:val="2C3E50"/>
          <w:sz w:val="21"/>
        </w:rPr>
        <w:t xml:space="preserve">Algorithm Tuning: </w:t>
      </w:r>
      <w:r>
        <w:rPr>
          <w:rFonts w:ascii="Helvetica" w:hAnsi="Helvetica"/>
          <w:color w:val="2C3E50"/>
          <w:sz w:val="21"/>
        </w:rPr>
        <w:t>Iterative processing optimization of multi-passenger matching loops utilizing continuous telemetry review.</w:t>
      </w:r>
    </w:p>
    <w:p>
      <w:pPr>
        <w:keepNext/>
        <w:spacing w:before="480" w:after="240"/>
        <w:pBdr>
          <w:bottom w:val="single" w:sz="8" w:space="4" w:color="CBD5E1"/>
        </w:pBdr>
      </w:pPr>
      <w:r>
        <w:rPr>
          <w:rFonts w:ascii="Helvetica" w:hAnsi="Helvetica"/>
          <w:b/>
          <w:color w:val="0F2537"/>
          <w:sz w:val="28"/>
        </w:rPr>
        <w:t>4. Financial Projections &amp; Unit Economics</w:t>
      </w:r>
    </w:p>
    <w:p>
      <w:pPr>
        <w:spacing w:after="160" w:line="288" w:lineRule="auto"/>
      </w:pPr>
      <w:r>
        <w:rPr>
          <w:rFonts w:ascii="Helvetica" w:hAnsi="Helvetica"/>
          <w:color w:val="2C3E50"/>
          <w:sz w:val="21"/>
        </w:rPr>
        <w:t>The operational modeling detailed below underscores a strictly conservative baseline projection structure at an initial target validation volume of 100 verified vehicles.</w:t>
      </w:r>
    </w:p>
    <w:p>
      <w:pPr>
        <w:keepNext/>
        <w:spacing w:before="320" w:after="120"/>
      </w:pPr>
      <w:r>
        <w:rPr>
          <w:rFonts w:ascii="Helvetica" w:hAnsi="Helvetica"/>
          <w:b/>
          <w:color w:val="1A73E8"/>
          <w:sz w:val="23"/>
        </w:rPr>
        <w:t>Operational Projections &amp; Baseline Parameters</w:t>
      </w:r>
    </w:p>
    <w:p>
      <w:pPr>
        <w:pStyle w:val="ListBullet"/>
        <w:spacing w:after="80" w:line="276" w:lineRule="auto"/>
      </w:pPr>
      <w:r>
        <w:rPr>
          <w:rFonts w:ascii="Helvetica" w:hAnsi="Helvetica"/>
          <w:b/>
          <w:color w:val="2C3E50"/>
          <w:sz w:val="21"/>
        </w:rPr>
        <w:t xml:space="preserve">Active Infrastructure Supply: </w:t>
      </w:r>
      <w:r>
        <w:rPr>
          <w:rFonts w:ascii="Helvetica" w:hAnsi="Helvetica"/>
          <w:color w:val="2C3E50"/>
          <w:sz w:val="21"/>
        </w:rPr>
        <w:t>100 verified operational resident driver vehicles.</w:t>
      </w:r>
    </w:p>
    <w:p>
      <w:pPr>
        <w:pStyle w:val="ListBullet"/>
        <w:spacing w:after="80" w:line="276" w:lineRule="auto"/>
      </w:pPr>
      <w:r>
        <w:rPr>
          <w:rFonts w:ascii="Helvetica" w:hAnsi="Helvetica"/>
          <w:b/>
          <w:color w:val="2C3E50"/>
          <w:sz w:val="21"/>
        </w:rPr>
        <w:t xml:space="preserve">Daily Volume Factor: </w:t>
      </w:r>
      <w:r>
        <w:rPr>
          <w:rFonts w:ascii="Helvetica" w:hAnsi="Helvetica"/>
          <w:color w:val="2C3E50"/>
          <w:sz w:val="21"/>
        </w:rPr>
        <w:t>Conservative target average of 2 matched and fulfilled paid passenger seats per vehicle daily.</w:t>
      </w:r>
    </w:p>
    <w:p>
      <w:pPr>
        <w:pStyle w:val="ListBullet"/>
        <w:spacing w:after="80" w:line="276" w:lineRule="auto"/>
      </w:pPr>
      <w:r>
        <w:rPr>
          <w:rFonts w:ascii="Helvetica" w:hAnsi="Helvetica"/>
          <w:b/>
          <w:color w:val="2C3E50"/>
          <w:sz w:val="21"/>
        </w:rPr>
        <w:t xml:space="preserve">Temporal Operations Scale: </w:t>
      </w:r>
      <w:r>
        <w:rPr>
          <w:rFonts w:ascii="Helvetica" w:hAnsi="Helvetica"/>
          <w:color w:val="2C3E50"/>
          <w:sz w:val="21"/>
        </w:rPr>
        <w:t>Calculated on 22 active professional/corporate operations commuting days per month.</w:t>
      </w:r>
    </w:p>
    <w:p>
      <w:pPr>
        <w:pStyle w:val="ListBullet"/>
        <w:spacing w:after="80" w:line="276" w:lineRule="auto"/>
      </w:pPr>
      <w:r>
        <w:rPr>
          <w:rFonts w:ascii="Helvetica" w:hAnsi="Helvetica"/>
          <w:b/>
          <w:color w:val="2C3E50"/>
          <w:sz w:val="21"/>
        </w:rPr>
        <w:t xml:space="preserve">Core Unit Monetization: </w:t>
      </w:r>
      <w:r>
        <w:rPr>
          <w:rFonts w:ascii="Helvetica" w:hAnsi="Helvetica"/>
          <w:color w:val="2C3E50"/>
          <w:sz w:val="21"/>
        </w:rPr>
        <w:t>Set at a flat baseline transaction micro-fee of ₦50 per individual matched and completed seat.</w:t>
      </w:r>
    </w:p>
    <w:tbl>
      <w:tblPr>
        <w:tblW w:type="auto" w:w="0"/>
        <w:jc w:val="center"/>
        <w:tblLook w:firstColumn="1" w:firstRow="1" w:lastColumn="0" w:lastRow="0" w:noHBand="0" w:noVBand="1" w:val="04A0"/>
      </w:tblPr>
      <w:tblGrid>
        <w:gridCol w:w="9360"/>
      </w:tblGrid>
      <w:tr>
        <w:tc>
          <w:tcPr>
            <w:tcW w:type="dxa" w:w="9360"/>
            <w:shd w:fill="F1F5F9"/>
            <w:tcBorders>
              <w:left w:val="single" w:sz="32" w:space="0" w:color="1A73E8"/>
              <w:top w:val="none"/>
              <w:bottom w:val="none"/>
              <w:right w:val="none"/>
            </w:tcBorders>
            <w:tcMar>
              <w:top w:w="100" w:type="dxa"/>
              <w:bottom w:w="100" w:type="dxa"/>
              <w:left w:w="140" w:type="dxa"/>
              <w:right w:w="140" w:type="dxa"/>
            </w:tcMar>
          </w:tcPr>
          <w:p>
            <w:pPr>
              <w:spacing w:after="0"/>
              <w:jc w:val="center"/>
            </w:pPr>
            <w:r>
              <w:rPr>
                <w:rFonts w:ascii="Times New Roman" w:hAnsi="Times New Roman"/>
                <w:b/>
                <w:i/>
                <w:color w:val="1A73E8"/>
                <w:sz w:val="22"/>
              </w:rPr>
              <w:t>Monthly Revenue Formula:</w:t>
              <w:br/>
              <w:t>100 Vehicles × 2 Seats × 22 Operational Days × ₦50 Platform Fee = ₦220,000</w:t>
            </w:r>
          </w:p>
        </w:tc>
      </w:tr>
    </w:tbl>
    <w:p>
      <w:pPr>
        <w:spacing w:after="240" w:line="288" w:lineRule="auto"/>
        <w:jc w:val="center"/>
      </w:pPr>
      <w:r>
        <w:rPr>
          <w:rFonts w:ascii="Helvetica" w:hAnsi="Helvetica"/>
          <w:color w:val="2C3E50"/>
          <w:sz w:val="21"/>
        </w:rPr>
        <w:t>Estimated Baseline Gross Revenue Yield: ₦220,000 / Month</w:t>
      </w:r>
    </w:p>
    <w:p>
      <w:pPr>
        <w:spacing w:after="160" w:line="288" w:lineRule="auto"/>
      </w:pPr>
      <w:r>
        <w:rPr>
          <w:rFonts w:ascii="Helvetica" w:hAnsi="Helvetica"/>
          <w:color w:val="64748B"/>
          <w:sz w:val="19"/>
        </w:rPr>
        <w:t>*Note: This basic transactional yield model exclusively accounts for initial baseline utility capture. It purposefully excludes layered upside extensions like premium reservation accounts, targeted demographic tiers, localized programmatic ad placement, or cross-estate freight vectors.</w:t>
      </w:r>
    </w:p>
    <w:p>
      <w:pPr>
        <w:keepNext/>
        <w:spacing w:before="320" w:after="120"/>
      </w:pPr>
      <w:r>
        <w:rPr>
          <w:rFonts w:ascii="Helvetica" w:hAnsi="Helvetica"/>
          <w:b/>
          <w:color w:val="1A73E8"/>
          <w:sz w:val="23"/>
        </w:rPr>
        <w:t>Phase 1 Projected Monthly Operating Budget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2537"/>
            <w:tcMar>
              <w:top w:w="100" w:type="dxa"/>
              <w:bottom w:w="100" w:type="dxa"/>
              <w:left w:w="120" w:type="dxa"/>
              <w:right w:w="120" w:type="dxa"/>
            </w:tcMar>
          </w:tcPr>
          <w:p>
            <w:pPr>
              <w:spacing w:after="0"/>
            </w:pPr>
            <w:r>
              <w:rPr>
                <w:rFonts w:ascii="Helvetica" w:hAnsi="Helvetica"/>
                <w:b/>
                <w:color w:val="FFFFFF"/>
                <w:sz w:val="20"/>
              </w:rPr>
              <w:t>Expense Category</w:t>
            </w:r>
          </w:p>
        </w:tc>
        <w:tc>
          <w:tcPr>
            <w:tcW w:type="dxa" w:w="4896"/>
            <w:shd w:fill="0F2537"/>
            <w:tcMar>
              <w:top w:w="100" w:type="dxa"/>
              <w:bottom w:w="100" w:type="dxa"/>
              <w:left w:w="120" w:type="dxa"/>
              <w:right w:w="120" w:type="dxa"/>
            </w:tcMar>
          </w:tcPr>
          <w:p>
            <w:pPr>
              <w:spacing w:after="0"/>
            </w:pPr>
            <w:r>
              <w:rPr>
                <w:rFonts w:ascii="Helvetica" w:hAnsi="Helvetica"/>
                <w:b/>
                <w:color w:val="FFFFFF"/>
                <w:sz w:val="20"/>
              </w:rPr>
              <w:t>Operational Coverage &amp; Resource Allocation</w:t>
            </w:r>
          </w:p>
        </w:tc>
        <w:tc>
          <w:tcPr>
            <w:tcW w:type="dxa" w:w="1872"/>
            <w:shd w:fill="0F2537"/>
            <w:tcMar>
              <w:top w:w="100" w:type="dxa"/>
              <w:bottom w:w="100" w:type="dxa"/>
              <w:left w:w="120" w:type="dxa"/>
              <w:right w:w="120" w:type="dxa"/>
            </w:tcMar>
          </w:tcPr>
          <w:p>
            <w:pPr>
              <w:spacing w:after="0"/>
              <w:jc w:val="right"/>
            </w:pPr>
            <w:r>
              <w:rPr>
                <w:rFonts w:ascii="Helvetica" w:hAnsi="Helvetica"/>
                <w:b/>
                <w:color w:val="FFFFFF"/>
                <w:sz w:val="20"/>
              </w:rPr>
              <w:t>Monthly Budget (₦)</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Technology &amp; Hosting</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Vercel Pro, Supabase Pro scale, security domains, API systems.</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80,000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Ambassador Network</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Localized stipend distributions, verification assistance, agent loops.</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100,000</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Operations &amp; Admin</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General management, communications data allocations, local logistics.</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120,000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Marketing &amp; Growth</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Physical outdoor banners, estate flyering, local targeted acquisition.</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50,000</w:t>
            </w:r>
          </w:p>
        </w:tc>
      </w:tr>
      <w:tr>
        <w:tc>
          <w:tcPr>
            <w:tcW w:type="dxa" w:w="2592"/>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Customer Success</w:t>
            </w:r>
          </w:p>
        </w:tc>
        <w:tc>
          <w:tcPr>
            <w:tcW w:type="dxa" w:w="4896"/>
            <w:shd w:fill="FFFFFF"/>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Dedicated user support desks, issue triage pipelines, live matching assistance.</w:t>
            </w:r>
          </w:p>
        </w:tc>
        <w:tc>
          <w:tcPr>
            <w:tcW w:type="dxa" w:w="1872"/>
            <w:shd w:fill="FFFFFF"/>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40,000</w:t>
            </w:r>
          </w:p>
        </w:tc>
      </w:tr>
      <w:tr>
        <w:tc>
          <w:tcPr>
            <w:tcW w:type="dxa" w:w="2592"/>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b/>
                <w:color w:val="2C3E50"/>
                <w:sz w:val="19"/>
              </w:rPr>
              <w:t>Legal &amp; Compliance</w:t>
            </w:r>
          </w:p>
        </w:tc>
        <w:tc>
          <w:tcPr>
            <w:tcW w:type="dxa" w:w="4896"/>
            <w:shd w:fill="F8FAFC"/>
            <w:tcMar>
              <w:top w:w="80" w:type="dxa"/>
              <w:bottom w:w="80" w:type="dxa"/>
              <w:left w:w="120" w:type="dxa"/>
              <w:right w:w="120" w:type="dxa"/>
            </w:tcMar>
            <w:tcBorders>
              <w:bottom w:val="single" w:sz="4" w:space="0" w:color="E2E8F0"/>
              <w:top w:val="none"/>
              <w:left w:val="none"/>
              <w:right w:val="none"/>
            </w:tcBorders>
          </w:tcPr>
          <w:p>
            <w:pPr>
              <w:spacing w:after="0"/>
            </w:pPr>
            <w:r>
              <w:rPr>
                <w:rFonts w:ascii="Helvetica" w:hAnsi="Helvetica"/>
                <w:color w:val="2C3E50"/>
                <w:sz w:val="19"/>
              </w:rPr>
              <w:t>Continuous estate compliance oversight, regulatory audits, filing reserves.</w:t>
            </w:r>
          </w:p>
        </w:tc>
        <w:tc>
          <w:tcPr>
            <w:tcW w:type="dxa" w:w="1872"/>
            <w:shd w:fill="F8FAFC"/>
            <w:tcMar>
              <w:top w:w="80" w:type="dxa"/>
              <w:bottom w:w="80" w:type="dxa"/>
              <w:left w:w="120" w:type="dxa"/>
              <w:right w:w="120" w:type="dxa"/>
            </w:tcMar>
            <w:tcBorders>
              <w:bottom w:val="single" w:sz="4" w:space="0" w:color="E2E8F0"/>
              <w:top w:val="none"/>
              <w:left w:val="none"/>
              <w:right w:val="none"/>
            </w:tcBorders>
          </w:tcPr>
          <w:p>
            <w:pPr>
              <w:spacing w:after="0"/>
              <w:jc w:val="right"/>
            </w:pPr>
            <w:r>
              <w:rPr>
                <w:rFonts w:ascii="Helvetica" w:hAnsi="Helvetica"/>
                <w:color w:val="2C3E50"/>
                <w:sz w:val="19"/>
              </w:rPr>
              <w:t>30,000</w:t>
            </w:r>
          </w:p>
        </w:tc>
      </w:tr>
      <w:tr>
        <w:tc>
          <w:tcPr>
            <w:tcW w:type="dxa" w:w="2592"/>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pPr>
            <w:r>
              <w:rPr>
                <w:rFonts w:ascii="Helvetica" w:hAnsi="Helvetica"/>
                <w:b/>
                <w:color w:val="0F2537"/>
                <w:sz w:val="20"/>
              </w:rPr>
              <w:t>Total Monthly Operating Cost</w:t>
            </w:r>
          </w:p>
        </w:tc>
        <w:tc>
          <w:tcPr>
            <w:tcW w:type="dxa" w:w="4896"/>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pPr>
            <w:r>
              <w:rPr>
                <w:rFonts w:ascii="Helvetica" w:hAnsi="Helvetica"/>
                <w:b/>
                <w:color w:val="0F2537"/>
                <w:sz w:val="20"/>
              </w:rPr>
              <w:t>Comprehensive Phase 1 Projected Running Expenses</w:t>
            </w:r>
          </w:p>
        </w:tc>
        <w:tc>
          <w:tcPr>
            <w:tcW w:type="dxa" w:w="1872"/>
            <w:shd w:fill="F1F5F9"/>
            <w:tcMar>
              <w:top w:w="100" w:type="dxa"/>
              <w:bottom w:w="100" w:type="dxa"/>
              <w:left w:w="120" w:type="dxa"/>
              <w:right w:w="120" w:type="dxa"/>
            </w:tcMar>
            <w:tcBorders>
              <w:top w:val="single" w:sz="12" w:space="0" w:color="CBD5E1"/>
              <w:bottom w:val="single" w:sz="12" w:space="0" w:color="CBD5E1"/>
              <w:left w:val="none"/>
              <w:right w:val="none"/>
            </w:tcBorders>
          </w:tcPr>
          <w:p>
            <w:pPr>
              <w:spacing w:after="0"/>
              <w:jc w:val="right"/>
            </w:pPr>
            <w:r>
              <w:rPr>
                <w:rFonts w:ascii="Helvetica" w:hAnsi="Helvetica"/>
                <w:b/>
                <w:color w:val="0F2537"/>
                <w:sz w:val="20"/>
              </w:rPr>
              <w:t>420,000</w:t>
            </w:r>
          </w:p>
        </w:tc>
      </w:tr>
    </w:tbl>
    <w:p>
      <w:pPr>
        <w:keepNext/>
        <w:spacing w:before="480" w:after="240"/>
        <w:pBdr>
          <w:bottom w:val="single" w:sz="8" w:space="4" w:color="CBD5E1"/>
        </w:pBdr>
      </w:pPr>
      <w:r>
        <w:rPr>
          <w:rFonts w:ascii="Helvetica" w:hAnsi="Helvetica"/>
          <w:b/>
          <w:color w:val="0F2537"/>
          <w:sz w:val="28"/>
        </w:rPr>
        <w:t>5. Long-Term Monetization Blueprint</w:t>
      </w:r>
    </w:p>
    <w:p>
      <w:pPr>
        <w:spacing w:after="160" w:line="288" w:lineRule="auto"/>
      </w:pPr>
      <w:r>
        <w:rPr>
          <w:rFonts w:ascii="Helvetica" w:hAnsi="Helvetica"/>
          <w:color w:val="2C3E50"/>
          <w:sz w:val="21"/>
        </w:rPr>
        <w:t>As the platform increases density configuration across major metropolitan corridors, Commute Service is positionally primed to scale higher-margin utility components into the ecosystem framework:</w:t>
      </w:r>
    </w:p>
    <w:p>
      <w:pPr>
        <w:pStyle w:val="ListBullet"/>
        <w:spacing w:after="80" w:line="276" w:lineRule="auto"/>
      </w:pPr>
      <w:r>
        <w:rPr>
          <w:rFonts w:ascii="Helvetica" w:hAnsi="Helvetica"/>
          <w:b/>
          <w:color w:val="2C3E50"/>
          <w:sz w:val="21"/>
        </w:rPr>
        <w:t xml:space="preserve">Premium Subscriptions: </w:t>
      </w:r>
      <w:r>
        <w:rPr>
          <w:rFonts w:ascii="Helvetica" w:hAnsi="Helvetica"/>
          <w:color w:val="2C3E50"/>
          <w:sz w:val="21"/>
        </w:rPr>
        <w:t>Tiered monthly route passes providing guaranteed premium allocations and preferred locked scheduling parameters.</w:t>
      </w:r>
    </w:p>
    <w:p>
      <w:pPr>
        <w:pStyle w:val="ListBullet"/>
        <w:spacing w:after="80" w:line="276" w:lineRule="auto"/>
      </w:pPr>
      <w:r>
        <w:rPr>
          <w:rFonts w:ascii="Helvetica" w:hAnsi="Helvetica"/>
          <w:b/>
          <w:color w:val="2C3E50"/>
          <w:sz w:val="21"/>
        </w:rPr>
        <w:t xml:space="preserve">Demographic Formations: </w:t>
      </w:r>
      <w:r>
        <w:rPr>
          <w:rFonts w:ascii="Helvetica" w:hAnsi="Helvetica"/>
          <w:color w:val="2C3E50"/>
          <w:sz w:val="21"/>
        </w:rPr>
        <w:t>Demographic-curated security models, including specialized, strictly audited ladies-only commute clusters.</w:t>
      </w:r>
    </w:p>
    <w:p>
      <w:pPr>
        <w:pStyle w:val="ListBullet"/>
        <w:spacing w:after="80" w:line="276" w:lineRule="auto"/>
      </w:pPr>
      <w:r>
        <w:rPr>
          <w:rFonts w:ascii="Helvetica" w:hAnsi="Helvetica"/>
          <w:b/>
          <w:color w:val="2C3E50"/>
          <w:sz w:val="21"/>
        </w:rPr>
        <w:t xml:space="preserve">Corporate Commute Agreements: </w:t>
      </w:r>
      <w:r>
        <w:rPr>
          <w:rFonts w:ascii="Helvetica" w:hAnsi="Helvetica"/>
          <w:color w:val="2C3E50"/>
          <w:sz w:val="21"/>
        </w:rPr>
        <w:t>Enterprise logistics packages arranging automated employee multi-passenger transfers directly to core commercial hubs.</w:t>
      </w:r>
    </w:p>
    <w:p>
      <w:pPr>
        <w:pStyle w:val="ListBullet"/>
        <w:spacing w:after="80" w:line="276" w:lineRule="auto"/>
      </w:pPr>
      <w:r>
        <w:rPr>
          <w:rFonts w:ascii="Helvetica" w:hAnsi="Helvetica"/>
          <w:b/>
          <w:color w:val="2C3E50"/>
          <w:sz w:val="21"/>
        </w:rPr>
        <w:t xml:space="preserve">Hyper-Local Visual Placements: </w:t>
      </w:r>
      <w:r>
        <w:rPr>
          <w:rFonts w:ascii="Helvetica" w:hAnsi="Helvetica"/>
          <w:color w:val="2C3E50"/>
          <w:sz w:val="21"/>
        </w:rPr>
        <w:t>Targeted contextual programmatic platform advertising targeting verified high-value residential homeowners.</w:t>
      </w:r>
    </w:p>
    <w:p>
      <w:pPr>
        <w:pStyle w:val="ListBullet"/>
        <w:spacing w:after="80" w:line="276" w:lineRule="auto"/>
      </w:pPr>
      <w:r>
        <w:rPr>
          <w:rFonts w:ascii="Helvetica" w:hAnsi="Helvetica"/>
          <w:b/>
          <w:color w:val="2C3E50"/>
          <w:sz w:val="21"/>
        </w:rPr>
        <w:t xml:space="preserve">Integrated Smart Logistics: </w:t>
      </w:r>
      <w:r>
        <w:rPr>
          <w:rFonts w:ascii="Helvetica" w:hAnsi="Helvetica"/>
          <w:color w:val="2C3E50"/>
          <w:sz w:val="21"/>
        </w:rPr>
        <w:t>High-efficiency smart parcel distribution utilizes vacant trunk volumes for last-mile intra-estate fulfillment.</w:t>
      </w:r>
    </w:p>
    <w:p>
      <w:pPr>
        <w:keepNext/>
        <w:spacing w:before="480" w:after="240"/>
        <w:pBdr>
          <w:bottom w:val="single" w:sz="8" w:space="4" w:color="CBD5E1"/>
        </w:pBdr>
      </w:pPr>
      <w:r>
        <w:rPr>
          <w:rFonts w:ascii="Helvetica" w:hAnsi="Helvetica"/>
          <w:b/>
          <w:color w:val="0F2537"/>
          <w:sz w:val="28"/>
        </w:rPr>
        <w:t>6. Interactive Application Demo</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single" w:sz="4" w:space="0" w:color="BFDBFE"/>
              <w:left w:val="single" w:sz="4" w:space="0" w:color="BFDBFE"/>
              <w:bottom w:val="single" w:sz="4" w:space="0" w:color="BFDBFE"/>
              <w:right w:val="single" w:sz="4" w:space="0" w:color="BFDBFE"/>
            </w:tcBorders>
          </w:tcPr>
          <w:p>
            <w:pPr>
              <w:spacing w:after="80"/>
            </w:pPr>
            <w:r>
              <w:rPr>
                <w:rFonts w:ascii="Helvetica" w:hAnsi="Helvetica"/>
                <w:b/>
                <w:color w:val="1E40AF"/>
                <w:sz w:val="21"/>
              </w:rPr>
              <w:t>Functional Architecture Verification Platform:</w:t>
            </w:r>
          </w:p>
          <w:p>
            <w:pPr>
              <w:spacing w:after="120" w:line="276" w:lineRule="auto"/>
            </w:pPr>
            <w:r>
              <w:rPr>
                <w:rFonts w:ascii="Helvetica" w:hAnsi="Helvetica"/>
                <w:color w:val="2C3E50"/>
                <w:sz w:val="20"/>
              </w:rPr>
              <w:t>A completely functional interactive demonstration illustrating the user flow architecture—incorporating custom security onboarding setups, verified estate network triggers, and spatial route matching configurations—is live and accessible via:</w:t>
            </w:r>
          </w:p>
          <w:p>
            <w:pPr>
              <w:spacing w:after="0"/>
            </w:pPr>
            <w:r>
              <w:rPr>
                <w:rFonts w:ascii="Courier New" w:hAnsi="Courier New"/>
                <w:b/>
                <w:color w:val="2563EB"/>
                <w:sz w:val="21"/>
              </w:rPr>
              <w:t>https://commute-app-demo.vercel.app</w:t>
            </w:r>
          </w:p>
        </w:tc>
      </w:tr>
    </w:tbl>
    <w:p>
      <w:pPr>
        <w:keepNext/>
        <w:spacing w:before="480" w:after="240"/>
        <w:pBdr>
          <w:bottom w:val="single" w:sz="8" w:space="4" w:color="CBD5E1"/>
        </w:pBdr>
      </w:pPr>
      <w:r>
        <w:rPr>
          <w:rFonts w:ascii="Helvetica" w:hAnsi="Helvetica"/>
          <w:b/>
          <w:color w:val="0F2537"/>
          <w:sz w:val="28"/>
        </w:rPr>
        <w:t>7. Strategic Investment Framework</w:t>
      </w:r>
    </w:p>
    <w:p>
      <w:pPr>
        <w:spacing w:after="160" w:line="288" w:lineRule="auto"/>
      </w:pPr>
      <w:r>
        <w:rPr>
          <w:rFonts w:ascii="Helvetica" w:hAnsi="Helvetica"/>
          <w:color w:val="2C3E50"/>
          <w:sz w:val="21"/>
        </w:rPr>
        <w:t>The foundational equity distributions, validation capital tranches, and operational mentorship configurations remain highly flexible and structural. Commute Service is actively targeting investment partners who provide strategic acceleration capability, institutional reach, and multi-market scaling expertise alongside financial injections.</w:t>
      </w:r>
    </w:p>
    <w:p>
      <w:pPr>
        <w:spacing w:after="160" w:line="288" w:lineRule="auto"/>
      </w:pPr>
      <w:r>
        <w:rPr>
          <w:rFonts w:ascii="Helvetica" w:hAnsi="Helvetica"/>
          <w:color w:val="2C3E50"/>
          <w:sz w:val="21"/>
        </w:rPr>
        <w:t>Our immediate near-term operational mandate remains absolute structural proof-of-concept validation inside the Lugbe corridor, finalizing a repeatable blueprints network engineered for efficient deployment across the wider Federal Capital Territory.</w:t>
      </w:r>
    </w:p>
    <w:p>
      <w:pPr>
        <w:spacing w:before="640"/>
      </w:pPr>
    </w:p>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after="40"/>
            </w:pPr>
            <w:r>
              <w:rPr>
                <w:rFonts w:ascii="Helvetica" w:hAnsi="Helvetica"/>
                <w:color w:val="64748B"/>
                <w:sz w:val="18"/>
              </w:rPr>
              <w:t>Prepared for consideration by:</w:t>
            </w:r>
          </w:p>
          <w:p>
            <w:pPr>
              <w:spacing w:after="0"/>
            </w:pPr>
            <w:r>
              <w:rPr>
                <w:rFonts w:ascii="Helvetica" w:hAnsi="Helvetica"/>
                <w:b/>
                <w:color w:val="0F2537"/>
                <w:sz w:val="21"/>
              </w:rPr>
              <w:t>Benedicta Nwaefido</w:t>
            </w:r>
          </w:p>
        </w:tc>
        <w:tc>
          <w:tcPr>
            <w:tcW w:type="dxa" w:w="4680"/>
            <w:tcBorders>
              <w:top w:val="none"/>
              <w:left w:val="none"/>
              <w:bottom w:val="none"/>
              <w:right w:val="none"/>
            </w:tcBorders>
          </w:tcPr>
          <w:p>
            <w:pPr>
              <w:spacing w:after="40"/>
              <w:jc w:val="right"/>
            </w:pPr>
            <w:r>
              <w:rPr>
                <w:rFonts w:ascii="Helvetica" w:hAnsi="Helvetica"/>
                <w:color w:val="64748B"/>
                <w:sz w:val="18"/>
              </w:rPr>
              <w:t>Authorized Corporate Proposal:</w:t>
            </w:r>
          </w:p>
          <w:p>
            <w:pPr>
              <w:spacing w:after="0"/>
              <w:jc w:val="right"/>
            </w:pPr>
            <w:r>
              <w:rPr>
                <w:rFonts w:ascii="Helvetica" w:hAnsi="Helvetica"/>
                <w:b/>
                <w:color w:val="0F2537"/>
                <w:sz w:val="21"/>
              </w:rPr>
              <w:t>Michael Everest Nwaohiri</w:t>
            </w:r>
          </w:p>
          <w:p>
            <w:pPr>
              <w:spacing w:after="0"/>
              <w:jc w:val="right"/>
            </w:pPr>
            <w:r>
              <w:rPr>
                <w:rFonts w:ascii="Helvetica" w:hAnsi="Helvetica"/>
                <w:color w:val="64748B"/>
                <w:sz w:val="18"/>
              </w:rPr>
              <w:t>Founder &amp; Tech Lead, Commute Service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