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from-question-to-evidence"/>
    <w:p>
      <w:pPr>
        <w:pStyle w:val="Heading1"/>
      </w:pPr>
      <w:r>
        <w:t xml:space="preserve">1. From Question to Evidence</w:t>
      </w:r>
    </w:p>
    <w:p>
      <w:pPr>
        <w:pStyle w:val="FirstParagraph"/>
      </w:pPr>
      <w:r>
        <w:t xml:space="preserve">Nearly a decade ago, we began writing this book. We already had a workflow in mind. It began with the foundations of a research project: a bounded question, explicit concepts, and a record of the assumptions that shaped the inquiry. It then followed evidence through collection, structure, preservation, analysis, and a reproducible path from source to claim.</w:t>
      </w:r>
    </w:p>
    <w:p>
      <w:pPr>
        <w:pStyle w:val="BodyText"/>
      </w:pPr>
      <w:r>
        <w:t xml:space="preserve">The information environment was already expanding faster than one researcher could absorb it. Search engines, digital archives, smartphones, and cloud storage made acquisition easier, but they did not make a large and heterogeneous corpus easier to reason about. The workflow exceeded the practical capacity of the available tools. What we were missing was processing power.</w:t>
      </w:r>
    </w:p>
    <w:p>
      <w:pPr>
        <w:pStyle w:val="BodyText"/>
      </w:pPr>
      <w:r>
        <w:t xml:space="preserve">The recent arrival of large language models changed that constraint. They can propose concepts, generate search terms, compare excerpts, trace patterns, and expose gaps across a body of material in minutes. Yet power is not judgment. The same systems can invent a reference, erase a minority position, disclose protected material, or present an uncertain inference as settled fact. The method came first. Large language models now make parts of it executable at a scale we could only describe when the project began.</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new synthesis chapter examines how review articles and meta-analyses are becoming open, versioned research objects. It also shows how reusable skills, bounded agents, and versioned project context can support discovery, gap analysis, methodology, and collection without transferring scholarly authority to the system. The first</w:t>
      </w:r>
      <w:r>
        <w:t xml:space="preserve"> </w:t>
      </w:r>
      <w:hyperlink r:id="rId9">
        <w:r>
          <w:rPr>
            <w:rStyle w:val="Hyperlink"/>
          </w:rPr>
          <w:t xml:space="preserve">Skills and Agents Lab</w:t>
        </w:r>
      </w:hyperlink>
      <w:r>
        <w:t xml:space="preserve"> </w:t>
      </w:r>
      <w:r>
        <w:t xml:space="preserve">release turns that argument into an inspectable literature-discovery skill, a read-only scout agent, a context template, synthetic benchmarks, and a public revision route. A second bridge chapter shows how AI can accelerate the construction of event databases while preserving provenance, validation, and causal discipline. A third complete module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10"/>
    <w:bookmarkStart w:id="18" w:name="origins-and-purpose"/>
    <w:p>
      <w:pPr>
        <w:pStyle w:val="Heading1"/>
      </w:pPr>
      <w:r>
        <w:t xml:space="preserve">2. Origins and Purpose</w:t>
      </w:r>
    </w:p>
    <w:bookmarkStart w:id="11" w:name="the-first-version"/>
    <w:p>
      <w:pPr>
        <w:pStyle w:val="Heading2"/>
      </w:pPr>
      <w:r>
        <w:t xml:space="preserve">2.1 The First Version</w:t>
      </w:r>
    </w:p>
    <w:p>
      <w:pPr>
        <w:pStyle w:val="FirstParagraph"/>
      </w:pPr>
      <w:r>
        <w:t xml:space="preserve">The original project began nearly a decade ago with a practical frustration. We could see the workflow a qualitative project required, from its conceptual foundations through collection, structure, preservation, analysis, and a reproducible path from evidence to claim. But the available tools could manage only fragments of that chain.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1"/>
    <w:bookmarkStart w:id="14" w:name="the-new-pressure"/>
    <w:p>
      <w:pPr>
        <w:pStyle w:val="Heading2"/>
      </w:pPr>
      <w:r>
        <w:t xml:space="preserve">2.2 The New Pressure</w:t>
      </w:r>
    </w:p>
    <w:p>
      <w:pPr>
        <w:pStyle w:val="FirstParagraph"/>
      </w:pPr>
      <w:r>
        <w:t xml:space="preserve">Large language models supply some of the processing power the original workflow lacked. They change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2"/>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4"/>
    <w:bookmarkStart w:id="15"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5"/>
    <w:bookmarkStart w:id="16"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6"/>
    <w:bookmarkStart w:id="17"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7"/>
    <w:bookmarkEnd w:id="18"/>
    <w:bookmarkStart w:id="36" w:name="the-evidence-map"/>
    <w:p>
      <w:pPr>
        <w:pStyle w:val="Heading1"/>
      </w:pPr>
      <w:r>
        <w:t xml:space="preserve">3. The Evidence Map</w:t>
      </w:r>
    </w:p>
    <w:bookmarkStart w:id="22"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9"/>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2"/>
    <w:bookmarkStart w:id="28"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Start w:id="27" w:name="seven-stage-pathway"/>
    <w:p>
      <w:pPr>
        <w:pStyle w:val="Heading3"/>
      </w:pPr>
      <w:r>
        <w:t xml:space="preserve">3.2.1 Seven-stage pathway</w:t>
      </w:r>
    </w:p>
    <w:tbl>
      <w:tblPr>
        <w:tblStyle w:val="Table"/>
        <w:tblW w:type="pct" w:w="5000"/>
        <w:tblLayout w:type="fixed"/>
        <w:tblLook w:firstRow="0" w:lastRow="0" w:firstColumn="0" w:lastColumn="0" w:noHBand="0" w:noVBand="0" w:val="0000"/>
      </w:tblPr>
      <w:tblGrid>
        <w:gridCol w:w="7920"/>
      </w:tblGrid>
      <w:tr>
        <w:tc>
          <w:tcPr/>
          <w:bookmarkStart w:id="26" w:name="fig-evidence-map-pathway"/>
          <w:p>
            <w:pPr>
              <w:pStyle w:val="Compact"/>
              <w:jc w:val="center"/>
            </w:pPr>
            <w:r>
              <w:drawing>
                <wp:inline>
                  <wp:extent cx="5334000" cy="2286000"/>
                  <wp:effectExtent b="0" l="0" r="0" t="0"/>
                  <wp:docPr descr="" title="" id="24" name="Picture"/>
                  <a:graphic>
                    <a:graphicData uri="http://schemas.openxmlformats.org/drawingml/2006/picture">
                      <pic:pic>
                        <pic:nvPicPr>
                          <pic:cNvPr descr="content/../assets/evidence-map-pathway.png" id="25" name="Picture"/>
                          <pic:cNvPicPr>
                            <a:picLocks noChangeArrowheads="1" noChangeAspect="1"/>
                          </pic:cNvPicPr>
                        </pic:nvPicPr>
                        <pic:blipFill>
                          <a:blip r:embed="rId23"/>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The evidence map develops through seven ordered but revisable stages. Discoveries can reopen an earlier decision.</w:t>
            </w:r>
          </w:p>
          <w:bookmarkEnd w:id="26"/>
        </w:tc>
      </w:tr>
    </w:tbl>
    <w:bookmarkEnd w:id="27"/>
    <w:bookmarkEnd w:id="28"/>
    <w:bookmarkStart w:id="33"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9"/>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31"/>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33"/>
    <w:bookmarkStart w:id="34"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34"/>
    <w:bookmarkStart w:id="35"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35"/>
    <w:bookmarkEnd w:id="36"/>
    <w:bookmarkStart w:id="45" w:name="stage-1-frame-the-question"/>
    <w:p>
      <w:pPr>
        <w:pStyle w:val="Heading1"/>
      </w:pPr>
      <w:r>
        <w:t xml:space="preserve">4. Stage 1: Frame the Question</w:t>
      </w:r>
    </w:p>
    <w:bookmarkStart w:id="37"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7"/>
    <w:bookmarkStart w:id="38"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8"/>
    <w:bookmarkStart w:id="39"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9"/>
    <w:bookmarkStart w:id="40"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40"/>
    <w:bookmarkStart w:id="41"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41"/>
    <w:bookmarkStart w:id="42"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42"/>
    <w:bookmarkStart w:id="43"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43"/>
    <w:bookmarkStart w:id="44"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44"/>
    <w:bookmarkEnd w:id="45"/>
    <w:bookmarkStart w:id="55" w:name="stage-2-decompose-the-question"/>
    <w:p>
      <w:pPr>
        <w:pStyle w:val="Heading1"/>
      </w:pPr>
      <w:r>
        <w:t xml:space="preserve">5. Stage 2: Decompose the Question</w:t>
      </w:r>
    </w:p>
    <w:bookmarkStart w:id="46"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6"/>
    <w:bookmarkStart w:id="47"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7"/>
    <w:bookmarkStart w:id="49"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8"/>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9"/>
    <w:bookmarkStart w:id="50"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50"/>
    <w:bookmarkStart w:id="51"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51"/>
    <w:bookmarkStart w:id="52"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52"/>
    <w:bookmarkStart w:id="53"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53"/>
    <w:bookmarkStart w:id="54"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54"/>
    <w:bookmarkEnd w:id="55"/>
    <w:bookmarkStart w:id="65" w:name="stage-3-map-source-families"/>
    <w:p>
      <w:pPr>
        <w:pStyle w:val="Heading1"/>
      </w:pPr>
      <w:r>
        <w:t xml:space="preserve">6. Stage 3: Map Source Families</w:t>
      </w:r>
    </w:p>
    <w:bookmarkStart w:id="56"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6"/>
    <w:bookmarkStart w:id="57"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7"/>
    <w:bookmarkStart w:id="59"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8"/>
      </w:r>
      <w:r>
        <w:t xml:space="preserve"> </w:t>
      </w:r>
      <w:r>
        <w:t xml:space="preserve">That transparency permits a researcher to map the system as a source family rather than treat each row as an unmediated event.</w:t>
      </w:r>
    </w:p>
    <w:bookmarkEnd w:id="59"/>
    <w:bookmarkStart w:id="60"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60"/>
    <w:bookmarkStart w:id="61"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61"/>
    <w:bookmarkStart w:id="62"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62"/>
    <w:bookmarkStart w:id="63"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63"/>
    <w:bookmarkStart w:id="64"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64"/>
    <w:bookmarkEnd w:id="65"/>
    <w:bookmarkStart w:id="75" w:name="stage-4-search-iteratively"/>
    <w:p>
      <w:pPr>
        <w:pStyle w:val="Heading1"/>
      </w:pPr>
      <w:r>
        <w:t xml:space="preserve">7. Stage 4: Search Iteratively</w:t>
      </w:r>
    </w:p>
    <w:bookmarkStart w:id="66"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6"/>
    <w:bookmarkStart w:id="68"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7"/>
      </w:r>
      <w:r>
        <w:t xml:space="preserve"> </w:t>
      </w:r>
      <w:r>
        <w:t xml:space="preserve">Qualitative projects can adapt this discipline without claiming that every search can be reproduced exactly.</w:t>
      </w:r>
    </w:p>
    <w:bookmarkEnd w:id="68"/>
    <w:bookmarkStart w:id="69"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9"/>
    <w:bookmarkStart w:id="70"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70"/>
    <w:bookmarkStart w:id="71"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71"/>
    <w:bookmarkStart w:id="72"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72"/>
    <w:bookmarkStart w:id="73"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73"/>
    <w:bookmarkStart w:id="74"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74"/>
    <w:bookmarkEnd w:id="75"/>
    <w:bookmarkStart w:id="86" w:name="stage-5-evaluate-evidence"/>
    <w:p>
      <w:pPr>
        <w:pStyle w:val="Heading1"/>
      </w:pPr>
      <w:r>
        <w:t xml:space="preserve">8. Stage 5: Evaluate Evidence</w:t>
      </w:r>
    </w:p>
    <w:bookmarkStart w:id="76"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6"/>
    <w:bookmarkStart w:id="77"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7"/>
    <w:bookmarkStart w:id="80"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8"/>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9"/>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80"/>
    <w:bookmarkStart w:id="81"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81"/>
    <w:bookmarkStart w:id="82"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82"/>
    <w:bookmarkStart w:id="83"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83"/>
    <w:bookmarkStart w:id="84"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84"/>
    <w:bookmarkStart w:id="85"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85"/>
    <w:bookmarkEnd w:id="86"/>
    <w:bookmarkStart w:id="100" w:name="stage-6-test-coverage"/>
    <w:p>
      <w:pPr>
        <w:pStyle w:val="Heading1"/>
      </w:pPr>
      <w:r>
        <w:t xml:space="preserve">9. Stage 6: Test Coverage</w:t>
      </w:r>
    </w:p>
    <w:bookmarkStart w:id="87"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7"/>
    <w:bookmarkStart w:id="93"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8"/>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91"/>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93"/>
    <w:bookmarkStart w:id="94"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94"/>
    <w:bookmarkStart w:id="95"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95"/>
    <w:bookmarkStart w:id="96"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6"/>
    <w:bookmarkStart w:id="97"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7"/>
    <w:bookmarkStart w:id="98"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8"/>
    <w:bookmarkStart w:id="99"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9"/>
    <w:bookmarkEnd w:id="100"/>
    <w:bookmarkStart w:id="109" w:name="stage-7-produce-the-evidence-map"/>
    <w:p>
      <w:pPr>
        <w:pStyle w:val="Heading1"/>
      </w:pPr>
      <w:r>
        <w:t xml:space="preserve">10. Stage 7: Produce the Evidence Map</w:t>
      </w:r>
    </w:p>
    <w:bookmarkStart w:id="101"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101"/>
    <w:bookmarkStart w:id="102"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102"/>
    <w:bookmarkStart w:id="103"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103"/>
    <w:bookmarkStart w:id="104"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104"/>
    <w:bookmarkStart w:id="105"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105"/>
    <w:bookmarkStart w:id="106"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6"/>
    <w:bookmarkStart w:id="107"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7"/>
    <w:bookmarkStart w:id="108"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8"/>
    <w:bookmarkEnd w:id="109"/>
    <w:bookmarkStart w:id="121" w:name="literature-as-evidence"/>
    <w:p>
      <w:pPr>
        <w:pStyle w:val="Heading1"/>
      </w:pPr>
      <w:r>
        <w:t xml:space="preserve">11. Literature as Evidence</w:t>
      </w:r>
    </w:p>
    <w:bookmarkStart w:id="113"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10"/>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13"/>
    <w:bookmarkStart w:id="114"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14"/>
    <w:bookmarkStart w:id="117" w:name="the-six-stages"/>
    <w:p>
      <w:pPr>
        <w:pStyle w:val="Heading2"/>
      </w:pPr>
      <w:r>
        <w:t xml:space="preserve">11.3 The Six Stages</w:t>
      </w:r>
    </w:p>
    <w:p>
      <w:pPr>
        <w:pStyle w:val="FirstParagraph"/>
      </w:pPr>
      <w:r>
        <w:t xml:space="preserve">The first stage defines the review.</w:t>
      </w:r>
      <w:r>
        <w:rPr>
          <w:rStyle w:val="FootnoteReference"/>
        </w:rPr>
        <w:footnoteReference w:id="115"/>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7"/>
    <w:bookmarkStart w:id="118"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8"/>
    <w:bookmarkStart w:id="119"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9"/>
    <w:bookmarkStart w:id="120"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20"/>
    <w:bookmarkEnd w:id="121"/>
    <w:bookmarkStart w:id="131" w:name="stage-1-define-the-review"/>
    <w:p>
      <w:pPr>
        <w:pStyle w:val="Heading1"/>
      </w:pPr>
      <w:r>
        <w:t xml:space="preserve">12. Stage 1: Define the Review</w:t>
      </w:r>
    </w:p>
    <w:bookmarkStart w:id="122"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22"/>
    <w:bookmarkStart w:id="124" w:name="learn-7"/>
    <w:p>
      <w:pPr>
        <w:pStyle w:val="Heading2"/>
      </w:pPr>
      <w:r>
        <w:t xml:space="preserve">12.2 Learn</w:t>
      </w:r>
    </w:p>
    <w:p>
      <w:pPr>
        <w:pStyle w:val="FirstParagraph"/>
      </w:pPr>
      <w:r>
        <w:t xml:space="preserve">Begin by naming the review’s function.</w:t>
      </w:r>
      <w:r>
        <w:rPr>
          <w:rStyle w:val="FootnoteReference"/>
        </w:rPr>
        <w:footnoteReference w:id="123"/>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24"/>
    <w:bookmarkStart w:id="125"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25"/>
    <w:bookmarkStart w:id="126"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6"/>
    <w:bookmarkStart w:id="127"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7"/>
    <w:bookmarkStart w:id="128"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8"/>
    <w:bookmarkStart w:id="129"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9"/>
    <w:bookmarkStart w:id="130"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30"/>
    <w:bookmarkEnd w:id="131"/>
    <w:bookmarkStart w:id="141" w:name="stage-2-map-concepts-and-vocabulary"/>
    <w:p>
      <w:pPr>
        <w:pStyle w:val="Heading1"/>
      </w:pPr>
      <w:r>
        <w:t xml:space="preserve">13. Stage 2: Map Concepts and Vocabulary</w:t>
      </w:r>
    </w:p>
    <w:bookmarkStart w:id="132"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32"/>
    <w:bookmarkStart w:id="134"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33"/>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34"/>
    <w:bookmarkStart w:id="135"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35"/>
    <w:bookmarkStart w:id="136"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6"/>
    <w:bookmarkStart w:id="137"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7"/>
    <w:bookmarkStart w:id="138"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8"/>
    <w:bookmarkStart w:id="139"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9"/>
    <w:bookmarkStart w:id="140"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40"/>
    <w:bookmarkEnd w:id="141"/>
    <w:bookmarkStart w:id="154" w:name="stage-3-discover-through-multiple-routes"/>
    <w:p>
      <w:pPr>
        <w:pStyle w:val="Heading1"/>
      </w:pPr>
      <w:r>
        <w:t xml:space="preserve">14. Stage 3: Discover Through Multiple Routes</w:t>
      </w:r>
    </w:p>
    <w:bookmarkStart w:id="142"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42"/>
    <w:bookmarkStart w:id="147"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43"/>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45"/>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7"/>
    <w:bookmarkStart w:id="148"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8"/>
    <w:bookmarkStart w:id="149"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9"/>
    <w:bookmarkStart w:id="150"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50"/>
    <w:bookmarkStart w:id="151"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51"/>
    <w:bookmarkStart w:id="152"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52"/>
    <w:bookmarkStart w:id="153"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53"/>
    <w:bookmarkEnd w:id="154"/>
    <w:bookmarkStart w:id="163" w:name="stage-4-evaluate-sources-and-claims"/>
    <w:p>
      <w:pPr>
        <w:pStyle w:val="Heading1"/>
      </w:pPr>
      <w:r>
        <w:t xml:space="preserve">15. Stage 4: Evaluate Sources and Claims</w:t>
      </w:r>
    </w:p>
    <w:bookmarkStart w:id="155"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55"/>
    <w:bookmarkStart w:id="156"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6"/>
    <w:bookmarkStart w:id="157"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7"/>
    <w:bookmarkStart w:id="158"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8"/>
    <w:bookmarkStart w:id="159"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9"/>
    <w:bookmarkStart w:id="160"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60"/>
    <w:bookmarkStart w:id="161"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61"/>
    <w:bookmarkStart w:id="162"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62"/>
    <w:bookmarkEnd w:id="163"/>
    <w:bookmarkStart w:id="172" w:name="stage-5-read-annotate-and-compare"/>
    <w:p>
      <w:pPr>
        <w:pStyle w:val="Heading1"/>
      </w:pPr>
      <w:r>
        <w:t xml:space="preserve">16. Stage 5: Read, Annotate, and Compare</w:t>
      </w:r>
    </w:p>
    <w:bookmarkStart w:id="164"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64"/>
    <w:bookmarkStart w:id="165"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65"/>
    <w:bookmarkStart w:id="166"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6"/>
    <w:bookmarkStart w:id="167"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7"/>
    <w:bookmarkStart w:id="168"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8"/>
    <w:bookmarkStart w:id="169"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9"/>
    <w:bookmarkStart w:id="170"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70"/>
    <w:bookmarkStart w:id="171"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71"/>
    <w:bookmarkEnd w:id="172"/>
    <w:bookmarkStart w:id="182" w:name="stage-6-synthesize-audit-and-stop"/>
    <w:p>
      <w:pPr>
        <w:pStyle w:val="Heading1"/>
      </w:pPr>
      <w:r>
        <w:t xml:space="preserve">17. Stage 6: Synthesize, Audit, and Stop</w:t>
      </w:r>
    </w:p>
    <w:bookmarkStart w:id="174"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73"/>
      </w:r>
      <w:r>
        <w:t xml:space="preserve"> </w:t>
      </w:r>
      <w:r>
        <w:t xml:space="preserve">Synthesize what the corpus can support. Audit how the corpus was assembled and represented. State why searching and reading can stop for the present purpose.</w:t>
      </w:r>
    </w:p>
    <w:bookmarkEnd w:id="174"/>
    <w:bookmarkStart w:id="175"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75"/>
    <w:bookmarkStart w:id="176"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6"/>
    <w:bookmarkStart w:id="177"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7"/>
    <w:bookmarkStart w:id="178"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8"/>
    <w:bookmarkStart w:id="179"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9"/>
    <w:bookmarkStart w:id="180"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80"/>
    <w:bookmarkStart w:id="181"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81"/>
    <w:bookmarkEnd w:id="182"/>
    <w:bookmarkStart w:id="230" w:name="X8b4529a10d3ba454a8d9dd74d260212e93d1d6f"/>
    <w:p>
      <w:pPr>
        <w:pStyle w:val="Heading1"/>
      </w:pPr>
      <w:r>
        <w:t xml:space="preserve">18. Review Articles and Meta-Analysis in Transition</w:t>
      </w:r>
    </w:p>
    <w:bookmarkStart w:id="183" w:name="orientation-13"/>
    <w:p>
      <w:pPr>
        <w:pStyle w:val="Heading2"/>
      </w:pPr>
      <w:r>
        <w:t xml:space="preserve">18.1 Orientation</w:t>
      </w:r>
    </w:p>
    <w:p>
      <w:pPr>
        <w:pStyle w:val="FirstParagraph"/>
      </w:pPr>
      <w:r>
        <w:t xml:space="preserve">A review article once appeared to be a retrospective product. Its authors surveyed an established literature, organized its main findings, and published a settled account. That model still has value, but it no longer describes the entire task. Digital discovery produces larger and more varied corpora. Open research practices expose protocols, coding decisions, data, and analysis. New studies can make a synthesis stale soon after publication. AI can accelerate several clerical operations, while also multiplying plausible errors.</w:t>
      </w:r>
    </w:p>
    <w:p>
      <w:pPr>
        <w:pStyle w:val="BodyText"/>
      </w:pPr>
      <w:r>
        <w:t xml:space="preserve">These changes are turning the review from a static article into a form of research infrastructure. The article remains an argument, but the argument now rests on inspectable and potentially reusable objects: a protocol, search history, screening record, coded corpus, analysis, sensitivity tests, and update policy. A trustworthy review links these objects without pretending that procedural detail can replace judgment.</w:t>
      </w:r>
    </w:p>
    <w:p>
      <w:pPr>
        <w:pStyle w:val="BodyText"/>
      </w:pPr>
      <w:r>
        <w:t xml:space="preserve">This chapter explains the present and plausible future of review articles and meta-analyses in the social sciences. Its central claim is simple. New tools can shorten discovery, screening, extraction, and updating, but they cannot decide what evidence is comparable or what variation means. The durable unit of progress is therefore not an automated summary. It is a versioned chain of decisions that another researcher can inspect, challenge, and extend.</w:t>
      </w:r>
    </w:p>
    <w:bookmarkEnd w:id="183"/>
    <w:bookmarkStart w:id="222" w:name="learn-13"/>
    <w:p>
      <w:pPr>
        <w:pStyle w:val="Heading2"/>
      </w:pPr>
      <w:r>
        <w:t xml:space="preserve">18.2 Learn</w:t>
      </w:r>
    </w:p>
    <w:bookmarkStart w:id="185" w:name="begin-with-the-review-family"/>
    <w:p>
      <w:pPr>
        <w:pStyle w:val="Heading3"/>
      </w:pPr>
      <w:r>
        <w:t xml:space="preserve">18.2.1 Begin with the review family</w:t>
      </w:r>
    </w:p>
    <w:p>
      <w:pPr>
        <w:pStyle w:val="FirstParagraph"/>
      </w:pPr>
      <w:r>
        <w:t xml:space="preserve">The term</w:t>
      </w:r>
      <w:r>
        <w:t xml:space="preserve"> </w:t>
      </w:r>
      <w:r>
        <w:rPr>
          <w:i/>
          <w:iCs/>
        </w:rPr>
        <w:t xml:space="preserve">literature review</w:t>
      </w:r>
      <w:r>
        <w:t xml:space="preserve"> </w:t>
      </w:r>
      <w:r>
        <w:t xml:space="preserve">covers several products with different purposes. A narrative or integrative review may clarify a concept, reconstruct an intellectual debate, or develop a theoretical account. A scoping review maps the extent and characteristics of a broad body of work. A systematic review answers a bounded question through explicit, reproducible procedures. A qualitative evidence synthesis interprets meanings or mechanisms across studies. An evidence and gap map describes the distribution of evidence without necessarily estimating a common effect. An umbrella review examines existing reviews. A rapid review makes declared concessions to produce a timely answer. Meta-analysis statistically synthesizes estimates that meet defined comparability conditions.</w:t>
      </w:r>
      <w:r>
        <w:rPr>
          <w:rStyle w:val="FootnoteReference"/>
        </w:rPr>
        <w:footnoteReference w:id="184"/>
      </w:r>
    </w:p>
    <w:p>
      <w:pPr>
        <w:pStyle w:val="BodyText"/>
      </w:pPr>
      <w:r>
        <w:t xml:space="preserve">This review family is not a hierarchy. A systematic review is not automatically superior to an interpretive review. A meta-analysis is not a badge of rigor that can be added to any corpus. Each form answers a different question and makes different assumptions. The first design decision is therefore functional: what must the review allow its reader to understand, estimate, compare, or decide?</w:t>
      </w:r>
    </w:p>
    <w:p>
      <w:pPr>
        <w:pStyle w:val="BodyText"/>
      </w:pPr>
      <w:r>
        <w:t xml:space="preserve">A review of how a concept changed across disciplines may require close comparison of definitions and citation lineages. A review of whether an intervention changes an outcome may support statistical synthesis. A review of how participants experience that intervention may require qualitative synthesis. A review of an emerging field may first need a scoping map because its populations, measures, and outcomes remain unstable. Combining these products can be useful, but their inferential roles must remain distinct.</w:t>
      </w:r>
    </w:p>
    <w:p>
      <w:pPr>
        <w:pStyle w:val="BodyText"/>
      </w:pPr>
      <w:r>
        <w:t xml:space="preserve">Method names do not settle the design. Authors sometimes label a broad database search a systematic review even when eligibility decisions and synthesis rules remain unclear. Other reviews apply a narrow checklist to a question that requires historical or conceptual interpretation. The defensible sequence runs from question to evidence type, from evidence type to review form, and from review form to procedure.</w:t>
      </w:r>
    </w:p>
    <w:bookmarkEnd w:id="185"/>
    <w:bookmarkStart w:id="188" w:name="understand-what-meta-analysis-adds"/>
    <w:p>
      <w:pPr>
        <w:pStyle w:val="Heading3"/>
      </w:pPr>
      <w:r>
        <w:t xml:space="preserve">18.2.2 Understand what meta-analysis adds</w:t>
      </w:r>
    </w:p>
    <w:p>
      <w:pPr>
        <w:pStyle w:val="FirstParagraph"/>
      </w:pPr>
      <w:r>
        <w:t xml:space="preserve">Meta-analysis is not a synonym for systematic review. It is a set of statistical methods for describing and explaining a distribution of comparable effect estimates within a defined corpus.</w:t>
      </w:r>
      <w:r>
        <w:rPr>
          <w:rStyle w:val="FootnoteReference"/>
        </w:rPr>
        <w:footnoteReference w:id="186"/>
      </w:r>
      <w:r>
        <w:t xml:space="preserve"> </w:t>
      </w:r>
      <w:r>
        <w:t xml:space="preserve">The systematic review establishes how studies entered that corpus. The meta-analysis addresses what their estimates imply under declared statistical assumptions.</w:t>
      </w:r>
    </w:p>
    <w:p>
      <w:pPr>
        <w:pStyle w:val="BodyText"/>
      </w:pPr>
      <w:r>
        <w:t xml:space="preserve">This distinction matters because a precise pooled estimate can conceal a weak evidence base. Studies may use different constructs under the same label, compare unlike populations, report incompatible outcomes, or estimate effects under different causal conditions. A statistical model can combine the numbers, but it cannot make the underlying questions equivalent.</w:t>
      </w:r>
    </w:p>
    <w:p>
      <w:pPr>
        <w:pStyle w:val="BodyText"/>
      </w:pPr>
      <w:r>
        <w:t xml:space="preserve">Before pooling, construct an estimand table. Each row should record the population, treatment or exposure, comparison, outcome, timing, design, effect measure, and adjustment set. Add the unit of assignment, unit of analysis, and level at which uncertainty was estimated. The table makes comparability a visible decision instead of an assumption hidden inside software.</w:t>
      </w:r>
    </w:p>
    <w:p>
      <w:pPr>
        <w:pStyle w:val="BodyText"/>
      </w:pPr>
      <w:r>
        <w:t xml:space="preserve">The pooled mean is only one possible target. A review may seek the average association across settings, the distribution of effects, an expected effect in a new setting, or the moderators that account for variation. These are different questions. A model chosen for one should not be interpreted as if it answered the others.</w:t>
      </w:r>
    </w:p>
    <w:bookmarkEnd w:id="188"/>
    <w:bookmarkStart w:id="189" w:name="Xda6239effdb3f6c25f568a72c585327e6952cf0"/>
    <w:p>
      <w:pPr>
        <w:pStyle w:val="Heading3"/>
      </w:pPr>
      <w:r>
        <w:t xml:space="preserve">18.2.3 Treat heterogeneity as substantive evidence</w:t>
      </w:r>
    </w:p>
    <w:p>
      <w:pPr>
        <w:pStyle w:val="FirstParagraph"/>
      </w:pPr>
      <w:r>
        <w:t xml:space="preserve">Social science effects often vary because institutions, histories, populations, measures, and implementation differ. Heterogeneity is therefore more than noise around a universal effect. It may be the principal finding.</w:t>
      </w:r>
    </w:p>
    <w:p>
      <w:pPr>
        <w:pStyle w:val="BodyText"/>
      </w:pPr>
      <w:r>
        <w:t xml:space="preserve">A random-effects model acknowledges variation among the effects represented by the included studies. It does not prove that those studies form one meaningful population. Nor does it license an inference to every setting beyond them. The review must explain which sources of variation were expected before analysis and which appeared only after inspecting the data.</w:t>
      </w:r>
    </w:p>
    <w:p>
      <w:pPr>
        <w:pStyle w:val="BodyText"/>
      </w:pPr>
      <w:r>
        <w:t xml:space="preserve">Report the distribution of effects, not only its mean. A confidence interval describes uncertainty around an estimated parameter. A prediction interval addresses a different question: where an effect from a comparable future setting might plausibly fall. When heterogeneity is substantial, the prediction interval may cross thresholds that the pooled mean does not. Its width can be more informative for policy than the significance of the mean.</w:t>
      </w:r>
    </w:p>
    <w:p>
      <w:pPr>
        <w:pStyle w:val="BodyText"/>
      </w:pPr>
      <w:r>
        <w:t xml:space="preserve">Moderator analyses can examine theoretically specified variation, but they are vulnerable to low power, multiple testing, and ecological interpretation. A moderator measured at the study level cannot establish the corresponding individual-level mechanism. Separate planned tests from exploratory ones. Record which coding distinctions existed before results were examined.</w:t>
      </w:r>
    </w:p>
    <w:p>
      <w:pPr>
        <w:pStyle w:val="BodyText"/>
      </w:pPr>
      <w:r>
        <w:t xml:space="preserve">Qualitative and quantitative synthesis can inform each other here. Close reading may identify institutional differences that define plausible moderator categories. Quantitative patterns may identify cases that deserve renewed interpretation. Mixed evidence becomes valuable when the forms remain legible, not when one is used to decorate the other.</w:t>
      </w:r>
    </w:p>
    <w:bookmarkEnd w:id="189"/>
    <w:bookmarkStart w:id="194" w:name="preserve-dependence-and-multiplicity"/>
    <w:p>
      <w:pPr>
        <w:pStyle w:val="Heading3"/>
      </w:pPr>
      <w:r>
        <w:t xml:space="preserve">18.2.4 Preserve dependence and multiplicity</w:t>
      </w:r>
    </w:p>
    <w:p>
      <w:pPr>
        <w:pStyle w:val="FirstParagraph"/>
      </w:pPr>
      <w:r>
        <w:t xml:space="preserve">Many social science studies report several outcomes, time points, subgroups, models, or treatment contrasts. Several articles may also analyze the same dataset. These estimates share observations and design decisions. Treating them as independent produces excessive precision and gives prolific studies or datasets disproportionate influence.</w:t>
      </w:r>
    </w:p>
    <w:p>
      <w:pPr>
        <w:pStyle w:val="BodyText"/>
      </w:pPr>
      <w:r>
        <w:t xml:space="preserve">Every effect table should therefore include a study identifier, sample identifier, dataset identifier, outcome family, time point, and model family. This structure reveals dependent effect estimates before analysis. The reviewer can then select one estimate under a preregistered rule, model the hierarchy, use an appropriate multivariate method, or apply robust variance estimation when its assumptions and sample requirements fit the corpus.</w:t>
      </w:r>
      <w:r>
        <w:rPr>
          <w:rStyle w:val="FootnoteReference"/>
        </w:rPr>
        <w:footnoteReference w:id="190"/>
      </w:r>
    </w:p>
    <w:p>
      <w:pPr>
        <w:pStyle w:val="BodyText"/>
      </w:pPr>
      <w:r>
        <w:t xml:space="preserve">Dependence is also intellectual. A set of studies may repeat one operationalization, share code, or inherit the same measurement error. Statistical correction for clustered standard errors does not remove that shared conceptual ancestry. The written synthesis should distinguish repeated analysis from independent replication.</w:t>
      </w:r>
    </w:p>
    <w:p>
      <w:pPr>
        <w:pStyle w:val="BodyText"/>
      </w:pPr>
      <w:r>
        <w:t xml:space="preserve">Model multiplicity creates another problem. Authors can often report many defensible specifications. Reviews that select one estimate per study after seeing the results may reproduce selective reporting. Collecting all relevant estimates and modeling their dependence can be preferable, but it requires careful coding and a declared strategy. Contemporary social science guidance identifies dependence, systematic heterogeneity, and publication selection as recurring issues that every quantitative synthesis should address.</w:t>
      </w:r>
      <w:r>
        <w:rPr>
          <w:rStyle w:val="FootnoteReference"/>
        </w:rPr>
        <w:footnoteReference w:id="192"/>
      </w:r>
    </w:p>
    <w:bookmarkEnd w:id="194"/>
    <w:bookmarkStart w:id="195" w:name="X348bcba91fd1a3122643b352c1cdc055a72afdd"/>
    <w:p>
      <w:pPr>
        <w:pStyle w:val="Heading3"/>
      </w:pPr>
      <w:r>
        <w:t xml:space="preserve">18.2.5 Examine selective reporting without a mechanical verdict</w:t>
      </w:r>
    </w:p>
    <w:p>
      <w:pPr>
        <w:pStyle w:val="FirstParagraph"/>
      </w:pPr>
      <w:r>
        <w:t xml:space="preserve">The available literature is not a neutral sample of completed research. Statistically striking results may be more likely to be written, submitted, accepted, or emphasized. Outcomes and specifications can also be selected within a published study. Gray literature searches may reduce some forms of selection while introducing new differences in reviewability and metadata.</w:t>
      </w:r>
    </w:p>
    <w:p>
      <w:pPr>
        <w:pStyle w:val="BodyText"/>
      </w:pPr>
      <w:r>
        <w:t xml:space="preserve">No single funnel plot, regression, or adjustment method can diagnose and repair every form of publication bias. Small-study patterns can arise from heterogeneity, design quality, or genuine differences in populations. Statistical corrections rely on assumptions that may not fit the selection process. Use several sources of evidence: prospective registrations where available, dissertations and reports, requests for unreported results, outcome comparison within studies, sensitivity analyses, and a substantive account of incentives in the field.</w:t>
      </w:r>
    </w:p>
    <w:p>
      <w:pPr>
        <w:pStyle w:val="BodyText"/>
      </w:pPr>
      <w:r>
        <w:t xml:space="preserve">The review should state what would have to be missing to change its conclusion. That question turns a generic limitation into a sensitivity claim. It also prevents the adjusted estimate from appearing as a recovered truth. A corrected result remains conditional on a model of what became observable.</w:t>
      </w:r>
    </w:p>
    <w:bookmarkEnd w:id="195"/>
    <w:bookmarkStart w:id="201" w:name="make-the-synthesis-reproducible"/>
    <w:p>
      <w:pPr>
        <w:pStyle w:val="Heading3"/>
      </w:pPr>
      <w:r>
        <w:t xml:space="preserve">18.2.6 Make the synthesis reproducible</w:t>
      </w:r>
    </w:p>
    <w:p>
      <w:pPr>
        <w:pStyle w:val="FirstParagraph"/>
      </w:pPr>
      <w:r>
        <w:t xml:space="preserve">Open practice changes a meta-analysis from a report about an analysis into a rerunnable research object. A strong public package includes the protocol, complete search strategies, screening decisions, extraction definitions, coded data, transformation code, analysis code, output tables, and a record of deviations. When materials cannot be shared, the package should describe the restriction and expose the largest safe portion.</w:t>
      </w:r>
    </w:p>
    <w:p>
      <w:pPr>
        <w:pStyle w:val="BodyText"/>
      </w:pPr>
      <w:r>
        <w:t xml:space="preserve">Preregistration does not freeze a review against learning. It distinguishes planned decisions from changes made after contact with the evidence. A deviation log can record what changed, why it changed, when the team decided, and which outputs the change affected. Open materials allow readers to evaluate those decisions and allow later teams to update the review rather than reconstruct it.</w:t>
      </w:r>
      <w:r>
        <w:rPr>
          <w:rStyle w:val="FootnoteReference"/>
        </w:rPr>
        <w:footnoteReference w:id="196"/>
      </w:r>
    </w:p>
    <w:p>
      <w:pPr>
        <w:pStyle w:val="BodyText"/>
      </w:pPr>
      <w:r>
        <w:t xml:space="preserve">Transparency must extend to the quantitative data structure. A spreadsheet of final effect sizes is insufficient if it omits study relationships, transformation rules, excluded estimates, and coding uncertainty. Preserve raw extracted values alongside derived values. Give every effect a stable identifier that links it to its source location and coding decision.</w:t>
      </w:r>
    </w:p>
    <w:p>
      <w:pPr>
        <w:pStyle w:val="BodyText"/>
      </w:pPr>
      <w:r>
        <w:t xml:space="preserve">Meta-research has found persistent gaps in the transparency and reproducibility of published meta-analyses.</w:t>
      </w:r>
      <w:r>
        <w:rPr>
          <w:rStyle w:val="FootnoteReference"/>
        </w:rPr>
        <w:footnoteReference w:id="198"/>
      </w:r>
      <w:r>
        <w:t xml:space="preserve"> </w:t>
      </w:r>
      <w:r>
        <w:t xml:space="preserve">A long methods section does not by itself solve the problem. Reproducibility depends on whether the released objects recreate the stated result and make consequential judgment visible.</w:t>
      </w:r>
    </w:p>
    <w:bookmarkEnd w:id="201"/>
    <w:bookmarkStart w:id="204" w:name="Xcf1145567e92e95c81c9085f4b8e3dd9e2e40ff"/>
    <w:p>
      <w:pPr>
        <w:pStyle w:val="Heading3"/>
      </w:pPr>
      <w:r>
        <w:t xml:space="preserve">18.2.7 Design living reviews as governed projects</w:t>
      </w:r>
    </w:p>
    <w:p>
      <w:pPr>
        <w:pStyle w:val="FirstParagraph"/>
      </w:pPr>
      <w:r>
        <w:t xml:space="preserve">A living review incorporates new evidence under a continuing workflow. It is an update mode, not another review question type. The same systematic review can be maintained in living form when new research arrives frequently and could change a consequential conclusion.</w:t>
      </w:r>
      <w:r>
        <w:rPr>
          <w:rStyle w:val="FootnoteReference"/>
        </w:rPr>
        <w:footnoteReference w:id="202"/>
      </w:r>
    </w:p>
    <w:p>
      <w:pPr>
        <w:pStyle w:val="BodyText"/>
      </w:pPr>
      <w:r>
        <w:t xml:space="preserve">Living status requires more than an editable webpage. The team needs a surveillance strategy, update trigger, review interval, ownership rule, version number, correction process, and retirement condition. Each release should preserve a citable snapshot. Readers must be able to identify which evidence and analysis supported the version they used.</w:t>
      </w:r>
    </w:p>
    <w:p>
      <w:pPr>
        <w:pStyle w:val="BodyText"/>
      </w:pPr>
      <w:r>
        <w:t xml:space="preserve">Updates also create statistical problems. Repeatedly recalculating and testing a pooled effect as new studies arrive can change error rates. A living meta-analysis therefore needs a declared updating method, especially when policy decisions depend on crossing a threshold. The correct method depends on the inferential target, expected evidence flow, heterogeneity, and cost of error. No universal update rule replaces these design choices.</w:t>
      </w:r>
    </w:p>
    <w:p>
      <w:pPr>
        <w:pStyle w:val="BodyText"/>
      </w:pPr>
      <w:r>
        <w:t xml:space="preserve">Maintenance should be selective. A slowly changing historical literature may not justify continuous surveillance. A fast-moving policy question might. A review can leave living mode when new studies become unlikely, the conclusion stabilizes for its decision purpose, or resources no longer support responsible maintenance. Calling every online review living would conceal these commitments.</w:t>
      </w:r>
    </w:p>
    <w:bookmarkEnd w:id="204"/>
    <w:bookmarkStart w:id="210" w:name="give-ai-bounded-work"/>
    <w:p>
      <w:pPr>
        <w:pStyle w:val="Heading3"/>
      </w:pPr>
      <w:r>
        <w:t xml:space="preserve">18.2.8 Give AI bounded work</w:t>
      </w:r>
    </w:p>
    <w:p>
      <w:pPr>
        <w:pStyle w:val="FirstParagraph"/>
      </w:pPr>
      <w:r>
        <w:t xml:space="preserve">AI can assist with query expansion, deduplication, screening prioritization, structured extraction, citation checking, code explanation, and update surveillance. Earlier machine-learning research found some mature applications for study identification, while extraction and judgment-intensive tasks required more development.</w:t>
      </w:r>
      <w:r>
        <w:rPr>
          <w:rStyle w:val="FootnoteReference"/>
        </w:rPr>
        <w:footnoteReference w:id="205"/>
      </w:r>
      <w:r>
        <w:t xml:space="preserve"> </w:t>
      </w:r>
      <w:r>
        <w:t xml:space="preserve">Later reviews documented rapid growth in available systems, especially around search, screening, extraction, and synthesis.</w:t>
      </w:r>
      <w:r>
        <w:rPr>
          <w:rStyle w:val="FootnoteReference"/>
        </w:rPr>
        <w:footnoteReference w:id="207"/>
      </w:r>
    </w:p>
    <w:p>
      <w:pPr>
        <w:pStyle w:val="BodyText"/>
      </w:pPr>
      <w:r>
        <w:t xml:space="preserve">The number of tools does not establish their reliability for a particular review. Performance depends on the question, source type, language, study design, prevalence of eligible records, and definition of an error. A system that ranks relevant records near the top may save labor without being safe for autonomous exclusion. A fluent extraction may still assign a number to the wrong group, outcome, or time point.</w:t>
      </w:r>
    </w:p>
    <w:p>
      <w:pPr>
        <w:pStyle w:val="BodyText"/>
      </w:pPr>
      <w:r>
        <w:t xml:space="preserve">Use AI as a proposal layer. The system can suggest records, fields, links, and checks. A controlled review step decides what enters the evidence base. For screening, validate recall on a representative researcher-coded sample and inspect every false exclusion. For extraction, require an exact source span and abstention option. For risk-of-bias assessment, causal interpretation, and final inclusion, retain human adjudication.</w:t>
      </w:r>
    </w:p>
    <w:p>
      <w:pPr>
        <w:pStyle w:val="BodyText"/>
      </w:pPr>
      <w:r>
        <w:t xml:space="preserve">Human validation is not a ceremonial final glance. It is a measured procedure. Record the validation sample, sampling rule, reference coding, error categories, model and prompt version, decision threshold, and response to failure. Revalidate after material changes in the corpus or system.</w:t>
      </w:r>
    </w:p>
    <w:bookmarkEnd w:id="210"/>
    <w:bookmarkStart w:id="220" w:name="X8056ed0eaf2d5a7e64d8c63bb7fbc846487b0a9"/>
    <w:p>
      <w:pPr>
        <w:pStyle w:val="Heading3"/>
      </w:pPr>
      <w:r>
        <w:t xml:space="preserve">18.2.9 Build skills, agents, and project context as separate layers</w:t>
      </w:r>
    </w:p>
    <w:p>
      <w:pPr>
        <w:pStyle w:val="FirstParagraph"/>
      </w:pPr>
      <w:r>
        <w:t xml:space="preserve">Repeated AI use becomes more reliable when a project separates procedure, execution, and memory. A</w:t>
      </w:r>
      <w:r>
        <w:t xml:space="preserve"> </w:t>
      </w:r>
      <w:r>
        <w:rPr>
          <w:b/>
          <w:bCs/>
        </w:rPr>
        <w:t xml:space="preserve">skill is a reusable research procedure</w:t>
      </w:r>
      <w:r>
        <w:t xml:space="preserve">. It specifies when a task should run, what inputs it accepts, which steps it follows, what it must produce, and how its output will be checked. An</w:t>
      </w:r>
      <w:r>
        <w:t xml:space="preserve"> </w:t>
      </w:r>
      <w:r>
        <w:rPr>
          <w:b/>
          <w:bCs/>
        </w:rPr>
        <w:t xml:space="preserve">agent is a bounded executor</w:t>
      </w:r>
      <w:r>
        <w:t xml:space="preserve"> </w:t>
      </w:r>
      <w:r>
        <w:t xml:space="preserve">that receives a goal, approved tools, selected context, stopping conditions, and an output schema. It may combine several skills and adjust its plan as evidence appears. Neither should become the authority that decides what the project means.</w:t>
      </w:r>
    </w:p>
    <w:p>
      <w:pPr>
        <w:pStyle w:val="BodyText"/>
      </w:pPr>
      <w:r>
        <w:t xml:space="preserve">This distinction prevents a common design error. A long prompt may contain a useful procedure, but it remains difficult to test, version, and reuse. A general agent may take many actions, but breadth makes its errors harder to locate. Skills should hold stable method. Agents should coordinate bounded work. Human gates should control consequential changes to the corpus, protocol, argument, and public record.</w:t>
      </w:r>
    </w:p>
    <w:bookmarkStart w:id="211" w:name="design-a-minimal-research-skill-stack"/>
    <w:p>
      <w:pPr>
        <w:pStyle w:val="Heading4"/>
      </w:pPr>
      <w:r>
        <w:t xml:space="preserve">18.2.9.1 Design a minimal research skill stack</w:t>
      </w:r>
    </w:p>
    <w:p>
      <w:pPr>
        <w:pStyle w:val="FirstParagraph"/>
      </w:pPr>
      <w:r>
        <w:t xml:space="preserve">A skill should encode knowledge that the project would otherwise have to reconstruct. Its manifest should name its purpose, triggers, required inputs, procedure, output schema, verification rules, failure conditions, permissions, version, and benchmark cases. High-risk operations need narrow instructions and deterministic checks. Interpretive tasks need room for alternatives, but they still require evidence identifiers and an abstention route.</w:t>
      </w:r>
    </w:p>
    <w:p>
      <w:pPr>
        <w:pStyle w:val="BodyText"/>
      </w:pPr>
      <w:r>
        <w:t xml:space="preserve">Five skills provide a useful starting stack for review-based social research: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Research function</w:t>
            </w:r>
          </w:p>
        </w:tc>
        <w:tc>
          <w:tcPr/>
          <w:p>
            <w:pPr>
              <w:pStyle w:val="Compact"/>
            </w:pPr>
            <w:r>
              <w:t xml:space="preserve">Reusable skill</w:t>
            </w:r>
          </w:p>
        </w:tc>
        <w:tc>
          <w:tcPr/>
          <w:p>
            <w:pPr>
              <w:pStyle w:val="Compact"/>
            </w:pPr>
            <w:r>
              <w:t xml:space="preserve">Required artifact</w:t>
            </w:r>
          </w:p>
        </w:tc>
        <w:tc>
          <w:tcPr/>
          <w:p>
            <w:pPr>
              <w:pStyle w:val="Compact"/>
            </w:pPr>
            <w:r>
              <w:t xml:space="preserve">Human gate</w:t>
            </w:r>
          </w:p>
        </w:tc>
      </w:tr>
      <w:tr>
        <w:tc>
          <w:tcPr/>
          <w:p>
            <w:pPr>
              <w:pStyle w:val="Compact"/>
            </w:pPr>
            <w:r>
              <w:t xml:space="preserve">Literature discovery</w:t>
            </w:r>
          </w:p>
        </w:tc>
        <w:tc>
          <w:tcPr/>
          <w:p>
            <w:pPr>
              <w:pStyle w:val="Compact"/>
            </w:pPr>
            <w:r>
              <w:rPr>
                <w:b/>
                <w:bCs/>
              </w:rPr>
              <w:t xml:space="preserve">Literature-discovery skill</w:t>
            </w:r>
          </w:p>
        </w:tc>
        <w:tc>
          <w:tcPr/>
          <w:p>
            <w:pPr>
              <w:pStyle w:val="Compact"/>
            </w:pPr>
            <w:r>
              <w:t xml:space="preserve">Candidate register, query history, discovery-route coverage</w:t>
            </w:r>
          </w:p>
        </w:tc>
        <w:tc>
          <w:tcPr/>
          <w:p>
            <w:pPr>
              <w:pStyle w:val="Compact"/>
            </w:pPr>
            <w:r>
              <w:t xml:space="preserve">Approve final inclusion and exclusion</w:t>
            </w:r>
          </w:p>
        </w:tc>
      </w:tr>
      <w:tr>
        <w:tc>
          <w:tcPr/>
          <w:p>
            <w:pPr>
              <w:pStyle w:val="Compact"/>
            </w:pPr>
            <w:r>
              <w:t xml:space="preserve">Gap identification</w:t>
            </w:r>
          </w:p>
        </w:tc>
        <w:tc>
          <w:tcPr/>
          <w:p>
            <w:pPr>
              <w:pStyle w:val="Compact"/>
            </w:pPr>
            <w:r>
              <w:rPr>
                <w:b/>
                <w:bCs/>
              </w:rPr>
              <w:t xml:space="preserve">Gap-analysis skill</w:t>
            </w:r>
          </w:p>
        </w:tc>
        <w:tc>
          <w:tcPr/>
          <w:p>
            <w:pPr>
              <w:pStyle w:val="Compact"/>
            </w:pPr>
            <w:r>
              <w:t xml:space="preserve">Gap-claim register with supporting and contrary corpus entries</w:t>
            </w:r>
          </w:p>
        </w:tc>
        <w:tc>
          <w:tcPr/>
          <w:p>
            <w:pPr>
              <w:pStyle w:val="Compact"/>
            </w:pPr>
            <w:r>
              <w:t xml:space="preserve">Authorize any claim that a field lacks evidence</w:t>
            </w:r>
          </w:p>
        </w:tc>
      </w:tr>
      <w:tr>
        <w:tc>
          <w:tcPr/>
          <w:p>
            <w:pPr>
              <w:pStyle w:val="Compact"/>
            </w:pPr>
            <w:r>
              <w:t xml:space="preserve">Methodology</w:t>
            </w:r>
          </w:p>
        </w:tc>
        <w:tc>
          <w:tcPr/>
          <w:p>
            <w:pPr>
              <w:pStyle w:val="Compact"/>
            </w:pPr>
            <w:r>
              <w:rPr>
                <w:b/>
                <w:bCs/>
              </w:rPr>
              <w:t xml:space="preserve">Methodology-audit skill</w:t>
            </w:r>
          </w:p>
        </w:tc>
        <w:tc>
          <w:tcPr/>
          <w:p>
            <w:pPr>
              <w:pStyle w:val="Compact"/>
            </w:pPr>
            <w:r>
              <w:t xml:space="preserve">Question-design alignment memo, threat register, proposed tests</w:t>
            </w:r>
          </w:p>
        </w:tc>
        <w:tc>
          <w:tcPr/>
          <w:p>
            <w:pPr>
              <w:pStyle w:val="Compact"/>
            </w:pPr>
            <w:r>
              <w:t xml:space="preserve">Approve protocol or analysis changes</w:t>
            </w:r>
          </w:p>
        </w:tc>
      </w:tr>
      <w:tr>
        <w:tc>
          <w:tcPr/>
          <w:p>
            <w:pPr>
              <w:pStyle w:val="Compact"/>
            </w:pPr>
            <w:r>
              <w:t xml:space="preserve">Data collection</w:t>
            </w:r>
          </w:p>
        </w:tc>
        <w:tc>
          <w:tcPr/>
          <w:p>
            <w:pPr>
              <w:pStyle w:val="Compact"/>
            </w:pPr>
            <w:r>
              <w:rPr>
                <w:b/>
                <w:bCs/>
              </w:rPr>
              <w:t xml:space="preserve">Data-collection skill</w:t>
            </w:r>
          </w:p>
        </w:tc>
        <w:tc>
          <w:tcPr/>
          <w:p>
            <w:pPr>
              <w:pStyle w:val="Compact"/>
            </w:pPr>
            <w:r>
              <w:t xml:space="preserve">Candidate records, provenance links, validation report</w:t>
            </w:r>
          </w:p>
        </w:tc>
        <w:tc>
          <w:tcPr/>
          <w:p>
            <w:pPr>
              <w:pStyle w:val="Compact"/>
            </w:pPr>
            <w:r>
              <w:t xml:space="preserve">Promote records into the research corpus</w:t>
            </w:r>
          </w:p>
        </w:tc>
      </w:tr>
      <w:tr>
        <w:tc>
          <w:tcPr/>
          <w:p>
            <w:pPr>
              <w:pStyle w:val="Compact"/>
            </w:pPr>
            <w:r>
              <w:t xml:space="preserve">Project continuity</w:t>
            </w:r>
          </w:p>
        </w:tc>
        <w:tc>
          <w:tcPr/>
          <w:p>
            <w:pPr>
              <w:pStyle w:val="Compact"/>
            </w:pPr>
            <w:r>
              <w:rPr>
                <w:b/>
                <w:bCs/>
              </w:rPr>
              <w:t xml:space="preserve">Project-context skill</w:t>
            </w:r>
          </w:p>
        </w:tc>
        <w:tc>
          <w:tcPr/>
          <w:p>
            <w:pPr>
              <w:pStyle w:val="Compact"/>
            </w:pPr>
            <w:r>
              <w:t xml:space="preserve">Versioned project context packet and proposed change log</w:t>
            </w:r>
          </w:p>
        </w:tc>
        <w:tc>
          <w:tcPr/>
          <w:p>
            <w:pPr>
              <w:pStyle w:val="Compact"/>
            </w:pPr>
            <w:r>
              <w:t xml:space="preserve">Modify the project charter, concepts, or accepted claims</w:t>
            </w:r>
          </w:p>
        </w:tc>
      </w:tr>
    </w:tbl>
    <w:p>
      <w:pPr>
        <w:pStyle w:val="BodyText"/>
      </w:pPr>
      <w:r>
        <w:t xml:space="preserve">The literature-discovery skill should translate concepts into search vocabulary, vary discovery routes, preserve queries, deduplicate candidates, and flag coverage risks. It should not produce a list of “the most important” publications from model recall. Its unit of output is a candidate with a discovery route and verification status.</w:t>
      </w:r>
    </w:p>
    <w:p>
      <w:pPr>
        <w:pStyle w:val="BodyText"/>
      </w:pPr>
      <w:r>
        <w:t xml:space="preserve">The gap-analysis skill should distinguish several kinds of gap. A corpus may lack evidence about a population, setting, period, mechanism, measure, comparison, or method. It may contain contradictory findings, weak replication, or a concept that has not been operationalized consistently. These are different research problems. The skill must also distinguish absence in the bounded corpus from absence in the field. A</w:t>
      </w:r>
      <w:r>
        <w:t xml:space="preserve"> </w:t>
      </w:r>
      <w:r>
        <w:rPr>
          <w:b/>
          <w:bCs/>
        </w:rPr>
        <w:t xml:space="preserve">false gap</w:t>
      </w:r>
      <w:r>
        <w:t xml:space="preserve"> </w:t>
      </w:r>
      <w:r>
        <w:t xml:space="preserve">occurs when failed retrieval, unfamiliar vocabulary, access limits, language bias, or an incorrect boundary is presented as a missing body of knowledge.</w:t>
      </w:r>
    </w:p>
    <w:p>
      <w:pPr>
        <w:pStyle w:val="BodyText"/>
      </w:pPr>
      <w:r>
        <w:t xml:space="preserve">The methodology-audit skill should compare the research question with the evidence, design, unit of analysis, estimand, inferential claim, and known threats. It can propose alternative designs or sensitivity tests. It should not silently rewrite the approved protocol. Every recommendation needs a location, a reason, the evidence affected, and the decision that remains with the researcher.</w:t>
      </w:r>
    </w:p>
    <w:p>
      <w:pPr>
        <w:pStyle w:val="BodyText"/>
      </w:pPr>
      <w:r>
        <w:t xml:space="preserve">The data-collection skill should enforce the transformations defined elsewhere in this book. It can create candidate records, check required fields, preserve source spans, detect likely duplicates, and route uncertain cases. It should write only to a staging area. Promotion into the verified corpus requires source review, rights and ethics checks, and a named human decision.</w:t>
      </w:r>
    </w:p>
    <w:p>
      <w:pPr>
        <w:pStyle w:val="BodyText"/>
      </w:pPr>
      <w:r>
        <w:t xml:space="preserve">The project-context skill is different from the other four. Its task is not to perform a substantive review operation. It prepares the smallest sufficient account of the project for another task. It retrieves the current research question, approved scope, working concepts, source hierarchy, ethical limits, corpus and codebook versions, accepted decisions, unresolved disputes, artifact locations, and active release. It also reports conflicts among these objects rather than resolving them through a plausible summary.</w:t>
      </w:r>
    </w:p>
    <w:p>
      <w:pPr>
        <w:pStyle w:val="BodyText"/>
      </w:pPr>
      <w:r>
        <w:t xml:space="preserve">Skills need tests before routine use. Discovery can be evaluated through recall, false exclusions, route diversity, and labor saved. Gap analysis needs cases where a missing concept is genuine and cases where it is only hidden by vocabulary or indexing. Methodology audits need known design defects and defensible designs that should not be criticized. Data collection needs stratified extraction and provenance benchmarks. Project-context tests should include stale decisions, conflicting versions, renamed concepts, and inaccessible artifacts.</w:t>
      </w:r>
    </w:p>
    <w:bookmarkEnd w:id="211"/>
    <w:bookmarkStart w:id="216" w:name="Xcfcda89ca1fe5106ead5e93afe90e917fcff108"/>
    <w:p>
      <w:pPr>
        <w:pStyle w:val="Heading4"/>
      </w:pPr>
      <w:r>
        <w:t xml:space="preserve">18.2.9.2 Assign agents work packages, not identities</w:t>
      </w:r>
    </w:p>
    <w:p>
      <w:pPr>
        <w:pStyle w:val="FirstParagraph"/>
      </w:pPr>
      <w:r>
        <w:t xml:space="preserve">Language-model agents can interleave planning, retrieval, tool use, and revision.</w:t>
      </w:r>
      <w:r>
        <w:rPr>
          <w:rStyle w:val="FootnoteReference"/>
        </w:rPr>
        <w:footnoteReference w:id="212"/>
      </w:r>
      <w:r>
        <w:t xml:space="preserve"> </w:t>
      </w:r>
      <w:r>
        <w:t xml:space="preserve">Research prototypes have also combined observation, retrieval, reflection, and planning in persistent agent architectures.</w:t>
      </w:r>
      <w:r>
        <w:rPr>
          <w:rStyle w:val="FootnoteReference"/>
        </w:rPr>
        <w:footnoteReference w:id="214"/>
      </w:r>
      <w:r>
        <w:t xml:space="preserve"> </w:t>
      </w:r>
      <w:r>
        <w:t xml:space="preserve">These patterns make multi-step research assistance possible. They do not show that an agent can independently establish relevance, a scholarly gap, methodological validity, or causal interpretation.</w:t>
      </w:r>
    </w:p>
    <w:p>
      <w:pPr>
        <w:pStyle w:val="BodyText"/>
      </w:pPr>
      <w:r>
        <w:t xml:space="preserve">A research agent should therefore receive a work order. The order names one goal, the skill versions it may invoke, permitted collections and tools, project context version, expected artifacts, prohibited actions, stopping rule, and escalation conditions. The agent should return evidence-linked proposals and an execution log. It should not inherit an open-ended instruction to “finish the literature review.”</w:t>
      </w:r>
    </w:p>
    <w:p>
      <w:pPr>
        <w:pStyle w:val="BodyText"/>
      </w:pPr>
      <w:r>
        <w:t xml:space="preserve">The five skills above can support corresponding agents. A literature scout executes searches and updates the candidate register but cannot reject the final record. A gap analyst compares the verified corpus with the review protocol and produces candidate gap claims with counterevidence. A methodology critic tests alignment and assumptions without editing the protocol. A collection steward prepares and validates candidate data while leaving promotion to a reviewer. A context curator assembles the current project packet and proposes corrections without overwriting canonical project records.</w:t>
      </w:r>
    </w:p>
    <w:p>
      <w:pPr>
        <w:pStyle w:val="BodyText"/>
      </w:pPr>
      <w:r>
        <w:t xml:space="preserve">Agent specialization should reduce ambiguity, not imitate an academic department. Adding several agents that use the same model, sources, and instructions does not create independent corroboration. Their errors remain correlated. Agreement among them is not consensus, and disagreement is not automatically informative. Use multiple agents when tasks can be separated by evidence, method, or validation role. Do not create a panel merely to generate more text.</w:t>
      </w:r>
    </w:p>
    <w:p>
      <w:pPr>
        <w:pStyle w:val="BodyText"/>
      </w:pPr>
      <w:r>
        <w:t xml:space="preserve">Apply least privilege. A discovery agent usually needs search and read access, not permission to change the corpus. A methodology critic needs the protocol and selected artifacts, not participant data. A context curator needs approved project records, but it should not publish, delete, or revise them. Rights, privacy, security, and cost boundaries belong in the work order rather than in an informal reminder.</w:t>
      </w:r>
    </w:p>
    <w:p>
      <w:pPr>
        <w:pStyle w:val="BodyText"/>
      </w:pPr>
      <w:r>
        <w:t xml:space="preserve">Consequential decisions require explicit human gates. These include approving inclusion and exclusion, declaring a research gap, changing the research question or protocol, promoting a candidate record, accepting a new variable, interpreting a causal relationship, and releasing a public claim. The gate should record who decided, which agent output was reviewed, what evidence supported the decision, and what changed downstream.</w:t>
      </w:r>
    </w:p>
    <w:bookmarkEnd w:id="216"/>
    <w:bookmarkStart w:id="219" w:name="Xc4ca27d5342aed56b7b108ef51b44a0c390f886"/>
    <w:p>
      <w:pPr>
        <w:pStyle w:val="Heading4"/>
      </w:pPr>
      <w:r>
        <w:t xml:space="preserve">18.2.9.3 Preserve broad context through governed retrieval</w:t>
      </w:r>
    </w:p>
    <w:p>
      <w:pPr>
        <w:pStyle w:val="FirstParagraph"/>
      </w:pPr>
      <w:r>
        <w:t xml:space="preserve">The broad project context should live outside the conversation. A chat transcript mixes instructions, exploration, corrections, and obsolete claims. Treating all of it as memory makes current and superseded decisions difficult to distinguish. Supplying the entire project archive is not a solution either. Empirical work on long-context models shows that access to a long input does not ensure reliable use of information throughout that input.</w:t>
      </w:r>
      <w:r>
        <w:rPr>
          <w:rStyle w:val="FootnoteReference"/>
        </w:rPr>
        <w:footnoteReference w:id="217"/>
      </w:r>
    </w:p>
    <w:p>
      <w:pPr>
        <w:pStyle w:val="BodyText"/>
      </w:pPr>
      <w:r>
        <w:t xml:space="preserve">Create a</w:t>
      </w:r>
      <w:r>
        <w:t xml:space="preserve"> </w:t>
      </w:r>
      <w:r>
        <w:rPr>
          <w:b/>
          <w:bCs/>
        </w:rPr>
        <w:t xml:space="preserve">project context packet</w:t>
      </w:r>
      <w:r>
        <w:t xml:space="preserve"> </w:t>
      </w:r>
      <w:r>
        <w:t xml:space="preserve">with three layers. The stable layer contains the research question, scope, central concepts, evidence standards, ethics and rights constraints, and authority for decisions. The current-state layer names the active stage, corpus and codebook versions, accepted claims, unresolved questions, recent decisions, and release status. The task layer contains only the materials, instructions, and stopping rule needed for the present work.</w:t>
      </w:r>
    </w:p>
    <w:p>
      <w:pPr>
        <w:pStyle w:val="BodyText"/>
      </w:pPr>
      <w:r>
        <w:t xml:space="preserve">Use progressive disclosure. Every agent receives a short project card and the task layer. It retrieves method, corpus, or source details only when the work requires them. Each retrieved item carries a stable identifier, version, date, and authority status. This design preserves the global argument while reducing irrelevant material and exposure of sensitive records.</w:t>
      </w:r>
    </w:p>
    <w:p>
      <w:pPr>
        <w:pStyle w:val="BodyText"/>
      </w:pPr>
      <w:r>
        <w:t xml:space="preserve">The project context packet is a map, not a substitute for evidence. It may say that a definition was adopted in decision</w:t>
      </w:r>
      <w:r>
        <w:t xml:space="preserve"> </w:t>
      </w:r>
      <w:r>
        <w:rPr>
          <w:rStyle w:val="VerbatimChar"/>
        </w:rPr>
        <w:t xml:space="preserve">D-014</w:t>
      </w:r>
      <w:r>
        <w:t xml:space="preserve">, that corpus</w:t>
      </w:r>
      <w:r>
        <w:t xml:space="preserve"> </w:t>
      </w:r>
      <w:r>
        <w:rPr>
          <w:rStyle w:val="VerbatimChar"/>
        </w:rPr>
        <w:t xml:space="preserve">C-03</w:t>
      </w:r>
      <w:r>
        <w:t xml:space="preserve"> </w:t>
      </w:r>
      <w:r>
        <w:t xml:space="preserve">supports claim</w:t>
      </w:r>
      <w:r>
        <w:t xml:space="preserve"> </w:t>
      </w:r>
      <w:r>
        <w:rPr>
          <w:rStyle w:val="VerbatimChar"/>
        </w:rPr>
        <w:t xml:space="preserve">CL-08</w:t>
      </w:r>
      <w:r>
        <w:t xml:space="preserve">, and that a contrary memo remains unresolved. The agent must follow those identifiers to the relevant artifact before making a consequential recommendation. A compressed statement without provenance remains a lead.</w:t>
      </w:r>
    </w:p>
    <w:p>
      <w:pPr>
        <w:pStyle w:val="BodyText"/>
      </w:pPr>
      <w:r>
        <w:t xml:space="preserve">Context updates should follow the same proposal boundary as data extraction. An agent may identify that the active question conflicts with the latest protocol or that a manuscript cites an obsolete corpus. It writes the proposed correction to a staging area. A researcher decides whether to update the canonical packet, records the reason, and increments its version.</w:t>
      </w:r>
    </w:p>
    <w:p>
      <w:pPr>
        <w:pStyle w:val="BodyText"/>
      </w:pPr>
      <w:r>
        <w:t xml:space="preserve">This architecture supports continuity across literature review, gap analysis, methodology, and collection. The literature scout sees the current vocabulary and boundaries. The gap analyst sees the verified coverage audit. The methodology critic sees the approved estimand and threats. The collection steward sees the source frame and codebook. The context curator sees how their artifacts connect, but it does not turn their provisional outputs into settled project knowledge.</w:t>
      </w:r>
    </w:p>
    <w:p>
      <w:pPr>
        <w:pStyle w:val="BodyText"/>
      </w:pPr>
      <w:r>
        <w:t xml:space="preserve">Evaluate the system as a chain. Record whether a task used the correct context version, whether the appropriate skill triggered, whether the agent stayed within permissions, whether its evidence links resolved, whether it abstained when required, and whether the human gate caught consequential errors. Productivity matters, but speed without these measures can make an incoherent project move faster.</w:t>
      </w:r>
    </w:p>
    <w:bookmarkEnd w:id="219"/>
    <w:bookmarkEnd w:id="220"/>
    <w:bookmarkStart w:id="221" w:name="separate-the-present-from-the-forecast"/>
    <w:p>
      <w:pPr>
        <w:pStyle w:val="Heading3"/>
      </w:pPr>
      <w:r>
        <w:t xml:space="preserve">18.2.10 Separate the present from the forecast</w:t>
      </w:r>
    </w:p>
    <w:p>
      <w:pPr>
        <w:pStyle w:val="FirstParagraph"/>
      </w:pPr>
      <w:r>
        <w:t xml:space="preserve">The current review article can already be modular and open. Protocols, machine-readable data, executable analysis, linked corrections, and citable releases are available practices. Semi-automated screening and extraction are emerging practices whose value must be demonstrated in the local corpus. Continuous synthesis across interoperable evidence registries remains a conditional future.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Horizon</w:t>
            </w:r>
          </w:p>
        </w:tc>
        <w:tc>
          <w:tcPr/>
          <w:p>
            <w:pPr>
              <w:pStyle w:val="Compact"/>
            </w:pPr>
            <w:r>
              <w:t xml:space="preserve">Review form</w:t>
            </w:r>
          </w:p>
        </w:tc>
        <w:tc>
          <w:tcPr/>
          <w:p>
            <w:pPr>
              <w:pStyle w:val="Compact"/>
            </w:pPr>
            <w:r>
              <w:t xml:space="preserve">Required safeguard</w:t>
            </w:r>
          </w:p>
        </w:tc>
      </w:tr>
      <w:tr>
        <w:tc>
          <w:tcPr/>
          <w:p>
            <w:pPr>
              <w:pStyle w:val="Compact"/>
            </w:pPr>
            <w:r>
              <w:t xml:space="preserve">Current practice</w:t>
            </w:r>
          </w:p>
        </w:tc>
        <w:tc>
          <w:tcPr/>
          <w:p>
            <w:pPr>
              <w:pStyle w:val="Compact"/>
            </w:pPr>
            <w:r>
              <w:t xml:space="preserve">An article linked to protocol, corpus, code, and a citable release</w:t>
            </w:r>
          </w:p>
        </w:tc>
        <w:tc>
          <w:tcPr/>
          <w:p>
            <w:pPr>
              <w:pStyle w:val="Compact"/>
            </w:pPr>
            <w:r>
              <w:t xml:space="preserve">Reproducibility, provenance, and disclosed deviations</w:t>
            </w:r>
          </w:p>
        </w:tc>
      </w:tr>
      <w:tr>
        <w:tc>
          <w:tcPr/>
          <w:p>
            <w:pPr>
              <w:pStyle w:val="Compact"/>
            </w:pPr>
            <w:r>
              <w:t xml:space="preserve">Emerging practice</w:t>
            </w:r>
          </w:p>
        </w:tc>
        <w:tc>
          <w:tcPr/>
          <w:p>
            <w:pPr>
              <w:pStyle w:val="Compact"/>
            </w:pPr>
            <w:r>
              <w:t xml:space="preserve">A living review with AI-assisted surveillance, prioritization, and extraction</w:t>
            </w:r>
          </w:p>
        </w:tc>
        <w:tc>
          <w:tcPr/>
          <w:p>
            <w:pPr>
              <w:pStyle w:val="Compact"/>
            </w:pPr>
            <w:r>
              <w:t xml:space="preserve">Local validation, human adjudication, and version governance</w:t>
            </w:r>
          </w:p>
        </w:tc>
      </w:tr>
      <w:tr>
        <w:tc>
          <w:tcPr/>
          <w:p>
            <w:pPr>
              <w:pStyle w:val="Compact"/>
            </w:pPr>
            <w:r>
              <w:t xml:space="preserve">Conditional future</w:t>
            </w:r>
          </w:p>
        </w:tc>
        <w:tc>
          <w:tcPr/>
          <w:p>
            <w:pPr>
              <w:pStyle w:val="Compact"/>
            </w:pPr>
            <w:r>
              <w:t xml:space="preserve">A continuously updated evidence service built from interoperable study, claim, and effect objects</w:t>
            </w:r>
          </w:p>
        </w:tc>
        <w:tc>
          <w:tcPr/>
          <w:p>
            <w:pPr>
              <w:pStyle w:val="Compact"/>
            </w:pPr>
            <w:r>
              <w:t xml:space="preserve">Durable standards, equitable access, preservation, and accountable ownership</w:t>
            </w:r>
          </w:p>
        </w:tc>
      </w:tr>
    </w:tbl>
    <w:p>
      <w:pPr>
        <w:pStyle w:val="BodyText"/>
      </w:pPr>
      <w:r>
        <w:t xml:space="preserve">The conditional future is technically plausible but institutionally demanding. Journals and repositories would need stable citation rules for changing objects. Research teams would need credit for maintenance, correction, data stewardship, and negative updates. Shared schemas would need to preserve construct differences rather than forcing every study into one vocabulary.</w:t>
      </w:r>
    </w:p>
    <w:p>
      <w:pPr>
        <w:pStyle w:val="BodyText"/>
      </w:pPr>
      <w:r>
        <w:t xml:space="preserve">The review article may become an interface over a versioned evidence system. Readers could inspect the current conclusion, trace it to effects or qualitative findings, change defensible assumptions, and compare releases. Such an interface would not eliminate authorship. Its design would make authorship more visible by showing where inclusion, coding, modeling, and interpretation shaped the answer.</w:t>
      </w:r>
    </w:p>
    <w:p>
      <w:pPr>
        <w:pStyle w:val="BodyText"/>
      </w:pPr>
      <w:r>
        <w:t xml:space="preserve">This future also carries risks. Well-resourced fields may maintain sophisticated living syntheses while other regions and languages remain poorly indexed. Proprietary systems may make public evidence dependent on private infrastructure. Continuous updating can create an illusion of completeness and exhaust the teams responsible for it. The goal is not permanent motion. It is controlled revision when new evidence matters.</w:t>
      </w:r>
    </w:p>
    <w:bookmarkEnd w:id="221"/>
    <w:bookmarkEnd w:id="222"/>
    <w:bookmarkStart w:id="223" w:name="worked-example-13"/>
    <w:p>
      <w:pPr>
        <w:pStyle w:val="Heading2"/>
      </w:pPr>
      <w:r>
        <w:t xml:space="preserve">18.3 Worked Example</w:t>
      </w:r>
    </w:p>
    <w:p>
      <w:pPr>
        <w:pStyle w:val="FirstParagraph"/>
      </w:pPr>
      <w:r>
        <w:t xml:space="preserve">Consider a review asking whether community-policing programs increase public trust in police. The first search identifies experiments, quasi-experiments, surveys, qualitative interviews, and program evaluations across several countries. A single pooled estimate would answer the wrong question because the studies do not share one treatment, outcome, or causal design.</w:t>
      </w:r>
    </w:p>
    <w:p>
      <w:pPr>
        <w:pStyle w:val="BodyText"/>
      </w:pPr>
      <w:r>
        <w:t xml:space="preserve">The team divides the project into linked products. A scoping map describes programs, populations, research designs, trust measures, and geographic coverage. A systematic review evaluates studies with a defensible comparison group. A qualitative synthesis examines how residents describe contact, legitimacy, safety, and unequal treatment. The products share a source register but maintain separate eligibility and synthesis rules.</w:t>
      </w:r>
    </w:p>
    <w:p>
      <w:pPr>
        <w:pStyle w:val="BodyText"/>
      </w:pPr>
      <w:r>
        <w:t xml:space="preserve">The quantitative subset still contains hidden multiplicity. Several reports use one national survey. Individual studies report trust immediately after contact and again months later. Some programs combine foot patrols with public meetings, while others change only officer assignment. The estimand table exposes these differences. The effect table links multiple estimates to samples, outcomes, and program families.</w:t>
      </w:r>
    </w:p>
    <w:p>
      <w:pPr>
        <w:pStyle w:val="BodyText"/>
      </w:pPr>
      <w:r>
        <w:t xml:space="preserve">The main model estimates an average across a defined family of programs. It also reports a prediction interval and planned comparisons by intervention component and institutional setting. A dependence-aware analysis prevents one large survey and its related articles from dominating precision. The review treats the remaining heterogeneity as a finding: program labels conceal distinct mechanisms and political contexts.</w:t>
      </w:r>
    </w:p>
    <w:p>
      <w:pPr>
        <w:pStyle w:val="BodyText"/>
      </w:pPr>
      <w:r>
        <w:t xml:space="preserve">Publication-bias analysis finds that small published studies report more favorable estimates. The team does not declare the pattern corrected after one adjustment. It searches evaluation repositories and dissertations, compares registered outcomes where possible, and reports sensitivity to several selection assumptions. The conclusion becomes conditional: favorable average results do not establish that every program or setting will improve trust.</w:t>
      </w:r>
    </w:p>
    <w:p>
      <w:pPr>
        <w:pStyle w:val="BodyText"/>
      </w:pPr>
      <w:r>
        <w:t xml:space="preserve">The public package contains the protocol, search histories, decision log, coded corpus, effect transformations, analysis code, and a redacted qualitative matrix. The team schedules annual surveillance but triggers an earlier update if a large multisite evaluation appears. Release 1.0 remains frozen and citable when release 1.1 adds new evidence.</w:t>
      </w:r>
    </w:p>
    <w:p>
      <w:pPr>
        <w:pStyle w:val="BodyText"/>
      </w:pPr>
      <w:r>
        <w:t xml:space="preserve">An AI system expands intervention names and ranks new search results. It proposes extraction fields with source spans. Researchers validate screening recall on a stratified sample and adjudicate all exclusions near the decision boundary. The system never decides whether a program belongs in the same causal family or whether a trust measure is substantively comparable. Those judgments remain part of the review’s argument.</w:t>
      </w:r>
    </w:p>
    <w:p>
      <w:pPr>
        <w:pStyle w:val="BodyText"/>
      </w:pPr>
      <w:r>
        <w:t xml:space="preserve">The team implements this arrangement as separate skills and agents. The literature-discovery skill records every query and route. A scout agent runs that skill against approved databases and deposits candidates in a staging register. The gap-analysis skill compares the verified corpus with the protocol. Its agent proposes a geographic gap, but the coverage audit shows that two relevant local-language indexes were never searched. The team records an unresolved coverage limit instead of claiming that no such research exists.</w:t>
      </w:r>
    </w:p>
    <w:p>
      <w:pPr>
        <w:pStyle w:val="BodyText"/>
      </w:pPr>
      <w:r>
        <w:t xml:space="preserve">The context curator prepares project packet 1.3 for the annual update. It includes the current question, intervention taxonomy, approved trust measures, corpus release, open disagreement about quasi-experimental designs, and links to every decision. The methodology critic identifies that a proposed new synthesis would mix immediate and long-term outcomes. It recommends a protocol amendment but cannot make it. Researchers review the affected records, approve a revised timing rule, and issue packet 1.4 before the other agents resume work.</w:t>
      </w:r>
    </w:p>
    <w:bookmarkEnd w:id="223"/>
    <w:bookmarkStart w:id="224" w:name="try-it-13"/>
    <w:p>
      <w:pPr>
        <w:pStyle w:val="Heading2"/>
      </w:pPr>
      <w:r>
        <w:t xml:space="preserve">18.4 Try It</w:t>
      </w:r>
    </w:p>
    <w:p>
      <w:pPr>
        <w:pStyle w:val="FirstParagraph"/>
      </w:pPr>
      <w:r>
        <w:t xml:space="preserve">Start with one review question and write the decision it must support. Name the review form that best fits that purpose. Then state why two neighboring forms would answer different questions.</w:t>
      </w:r>
    </w:p>
    <w:p>
      <w:pPr>
        <w:pStyle w:val="BodyText"/>
      </w:pPr>
      <w:r>
        <w:t xml:space="preserve">Create an estimand table for five candidate studies. Record population, exposure or intervention, comparison, outcome, timing, design, and effect measure. Add sample and dataset identifiers. Mark which studies could enter one quantitative synthesis and explain every exclusion from pooling.</w:t>
      </w:r>
    </w:p>
    <w:p>
      <w:pPr>
        <w:pStyle w:val="BodyText"/>
      </w:pPr>
      <w:r>
        <w:t xml:space="preserve">For the eligible estimates, draw a dependence map. Connect effects that share participants, datasets, outcomes, authorship pipelines, or measurement instruments. Choose a strategy for each connection and state what assumption the strategy requires.</w:t>
      </w:r>
    </w:p>
    <w:p>
      <w:pPr>
        <w:pStyle w:val="BodyText"/>
      </w:pPr>
      <w:r>
        <w:t xml:space="preserve">Draft a result paragraph that reports the mean, its uncertainty, heterogeneity, a prediction interval, and one limitation arising from the corpus. Remove any sentence that treats statistical significance as a complete substantive conclusion.</w:t>
      </w:r>
    </w:p>
    <w:p>
      <w:pPr>
        <w:pStyle w:val="BodyText"/>
      </w:pPr>
      <w:r>
        <w:t xml:space="preserve">Finally, write an update policy. Specify surveillance sources, cadence, update triggers, owner, release format, correction route, and retirement condition. Label each planned feature as current, emerging, or conditional future. This prevents an aspiration from being presented as an implemented method.</w:t>
      </w:r>
    </w:p>
    <w:p>
      <w:pPr>
        <w:pStyle w:val="BodyText"/>
      </w:pPr>
      <w:r>
        <w:t xml:space="preserve">Design one research skill for the review. Write its trigger, required inputs, procedure, output schema, verification rule, permissions, failure condition, and three benchmark cases. Then write an agent work order that may invoke the skill. Give the agent one goal, a context version, approved tools, a stopping rule, and an escalation route.</w:t>
      </w:r>
    </w:p>
    <w:p>
      <w:pPr>
        <w:pStyle w:val="BodyText"/>
      </w:pPr>
      <w:r>
        <w:t xml:space="preserve">Create project context packet 0.1. Limit its stable layer to one page. Add a current-state table and a task layer for one operation. Ask a colleague to locate one accepted decision, one unresolved dispute, and one source artifact using only the packet. Revise any entry that cannot be traced.</w:t>
      </w:r>
    </w:p>
    <w:bookmarkEnd w:id="224"/>
    <w:bookmarkStart w:id="225" w:name="guided-ai-workflow-13"/>
    <w:p>
      <w:pPr>
        <w:pStyle w:val="Heading2"/>
      </w:pPr>
      <w:r>
        <w:t xml:space="preserve">18.5 Guided AI Workflow</w:t>
      </w:r>
    </w:p>
    <w:p>
      <w:pPr>
        <w:pStyle w:val="FirstParagraph"/>
      </w:pPr>
      <w:r>
        <w:t xml:space="preserve">Begin by issuing a versioned project context packet and work order. Then use AI in four bounded passes. In the design pass, provide the research question and intended decision. Ask the system to compare plausible review forms and list the evidence each would require. In the structure pass, provide verified study metadata and researcher-defined fields. Ask it to flag possible construct mismatch, dependence, and missing values without deciding eligibility. In the audit pass, provide the analysis plan and output. Ask for unsupported inferences, omitted sensitivity tests, and discrepancies between the estimand and conclusion. In the update pass, ask it to rank new candidate records and explain each ranking.</w:t>
      </w:r>
    </w:p>
    <w:p>
      <w:pPr>
        <w:pStyle w:val="BodyText"/>
      </w:pPr>
      <w:r>
        <w:t xml:space="preserve">A useful audit prompt is:</w:t>
      </w:r>
    </w:p>
    <w:p>
      <w:pPr>
        <w:pStyle w:val="BlockText"/>
      </w:pPr>
      <w:r>
        <w:t xml:space="preserve">Review this estimand table, effect structure, analysis plan, and draft conclusion. Identify claims that exceed the eligible corpus, effect estimates that may be dependent, sources of heterogeneity not represented in the model, and statements that confuse a pooled mean with an expected effect in a new setting. Cite only the supplied record identifiers. Return “not established” when the record is insufficient.</w:t>
      </w:r>
    </w:p>
    <w:p>
      <w:pPr>
        <w:pStyle w:val="FirstParagraph"/>
      </w:pPr>
      <w:r>
        <w:rPr>
          <w:b/>
          <w:bCs/>
        </w:rPr>
        <w:t xml:space="preserve">Permitted input:</w:t>
      </w:r>
      <w:r>
        <w:t xml:space="preserve"> </w:t>
      </w:r>
      <w:r>
        <w:t xml:space="preserve">Verified metadata, researcher-authored protocols, rights-cleared text, structured extraction fields, de-identified effect data, code, and public analytical output.</w:t>
      </w:r>
      <w:r>
        <w:br/>
      </w:r>
      <w:r>
        <w:rPr>
          <w:b/>
          <w:bCs/>
        </w:rPr>
        <w:t xml:space="preserve">Do not provide:</w:t>
      </w:r>
      <w:r>
        <w:t xml:space="preserve"> </w:t>
      </w:r>
      <w:r>
        <w:t xml:space="preserve">Licensed full text without permission, confidential peer-review material, protected participant data, restricted archives, or identifiable sensitive records.</w:t>
      </w:r>
      <w:r>
        <w:br/>
      </w:r>
      <w:r>
        <w:rPr>
          <w:b/>
          <w:bCs/>
        </w:rPr>
        <w:t xml:space="preserve">Verify:</w:t>
      </w:r>
      <w:r>
        <w:t xml:space="preserve"> </w:t>
      </w:r>
      <w:r>
        <w:t xml:space="preserve">Check every proposed inclusion, exclusion, extracted value, source span, transformation, dependence link, citation, and analytical claim. Test screening and extraction performance on a representative human-coded sample.</w:t>
      </w:r>
      <w:r>
        <w:br/>
      </w:r>
      <w:r>
        <w:rPr>
          <w:b/>
          <w:bCs/>
        </w:rPr>
        <w:t xml:space="preserve">Record:</w:t>
      </w:r>
      <w:r>
        <w:t xml:space="preserve"> </w:t>
      </w:r>
      <w:r>
        <w:t xml:space="preserve">Save model and version, skill and agent versions, project context packet, work order, prompt, input description, tool actions, output, reviewer decision, error category, protocol and corpus versions, analysis release, and date.</w:t>
      </w:r>
    </w:p>
    <w:p>
      <w:pPr>
        <w:pStyle w:val="BodyText"/>
      </w:pPr>
      <w:r>
        <w:t xml:space="preserve">Do not ask a model to select the final review form, infer missing statistics without a declared method, adjudicate risk of bias alone, or choose a publication-bias correction after seeing which result is favorable. Do not accept a causal or policy conclusion that cannot be reconstructed from the reviewed evidence objects.</w:t>
      </w:r>
    </w:p>
    <w:bookmarkEnd w:id="225"/>
    <w:bookmarkStart w:id="226" w:name="integrity-checkpoint-13"/>
    <w:p>
      <w:pPr>
        <w:pStyle w:val="Heading2"/>
      </w:pPr>
      <w:r>
        <w:t xml:space="preserve">18.6 Integrity Checkpoint</w:t>
      </w:r>
    </w:p>
    <w:p>
      <w:pPr>
        <w:pStyle w:val="FirstParagraph"/>
      </w:pPr>
      <w:r>
        <w:t xml:space="preserve">A comprehensive search can still reproduce unequal visibility. Dominant databases index some journals, languages, regions, and publication forms more completely than others. AI systems inherit those boundaries and may rank familiar terminology above locally specific concepts. Audit discovery by language, geography, discipline, publication form, and institutional access.</w:t>
      </w:r>
    </w:p>
    <w:p>
      <w:pPr>
        <w:pStyle w:val="BodyText"/>
      </w:pPr>
      <w:r>
        <w:t xml:space="preserve">Quantitative synthesis can erase difference through a common effect measure. Before converting outcomes, ask whether they represent the same construct and decision. Preserve original scales and definitions alongside transformed values. Report exclusions from pooling without treating unpooled studies as inferior evidence.</w:t>
      </w:r>
    </w:p>
    <w:p>
      <w:pPr>
        <w:pStyle w:val="BodyText"/>
      </w:pPr>
      <w:r>
        <w:t xml:space="preserve">Open release also has limits. Study-level data may contain confidential information or enable reidentification. Search histories can expose sensitive research interests or restricted holdings. Release a calibrated public package and document the withheld components, access basis, and responsible contact.</w:t>
      </w:r>
    </w:p>
    <w:p>
      <w:pPr>
        <w:pStyle w:val="BodyText"/>
      </w:pPr>
      <w:r>
        <w:t xml:space="preserve">AI assistance creates additional disclosure duties. Name the operations it supported, the system version, validation procedure, and known failures. Do not list a general-purpose model as an author or allow it to conceal who made consequential decisions.</w:t>
      </w:r>
    </w:p>
    <w:p>
      <w:pPr>
        <w:pStyle w:val="BodyText"/>
      </w:pPr>
      <w:r>
        <w:t xml:space="preserve">Agent delegation can obscure responsibility. A coordinating agent may summarize another agent’s output and remove its qualifications. Several agents may repeat one mistaken extraction and make it appear independently confirmed. Preserve the complete provenance chain, label shared models and inputs, and route agent outputs through the same evidence checks as direct model output.</w:t>
      </w:r>
    </w:p>
    <w:p>
      <w:pPr>
        <w:pStyle w:val="BodyText"/>
      </w:pPr>
      <w:r>
        <w:t xml:space="preserve">Project context can contain unpublished arguments, access credentials, participant information, and restricted source locations. Give each agent only the layer required for its task. A context packet prepared for discovery should not expose material needed only for confidential analysis.</w:t>
      </w:r>
    </w:p>
    <w:p>
      <w:pPr>
        <w:pStyle w:val="BodyText"/>
      </w:pPr>
      <w:r>
        <w:t xml:space="preserve">Finally, resist prestige by method. A complex model cannot compensate for a weak corpus. A transparent narrative synthesis can be more informative than an invalid pooled estimate. The review earns trust by matching its claim to its evidence and preserving the path between them.</w:t>
      </w:r>
    </w:p>
    <w:bookmarkEnd w:id="226"/>
    <w:bookmarkStart w:id="228" w:name="save-the-artifact-13"/>
    <w:p>
      <w:pPr>
        <w:pStyle w:val="Heading2"/>
      </w:pPr>
      <w:r>
        <w:t xml:space="preserve">18.7 Save the Artifact</w:t>
      </w:r>
    </w:p>
    <w:p>
      <w:pPr>
        <w:pStyle w:val="FirstParagraph"/>
      </w:pPr>
      <w:r>
        <w:t xml:space="preserve">Save a review design memo that links the question, intended decision, review form, eligible evidence, and synthesis method. Preserve the protocol and every dated amendment.</w:t>
      </w:r>
    </w:p>
    <w:p>
      <w:pPr>
        <w:pStyle w:val="BodyText"/>
      </w:pPr>
      <w:r>
        <w:t xml:space="preserve">Maintain a source register, screening log, extraction dictionary, coded corpus, dependence map, and synthesis memo. For meta-analysis, add raw and transformed effect data, executable code, session information, model diagnostics, prediction intervals, and sensitivity results.</w:t>
      </w:r>
    </w:p>
    <w:p>
      <w:pPr>
        <w:pStyle w:val="BodyText"/>
      </w:pPr>
      <w:r>
        <w:t xml:space="preserve">Create a release manifest. It should name the corpus version, protocol version, codebook version, analysis commit, public files, restricted files, license, citation, review date, correction route, update trigger, and retirement condition. Give each release a stable identifier and preserve earlier releases.</w:t>
      </w:r>
    </w:p>
    <w:p>
      <w:pPr>
        <w:pStyle w:val="BodyText"/>
      </w:pPr>
      <w:r>
        <w:t xml:space="preserve">Maintain a research-automation register. For every skill, save its manifest, instructions, scripts or schemas, benchmark set, evaluation results, permissions, owner, and version. For every agent, save its work-order template, permitted skills and tools, expected output, escalation rule, and tests. Archive each project context packet and its approved change log. Do not store credentials or protected source content in these public or reusable definitions.</w:t>
      </w:r>
    </w:p>
    <w:p>
      <w:pPr>
        <w:pStyle w:val="BodyText"/>
      </w:pPr>
      <w:r>
        <w:t xml:space="preserve">The accompanying</w:t>
      </w:r>
      <w:r>
        <w:t xml:space="preserve"> </w:t>
      </w:r>
      <w:hyperlink r:id="rId227">
        <w:r>
          <w:rPr>
            <w:rStyle w:val="Hyperlink"/>
          </w:rPr>
          <w:t xml:space="preserve">Skills and Agents Lab</w:t>
        </w:r>
      </w:hyperlink>
      <w:r>
        <w:t xml:space="preserve"> </w:t>
      </w:r>
      <w:r>
        <w:t xml:space="preserve">provides the first complete implementation of this architecture. Release 0.1.0 contains a literature-discovery skill, a read-only scout agent, a three-layer project-context packet, three synthetic benchmark cases, a candidate-register validator, an explicit failure report, and a versioned download. It is a pilot procedure to inspect and test, not evidence that autonomous discovery is reliable.</w:t>
      </w:r>
    </w:p>
    <w:p>
      <w:pPr>
        <w:pStyle w:val="BodyText"/>
      </w:pPr>
      <w:r>
        <w:t xml:space="preserve">The article, dataset, code, and review website should point to the same manifest. This shared reference prevents a current webpage from silently changing the evidence behind an older citation.</w:t>
      </w:r>
    </w:p>
    <w:bookmarkEnd w:id="228"/>
    <w:bookmarkStart w:id="229" w:name="advanced-practice-13"/>
    <w:p>
      <w:pPr>
        <w:pStyle w:val="Heading2"/>
      </w:pPr>
      <w:r>
        <w:t xml:space="preserve">18.8 Advanced Practice</w:t>
      </w:r>
    </w:p>
    <w:p>
      <w:pPr>
        <w:pStyle w:val="FirstParagraph"/>
      </w:pPr>
      <w:r>
        <w:t xml:space="preserve">Prospective meta-analysis coordinates eligible studies and analyses before their results become known. It can reduce some forms of outcome selection and harmonize measures while preserving study-level independence. It requires governance that protects local study ownership and records any changes made after results arrive.</w:t>
      </w:r>
    </w:p>
    <w:p>
      <w:pPr>
        <w:pStyle w:val="BodyText"/>
      </w:pPr>
      <w:r>
        <w:t xml:space="preserve">Individual-participant-data meta-analysis can examine common definitions and participant-level variation that published aggregates cannot support. Its advantages depend on data access, harmonization quality, missingness, and representation of studies that cannot share data. The unavailable studies remain part of the inference problem.</w:t>
      </w:r>
    </w:p>
    <w:p>
      <w:pPr>
        <w:pStyle w:val="BodyText"/>
      </w:pPr>
      <w:r>
        <w:t xml:space="preserve">Bayesian meta-analysis can encode uncertainty about heterogeneity, combine prior information with new evidence, and support sequential updating. Priors should be justified, sensitivity-tested, and separated from evidence supplied by the included studies. Bayesian computation does not make incomparable effects comparable.</w:t>
      </w:r>
    </w:p>
    <w:p>
      <w:pPr>
        <w:pStyle w:val="BodyText"/>
      </w:pPr>
      <w:r>
        <w:t xml:space="preserve">Multiverse meta-analysis can reveal how defensible choices about inclusion, effect selection, dependence, and modeling affect the conclusion. The set of specifications must follow substantive and methodological reasoning. A large grid of arbitrary models can obscure judgment as easily as one preferred model.</w:t>
      </w:r>
    </w:p>
    <w:p>
      <w:pPr>
        <w:pStyle w:val="BodyText"/>
      </w:pPr>
      <w:r>
        <w:t xml:space="preserve">The mature review program connects these methods to a Second Brain without collapsing private work into public evidence. Source notes, decision records, and synthesis memos support learning. Stable public releases support scrutiny and reuse. The boundary between them is deliberate.</w:t>
      </w:r>
    </w:p>
    <w:p>
      <w:pPr>
        <w:pStyle w:val="BodyText"/>
      </w:pPr>
      <w:r>
        <w:t xml:space="preserve">An advanced system may use a coordinating agent to divide a review update into discovery, gap analysis, methods audit, and collection tasks. Coordination should occur through artifacts rather than conversational summaries. Each specialist receives the same approved project card, a distinct work order, and only the context needed for its task. The coordinator can detect missing outputs and schema conflicts, but human reviewers still control the gates between candidate, verified, accepted, and published states.</w:t>
      </w:r>
    </w:p>
    <w:p>
      <w:pPr>
        <w:pStyle w:val="BodyText"/>
      </w:pPr>
      <w:r>
        <w:t xml:space="preserve">Treat the context curator as a librarian, not an executive. It maintains indexes, reports contradictions, assembles task packets, and proposes version changes. It does not decide that a disputed claim has become accepted or that an old limitation no longer matters. Keeping this boundary protects the project’s intellectual history from being rewritten for the convenience of the current task.</w:t>
      </w:r>
    </w:p>
    <w:p>
      <w:pPr>
        <w:pStyle w:val="BodyText"/>
      </w:pPr>
      <w:r>
        <w:t xml:space="preserve">The future review article is therefore neither a traditional essay with added links nor a database without an argument. It is a governed scholarly claim over a versioned evidence system. Its authority comes from the fit among question, corpus, method, and interpretation. Its capacity to change becomes a strength only when readers can see what changed, why it changed, and which conclusion the earlier evidence supported.</w:t>
      </w:r>
    </w:p>
    <w:bookmarkEnd w:id="229"/>
    <w:bookmarkEnd w:id="230"/>
    <w:bookmarkStart w:id="263" w:name="building-event-databases-with-ai"/>
    <w:p>
      <w:pPr>
        <w:pStyle w:val="Heading1"/>
      </w:pPr>
      <w:r>
        <w:t xml:space="preserve">19. Building Event Databases with AI</w:t>
      </w:r>
    </w:p>
    <w:bookmarkStart w:id="235" w:name="orientation-14"/>
    <w:p>
      <w:pPr>
        <w:pStyle w:val="Heading2"/>
      </w:pPr>
      <w:r>
        <w:t xml:space="preserve">19.1 Orientation</w:t>
      </w:r>
    </w:p>
    <w:p>
      <w:pPr>
        <w:pStyle w:val="FirstParagraph"/>
      </w:pPr>
      <w:r>
        <w:t xml:space="preserve">Event databases convert dispersed accounts into comparable records. A researcher may begin with a question about protest, repression, political violence, institutional reform, migration, or disaster response. The relevant traces may appear across newspapers, archival catalogues, government reports, organizational records, and born-digital collections. Before generative AI, much of the work required repetitive searching, copying, normalization, and initial classification. These tasks consumed time that researchers needed for interpretation.</w:t>
      </w:r>
    </w:p>
    <w:p>
      <w:pPr>
        <w:pStyle w:val="BodyText"/>
      </w:pPr>
      <w:r>
        <w:t xml:space="preserve">AI changes the feasible scale of this work. A system can expand queries, search an authorized collection, extract candidate fields, compare reports, and flag records that may describe the same occurrence. It can apply a preliminary codebook to thousands of passages and identify dimensions the original codebook omitted. Studies of text annotation show that language models can perform some bounded classification tasks quickly and inexpensively. Performance, however, varies substantially across tasks and datasets, which makes local validation indispensable.</w:t>
      </w:r>
      <w:r>
        <w:rPr>
          <w:rStyle w:val="FootnoteReference"/>
        </w:rPr>
        <w:footnoteReference w:id="231"/>
      </w:r>
    </w:p>
    <w:p>
      <w:pPr>
        <w:pStyle w:val="BodyText"/>
      </w:pPr>
      <w:r>
        <w:t xml:space="preserve">The resulting speed creates a methodological danger. A fluent extraction can make an uncertain mention look like an observed event. Several articles can make one wire report look like independent confirmation. A model can produce a precise code for an ambiguous passage or a causal probability without defining the comparison that gives the number meaning. Faster processing does not remove these problems. It can reproduce them at scale.</w:t>
      </w:r>
    </w:p>
    <w:p>
      <w:pPr>
        <w:pStyle w:val="BodyText"/>
      </w:pPr>
      <w:r>
        <w:t xml:space="preserve">This chapter presents an auditable alternative. AI compresses clerical stages while the researcher preserves a visible chain from source to record, record to event, event to variable, and written evidence to causal inference. Every transition produces an artifact that can be reviewed, corrected, and versioned.</w:t>
      </w:r>
    </w:p>
    <w:bookmarkEnd w:id="235"/>
    <w:bookmarkStart w:id="256" w:name="learn-14"/>
    <w:p>
      <w:pPr>
        <w:pStyle w:val="Heading2"/>
      </w:pPr>
      <w:r>
        <w:t xml:space="preserve">19.2 Learn</w:t>
      </w:r>
    </w:p>
    <w:bookmarkStart w:id="236" w:name="begin-with-the-unit-not-the-model"/>
    <w:p>
      <w:pPr>
        <w:pStyle w:val="Heading3"/>
      </w:pPr>
      <w:r>
        <w:t xml:space="preserve">19.2.1 Begin with the unit, not the model</w:t>
      </w:r>
    </w:p>
    <w:p>
      <w:pPr>
        <w:pStyle w:val="FirstParagraph"/>
      </w:pPr>
      <w:r>
        <w:t xml:space="preserve">An event database requires a declared unit of observation. The unit might be an attack, demonstration, arrest, policy decision, organizational founding, public statement, or interaction between named actors. Its boundary must state what counts as one event, when two reports refer to the same event, and when one report contains several events.</w:t>
      </w:r>
    </w:p>
    <w:p>
      <w:pPr>
        <w:pStyle w:val="BodyText"/>
      </w:pPr>
      <w:r>
        <w:t xml:space="preserve">Write the boundary before retrieval. Record inclusion and exclusion rules, temporal and geographic scope, actor and action definitions, and the minimum evidence required for a verified record. The first codebook should follow the research question and hypotheses. It should identify the variables needed to describe the event, evaluate rival explanations, and document the reporting process.</w:t>
      </w:r>
    </w:p>
    <w:p>
      <w:pPr>
        <w:pStyle w:val="BodyText"/>
      </w:pPr>
      <w:r>
        <w:t xml:space="preserve">This order matters because a model will readily propose whatever categories are easy to extract. Extractability is not theoretical importance. If the system defines the unit through its output, the database may record what the model recognizes instead of what the research design requires.</w:t>
      </w:r>
    </w:p>
    <w:bookmarkEnd w:id="236"/>
    <w:bookmarkStart w:id="241" w:name="build-a-source-frame"/>
    <w:p>
      <w:pPr>
        <w:pStyle w:val="Heading3"/>
      </w:pPr>
      <w:r>
        <w:t xml:space="preserve">19.2.2 Build a source frame</w:t>
      </w:r>
    </w:p>
    <w:p>
      <w:pPr>
        <w:pStyle w:val="FirstParagraph"/>
      </w:pPr>
      <w:r>
        <w:t xml:space="preserve">Manual newspaper searching often proceeds title by title and query by query. A digital source frame allows the researcher to define a collection before searching it. The frame records each newspaper, archive, database, date range, language, access route, known gap, and relevant restriction. Open news infrastructures can support large-scale retrieval, while library archives can expose searchable historical newspapers and catalogue records.</w:t>
      </w:r>
      <w:r>
        <w:rPr>
          <w:rStyle w:val="FootnoteReference"/>
        </w:rPr>
        <w:footnoteReference w:id="237"/>
      </w:r>
      <w:r>
        <w:t xml:space="preserve"> </w:t>
      </w:r>
      <w:r>
        <w:t xml:space="preserve">The frame should also include local and oppositional sources that a prominent aggregator may not index.</w:t>
      </w:r>
    </w:p>
    <w:p>
      <w:pPr>
        <w:pStyle w:val="BodyText"/>
      </w:pPr>
      <w:r>
        <w:t xml:space="preserve">Digitized collections are not transparent windows onto the past. Selection, survival, digitization, OCR quality, licensing, and search interfaces shape what becomes discoverable. Studies of newspaper digitization show why collection composition must be examined before researchers interpret search results as historical coverage.</w:t>
      </w:r>
      <w:r>
        <w:rPr>
          <w:rStyle w:val="FootnoteReference"/>
        </w:rPr>
        <w:footnoteReference w:id="239"/>
      </w:r>
      <w:r>
        <w:t xml:space="preserve"> </w:t>
      </w:r>
      <w:r>
        <w:t xml:space="preserve">A failed query may indicate absence, vocabulary mismatch, OCR error, unavailable dates, or a source omitted from the platform. Record which explanation remains plausible.</w:t>
      </w:r>
    </w:p>
    <w:p>
      <w:pPr>
        <w:pStyle w:val="BodyText"/>
      </w:pPr>
      <w:r>
        <w:t xml:space="preserve">AI can accelerate work inside the source frame. It can translate query concepts, generate historical names, adapt syntax across archives, and rank retrieved documents for review. A search-connected system may also query an approved interface directly. These operations remain collection procedures. The search log should preserve the source collection, query, date, filters, result count, model or script, and review decision. Access must comply with archive rules, licenses, privacy obligations, and research ethics.</w:t>
      </w:r>
    </w:p>
    <w:bookmarkEnd w:id="241"/>
    <w:bookmarkStart w:id="242" w:name="separate-discovery-from-verification"/>
    <w:p>
      <w:pPr>
        <w:pStyle w:val="Heading3"/>
      </w:pPr>
      <w:r>
        <w:t xml:space="preserve">19.2.3 Separate discovery from verification</w:t>
      </w:r>
    </w:p>
    <w:p>
      <w:pPr>
        <w:pStyle w:val="FirstParagraph"/>
      </w:pPr>
      <w:r>
        <w:t xml:space="preserve">The first extraction produces a</w:t>
      </w:r>
      <w:r>
        <w:t xml:space="preserve"> </w:t>
      </w:r>
      <w:r>
        <w:rPr>
          <w:b/>
          <w:bCs/>
        </w:rPr>
        <w:t xml:space="preserve">candidate record</w:t>
      </w:r>
      <w:r>
        <w:t xml:space="preserve">, not an event. A candidate record reports that a particular source span may describe an event within scope. It should preserve the document identifier, publication date, page or URL, exact source span, retrieval route, proposed event date, actors, action, target, location, and model output. The preserved span allows a reviewer to return to the evidence without trusting the summary.</w:t>
      </w:r>
    </w:p>
    <w:p>
      <w:pPr>
        <w:pStyle w:val="BodyText"/>
      </w:pPr>
      <w:r>
        <w:t xml:space="preserve">A candidate becomes a</w:t>
      </w:r>
      <w:r>
        <w:t xml:space="preserve"> </w:t>
      </w:r>
      <w:r>
        <w:rPr>
          <w:b/>
          <w:bCs/>
        </w:rPr>
        <w:t xml:space="preserve">verified record</w:t>
      </w:r>
      <w:r>
        <w:t xml:space="preserve"> </w:t>
      </w:r>
      <w:r>
        <w:t xml:space="preserve">only after the relevant passage and metadata have been checked. Verification asks whether the source exists, whether the passage supports the proposed fields, whether uncertainty has been preserved, and whether the item satisfies the inclusion rule. The decision may be accepted, rejected, or marked unresolved. It must name the reviewer and date.</w:t>
      </w:r>
    </w:p>
    <w:p>
      <w:pPr>
        <w:pStyle w:val="BodyText"/>
      </w:pPr>
      <w:r>
        <w:t xml:space="preserve">This separation allows wide retrieval without lowering the evidentiary threshold. The system can favor recall during discovery because false positives remain outside the verified dataset. Reviewers can then favor precision when deciding what enters the database. A model should have an abstention route for passages that do not support a stable classification.</w:t>
      </w:r>
    </w:p>
    <w:bookmarkEnd w:id="242"/>
    <w:bookmarkStart w:id="245" w:name="resolve-reports-into-events"/>
    <w:p>
      <w:pPr>
        <w:pStyle w:val="Heading3"/>
      </w:pPr>
      <w:r>
        <w:t xml:space="preserve">19.2.4 Resolve reports into events</w:t>
      </w:r>
    </w:p>
    <w:p>
      <w:pPr>
        <w:pStyle w:val="FirstParagraph"/>
      </w:pPr>
      <w:r>
        <w:t xml:space="preserve">News collections rarely provide one document per event. The same account may be syndicated, translated, updated, quoted by another outlet, or repeated in a retrospective report. Conversely, one article may describe several occurrences. The database therefore needs an event-resolution stage between verified records and analytical events.</w:t>
      </w:r>
    </w:p>
    <w:p>
      <w:pPr>
        <w:pStyle w:val="BodyText"/>
      </w:pPr>
      <w:r>
        <w:t xml:space="preserve">AI can compare names, dates, places, actions, and source spans to generate possible matches. Event extraction research shows, however, that simple zero-shot prompting can perform poorly when reports contain ambiguity, hypothetical language, or several interacting actors.</w:t>
      </w:r>
      <w:r>
        <w:rPr>
          <w:rStyle w:val="FootnoteReference"/>
        </w:rPr>
        <w:footnoteReference w:id="243"/>
      </w:r>
      <w:r>
        <w:t xml:space="preserve"> </w:t>
      </w:r>
      <w:r>
        <w:t xml:space="preserve">A match score should therefore open a review task instead of merging records automatically.</w:t>
      </w:r>
    </w:p>
    <w:p>
      <w:pPr>
        <w:pStyle w:val="BodyText"/>
      </w:pPr>
      <w:r>
        <w:t xml:space="preserve">The</w:t>
      </w:r>
      <w:r>
        <w:t xml:space="preserve"> </w:t>
      </w:r>
      <w:r>
        <w:rPr>
          <w:b/>
          <w:bCs/>
        </w:rPr>
        <w:t xml:space="preserve">event resolution log</w:t>
      </w:r>
      <w:r>
        <w:t xml:space="preserve"> </w:t>
      </w:r>
      <w:r>
        <w:t xml:space="preserve">records every merge, split, and non-match. It links source-record identifiers to a stable event identifier and gives the rule, evidence, reviewer, and confidence category. It also records dependence. Five newspapers repeating one wire dispatch represent broad circulation, not five independent observations. Preserving that distinction prevents source abundance from becoming false corroboration.</w:t>
      </w:r>
    </w:p>
    <w:bookmarkEnd w:id="245"/>
    <w:bookmarkStart w:id="246" w:name="Xa4d8203b4f7a31b0cadf854735a5261c2c5f19b"/>
    <w:p>
      <w:pPr>
        <w:pStyle w:val="Heading3"/>
      </w:pPr>
      <w:r>
        <w:t xml:space="preserve">19.2.5 Let the codebook learn without moving silently</w:t>
      </w:r>
    </w:p>
    <w:p>
      <w:pPr>
        <w:pStyle w:val="FirstParagraph"/>
      </w:pPr>
      <w:r>
        <w:t xml:space="preserve">An initial codebook should express the research hypotheses, but it should not be treated as complete. Early records may reveal unanticipated actors, mechanisms, event sequences, source effects, or confounders. AI can scan verified records and propose additional variables that distinguish rival explanations or capture recurrent variation.</w:t>
      </w:r>
    </w:p>
    <w:p>
      <w:pPr>
        <w:pStyle w:val="BodyText"/>
      </w:pPr>
      <w:r>
        <w:t xml:space="preserve">Dynamic coding requires controlled change. The codebook should contain a stable core and an experimental extension layer. Core variables remain fixed during a declared release. Proposed variables enter the extension layer with a definition, rationale, allowed values, inclusion and exclusion rules, supporting examples, and an account of the hypothesis or comparison they serve. The</w:t>
      </w:r>
      <w:r>
        <w:t xml:space="preserve"> </w:t>
      </w:r>
      <w:r>
        <w:rPr>
          <w:b/>
          <w:bCs/>
        </w:rPr>
        <w:t xml:space="preserve">codebook version</w:t>
      </w:r>
      <w:r>
        <w:t xml:space="preserve"> </w:t>
      </w:r>
      <w:r>
        <w:t xml:space="preserve">must accompany every coded record.</w:t>
      </w:r>
    </w:p>
    <w:p>
      <w:pPr>
        <w:pStyle w:val="BodyText"/>
      </w:pPr>
      <w:r>
        <w:t xml:space="preserve">A proposed variable should be tested on a validation sample before promotion. Reviewers ask whether it can be observed consistently, whether it duplicates an existing field, whether it encodes an inference as a fact, and whether it reflects reporting practice instead of the event itself. If promoted, the team either recodes earlier events or records that prior values are missing by design. Silent addition would make change over time indistinguishable from a change in measurement.</w:t>
      </w:r>
    </w:p>
    <w:p>
      <w:pPr>
        <w:pStyle w:val="BodyText"/>
      </w:pPr>
      <w:r>
        <w:t xml:space="preserve">This workflow turns AI into a critic of the original design. The model may notice a missing variable, but it does not decide that the variable belongs in the database. That decision remains theoretical, empirical, and comparative.</w:t>
      </w:r>
    </w:p>
    <w:bookmarkEnd w:id="246"/>
    <w:bookmarkStart w:id="249" w:name="validate-before-scaling"/>
    <w:p>
      <w:pPr>
        <w:pStyle w:val="Heading3"/>
      </w:pPr>
      <w:r>
        <w:t xml:space="preserve">19.2.6 Validate before scaling</w:t>
      </w:r>
    </w:p>
    <w:p>
      <w:pPr>
        <w:pStyle w:val="FirstParagraph"/>
      </w:pPr>
      <w:r>
        <w:t xml:space="preserve">Automated coding should be evaluated against researcher-coded material drawn from the intended corpus. The validation sample should include different periods, sources, languages, common classes, rare classes, and difficult boundary cases. A temporal holdout helps expose drift. A source holdout tests whether the system has learned one outlet’s style instead of the event concept.</w:t>
      </w:r>
    </w:p>
    <w:p>
      <w:pPr>
        <w:pStyle w:val="BodyText"/>
      </w:pPr>
      <w:r>
        <w:t xml:space="preserve">Report performance by variable and class. Overall accuracy can conceal failure on rare but substantively important events. Precision, recall, and error types usually provide more useful guidance. Double-code a consequential or ambiguous subset, adjudicate disagreements, and record whether each error arose from retrieval, source quality, event resolution, the codebook, or the model. Contemporary event-data research treats this as a measurement problem, not merely a software benchmark.</w:t>
      </w:r>
      <w:r>
        <w:rPr>
          <w:rStyle w:val="FootnoteReference"/>
        </w:rPr>
        <w:footnoteReference w:id="247"/>
      </w:r>
    </w:p>
    <w:p>
      <w:pPr>
        <w:pStyle w:val="BodyText"/>
      </w:pPr>
      <w:r>
        <w:t xml:space="preserve">Validation has a scope. A model that performs well on English national newspapers from one decade has not been validated for local-language archives or another period. Record the tested population, prompt, model, codebook version, and decision threshold. Revalidate after a material change to any of them.</w:t>
      </w:r>
    </w:p>
    <w:bookmarkEnd w:id="249"/>
    <w:bookmarkStart w:id="255" w:name="Xbb3b6a25e4d702c2b579e02febfbdbbde948889"/>
    <w:p>
      <w:pPr>
        <w:pStyle w:val="Heading3"/>
      </w:pPr>
      <w:r>
        <w:t xml:space="preserve">19.2.7 Use Bayesian updating as a declared argument</w:t>
      </w:r>
    </w:p>
    <w:p>
      <w:pPr>
        <w:pStyle w:val="FirstParagraph"/>
      </w:pPr>
      <w:r>
        <w:t xml:space="preserve">Written evidence can change the relative plausibility of rival causal explanations. Bayesian reasoning makes this change explicit. Suppose (H_1) and (H_0) are rival explanations and (E) is a verified item of evidence. The update can be expressed as:</w:t>
      </w:r>
    </w:p>
    <w:p>
      <w:pPr>
        <w:pStyle w:val="BodyText"/>
      </w:pPr>
      <m:oMathPara>
        <m:oMathParaPr>
          <m:jc m:val="center"/>
        </m:oMathParaPr>
        <m:oMath>
          <m:f>
            <m:fPr>
              <m:type m:val="bar"/>
            </m:fPr>
            <m:num>
              <m:r>
                <m:t>P</m:t>
              </m:r>
              <m:r>
                <m:rPr>
                  <m:sty m:val="p"/>
                </m:rPr>
                <m:t>(</m:t>
              </m:r>
              <m:sSub>
                <m:e>
                  <m:r>
                    <m:t>H</m:t>
                  </m:r>
                </m:e>
                <m:sub>
                  <m:r>
                    <m:t>1</m:t>
                  </m:r>
                </m:sub>
              </m:sSub>
              <m:r>
                <m:rPr>
                  <m:sty m:val="p"/>
                </m:rPr>
                <m:t>∣</m:t>
              </m:r>
              <m:r>
                <m:t>E</m:t>
              </m:r>
              <m:r>
                <m:rPr>
                  <m:sty m:val="p"/>
                </m:rPr>
                <m:t>)</m:t>
              </m:r>
            </m:num>
            <m:den>
              <m:r>
                <m:t>P</m:t>
              </m:r>
              <m:r>
                <m:rPr>
                  <m:sty m:val="p"/>
                </m:rPr>
                <m:t>(</m:t>
              </m:r>
              <m:sSub>
                <m:e>
                  <m:r>
                    <m:t>H</m:t>
                  </m:r>
                </m:e>
                <m:sub>
                  <m:r>
                    <m:t>0</m:t>
                  </m:r>
                </m:sub>
              </m:sSub>
              <m:r>
                <m:rPr>
                  <m:sty m:val="p"/>
                </m:rPr>
                <m:t>∣</m:t>
              </m:r>
              <m:r>
                <m:t>E</m:t>
              </m:r>
              <m:r>
                <m:rPr>
                  <m:sty m:val="p"/>
                </m:rPr>
                <m:t>)</m:t>
              </m:r>
            </m:den>
          </m:f>
          <m:r>
            <m:rPr>
              <m:sty m:val="p"/>
            </m:rPr>
            <m:t>=</m:t>
          </m:r>
          <m:f>
            <m:fPr>
              <m:type m:val="bar"/>
            </m:fPr>
            <m:num>
              <m:r>
                <m:t>P</m:t>
              </m:r>
              <m:r>
                <m:rPr>
                  <m:sty m:val="p"/>
                </m:rPr>
                <m:t>(</m:t>
              </m:r>
              <m:sSub>
                <m:e>
                  <m:r>
                    <m:t>H</m:t>
                  </m:r>
                </m:e>
                <m:sub>
                  <m:r>
                    <m:t>1</m:t>
                  </m:r>
                </m:sub>
              </m:sSub>
              <m:r>
                <m:rPr>
                  <m:sty m:val="p"/>
                </m:rPr>
                <m:t>)</m:t>
              </m:r>
            </m:num>
            <m:den>
              <m:r>
                <m:t>P</m:t>
              </m:r>
              <m:r>
                <m:rPr>
                  <m:sty m:val="p"/>
                </m:rPr>
                <m:t>(</m:t>
              </m:r>
              <m:sSub>
                <m:e>
                  <m:r>
                    <m:t>H</m:t>
                  </m:r>
                </m:e>
                <m:sub>
                  <m:r>
                    <m:t>0</m:t>
                  </m:r>
                </m:sub>
              </m:sSub>
              <m:r>
                <m:rPr>
                  <m:sty m:val="p"/>
                </m:rPr>
                <m:t>)</m:t>
              </m:r>
            </m:den>
          </m:f>
          <m:r>
            <m:rPr>
              <m:sty m:val="p"/>
            </m:rPr>
            <m:t>×</m:t>
          </m:r>
          <m:f>
            <m:fPr>
              <m:type m:val="bar"/>
            </m:fPr>
            <m:num>
              <m:r>
                <m:t>P</m:t>
              </m:r>
              <m:r>
                <m:rPr>
                  <m:sty m:val="p"/>
                </m:rPr>
                <m:t>(</m:t>
              </m:r>
              <m:r>
                <m:t>E</m:t>
              </m:r>
              <m:r>
                <m:rPr>
                  <m:sty m:val="p"/>
                </m:rPr>
                <m:t>∣</m:t>
              </m:r>
              <m:sSub>
                <m:e>
                  <m:r>
                    <m:t>H</m:t>
                  </m:r>
                </m:e>
                <m:sub>
                  <m:r>
                    <m:t>1</m:t>
                  </m:r>
                </m:sub>
              </m:sSub>
              <m:r>
                <m:rPr>
                  <m:sty m:val="p"/>
                </m:rPr>
                <m:t>)</m:t>
              </m:r>
            </m:num>
            <m:den>
              <m:r>
                <m:t>P</m:t>
              </m:r>
              <m:r>
                <m:rPr>
                  <m:sty m:val="p"/>
                </m:rPr>
                <m:t>(</m:t>
              </m:r>
              <m:r>
                <m:t>E</m:t>
              </m:r>
              <m:r>
                <m:rPr>
                  <m:sty m:val="p"/>
                </m:rPr>
                <m:t>∣</m:t>
              </m:r>
              <m:sSub>
                <m:e>
                  <m:r>
                    <m:t>H</m:t>
                  </m:r>
                </m:e>
                <m:sub>
                  <m:r>
                    <m:t>0</m:t>
                  </m:r>
                </m:sub>
              </m:sSub>
              <m:r>
                <m:rPr>
                  <m:sty m:val="p"/>
                </m:rPr>
                <m:t>)</m:t>
              </m:r>
            </m:den>
          </m:f>
        </m:oMath>
      </m:oMathPara>
    </w:p>
    <w:p>
      <w:pPr>
        <w:pStyle w:val="FirstParagraph"/>
      </w:pPr>
      <w:r>
        <w:t xml:space="preserve">The first ratio represents prior odds. The second is the</w:t>
      </w:r>
      <w:r>
        <w:t xml:space="preserve"> </w:t>
      </w:r>
      <w:r>
        <w:rPr>
          <w:b/>
          <w:bCs/>
        </w:rPr>
        <w:t xml:space="preserve">likelihood ratio</w:t>
      </w:r>
      <w:r>
        <w:t xml:space="preserve">: how much more expected the evidence would be under one explanation than the other. Explicit Bayesian process tracing can discipline comparison among explanations, but priors and likelihoods are not mechanically supplied by a document.</w:t>
      </w:r>
      <w:r>
        <w:rPr>
          <w:rStyle w:val="FootnoteReference"/>
        </w:rPr>
        <w:footnoteReference w:id="250"/>
      </w:r>
    </w:p>
    <w:p>
      <w:pPr>
        <w:pStyle w:val="BodyText"/>
      </w:pPr>
      <w:r>
        <w:t xml:space="preserve">AI can help prepare the reasoning. It can extract passages bearing on each hypothesis, identify temporal sequence, propose rival explanations, detect duplicated evidence, and ask what each hypothesis predicts. It can calculate posterior odds from declared inputs and run a sensitivity analysis across plausible likelihood ranges.</w:t>
      </w:r>
    </w:p>
    <w:p>
      <w:pPr>
        <w:pStyle w:val="BodyText"/>
      </w:pPr>
      <w:r>
        <w:t xml:space="preserve">The researcher assigns the prior and likelihood judgments. The researcher also decides whether a report is independent, authentic, contemporaneous, and diagnostic. A percentage generated from model confidence is not a likelihood ratio. Research on confidence elicitation shows that a language model’s stated certainty requires separate calibration and cannot substitute for a causal model.</w:t>
      </w:r>
      <w:r>
        <w:rPr>
          <w:rStyle w:val="FootnoteReference"/>
        </w:rPr>
        <w:footnoteReference w:id="253"/>
      </w:r>
    </w:p>
    <w:p>
      <w:pPr>
        <w:pStyle w:val="BodyText"/>
      </w:pPr>
      <w:r>
        <w:t xml:space="preserve">The Bayesian evidence table should therefore record the hypothesis pair, evidence identifier, provenance, predicted observation under each hypothesis, dependence group, likelihood range, rationale, reviewer, update, and sensitivity result. The model may draft alternatives for review. It may not convert fluent interpretation into causal probability.</w:t>
      </w:r>
    </w:p>
    <w:bookmarkEnd w:id="255"/>
    <w:bookmarkEnd w:id="256"/>
    <w:bookmarkStart w:id="257" w:name="worked-example-14"/>
    <w:p>
      <w:pPr>
        <w:pStyle w:val="Heading2"/>
      </w:pPr>
      <w:r>
        <w:t xml:space="preserve">19.3 Worked Example</w:t>
      </w:r>
    </w:p>
    <w:p>
      <w:pPr>
        <w:pStyle w:val="FirstParagraph"/>
      </w:pPr>
      <w:r>
        <w:t xml:space="preserve">Consider a project examining whether a campaign of coordinated attacks followed a central directive or emerged from local imitation. The source frame includes national and local newspapers, organizational statements, judicial records, and a digitized archive. Retrieval returns 8,000 documents. An AI-assisted classifier identifies 730 candidate records, while human verification accepts 412 and leaves 28 unresolved.</w:t>
      </w:r>
    </w:p>
    <w:p>
      <w:pPr>
        <w:pStyle w:val="BodyText"/>
      </w:pPr>
      <w:r>
        <w:t xml:space="preserve">The event-resolution pass finds that many accepted records repeat the same wire stories. It also finds articles that combine several incidents in one retrospective account. Reviewers link the 412 verified records to 167 resolved events. The database retains every source relationship, but analytical counts operate on event identifiers instead of article counts.</w:t>
      </w:r>
    </w:p>
    <w:p>
      <w:pPr>
        <w:pStyle w:val="BodyText"/>
      </w:pPr>
      <w:r>
        <w:t xml:space="preserve">The original codebook records date, location, actor, target, tactic, casualties, and claimed responsibility. During a pilot, the model repeatedly proposes three additional fields: prior local confrontation, evidence of tactical imitation, and evidence of communication before the event. The first two can be coded from defined written traces. The third is too inferential as phrased. The team revises it into separate observable fields for a documented meeting, a message, and an attributed statement. After a stratified validation sample, the new fields enter codebook version 1.1 and earlier events are recoded.</w:t>
      </w:r>
    </w:p>
    <w:p>
      <w:pPr>
        <w:pStyle w:val="BodyText"/>
      </w:pPr>
      <w:r>
        <w:t xml:space="preserve">For causal analysis, similar tactics across several events initially appear to favor coordination. The evidence table reveals that newspapers copied descriptions from one source and that imitation predicts similarity as well. The likelihood ratio stays close to one. An authenticated message sent before several events would be more diagnostic if its content distinguishes a directive from general encouragement. The model helps compare these implications and calculate sensitivity across researcher-assigned ranges. It does not determine which mechanism caused the campaign.</w:t>
      </w:r>
    </w:p>
    <w:p>
      <w:pPr>
        <w:pStyle w:val="BodyText"/>
      </w:pPr>
      <w:r>
        <w:t xml:space="preserve">The final database is smaller than the first extraction and stronger than a manually assembled spreadsheet. AI shortened retrieval, comparison, and preliminary coding. The audit chain preserved the difference between speed and evidence.</w:t>
      </w:r>
    </w:p>
    <w:bookmarkEnd w:id="257"/>
    <w:bookmarkStart w:id="258" w:name="try-it-14"/>
    <w:p>
      <w:pPr>
        <w:pStyle w:val="Heading2"/>
      </w:pPr>
      <w:r>
        <w:t xml:space="preserve">19.4 Try It</w:t>
      </w:r>
    </w:p>
    <w:p>
      <w:pPr>
        <w:pStyle w:val="FirstParagraph"/>
      </w:pPr>
      <w:r>
        <w:t xml:space="preserve">Choose a research question that could be represented as events. Write one paragraph defining the unit, the event boundary, the source frame, and the minimum evidence required for a verified record. Then create ten candidate records from a small, rights-compliant sample. Preserve a source span for every proposed field.</w:t>
      </w:r>
    </w:p>
    <w:p>
      <w:pPr>
        <w:pStyle w:val="BodyText"/>
      </w:pPr>
      <w:r>
        <w:t xml:space="preserve">Resolve the ten records into events without using automatic merges. Record one merge, split, or non-match decision for each plausible pair. Identify shared wire copy, quotation, translation, or retrospective dependence.</w:t>
      </w:r>
    </w:p>
    <w:p>
      <w:pPr>
        <w:pStyle w:val="BodyText"/>
      </w:pPr>
      <w:r>
        <w:t xml:space="preserve">Draft codebook version 0.1 from the research hypotheses. Ask an AI system to propose up to five additional variables that might distinguish rival explanations. For each proposal, require an observable definition, exclusion rule, two positive examples, one difficult boundary case, and the decision it would support. Reject at least one proposal and record why.</w:t>
      </w:r>
    </w:p>
    <w:p>
      <w:pPr>
        <w:pStyle w:val="BodyText"/>
      </w:pPr>
      <w:r>
        <w:t xml:space="preserve">Finally, select two rival hypotheses and one verified item of written evidence. State what each hypothesis predicts, assign a transparent likelihood range, and calculate the posterior odds across that range. Repeat the calculation after treating two apparently separate reports as dependent. Explain why the answer changed or remained stable.</w:t>
      </w:r>
    </w:p>
    <w:bookmarkEnd w:id="258"/>
    <w:bookmarkStart w:id="259" w:name="guided-ai-workflow-14"/>
    <w:p>
      <w:pPr>
        <w:pStyle w:val="Heading2"/>
      </w:pPr>
      <w:r>
        <w:t xml:space="preserve">19.5 Guided AI Workflow</w:t>
      </w:r>
    </w:p>
    <w:p>
      <w:pPr>
        <w:pStyle w:val="FirstParagraph"/>
      </w:pPr>
      <w:r>
        <w:t xml:space="preserve">Use three bounded passes. In the extraction pass, provide the event definition, codebook version, required output schema, and rights-cleared text. Require the model to return candidate records with exact source spans, uncertainty markers, and an abstention option. In the challenge pass, provide de-identified candidate records and ask for likely duplicates, boundary violations, missing variables, and rival interpretations. In the causal pass, provide only verified evidence identifiers, hypothesis predictions, and researcher-declared likelihood ranges. Ask for arithmetic and sensitivity checks, not a causal verdict.</w:t>
      </w:r>
    </w:p>
    <w:p>
      <w:pPr>
        <w:pStyle w:val="BodyText"/>
      </w:pPr>
      <w:r>
        <w:t xml:space="preserve">A usable codebook prompt is:</w:t>
      </w:r>
    </w:p>
    <w:p>
      <w:pPr>
        <w:pStyle w:val="BlockText"/>
      </w:pPr>
      <w:r>
        <w:t xml:space="preserve">Compare these verified records with codebook version 0.1. Propose no more than five additional variables that could distinguish the stated rival hypotheses. For each, provide an observable definition, allowed values, an exclusion rule, supporting record IDs, one boundary case, and the decision the variable would inform. Do not code the full corpus and do not treat an inference as an observed fact.</w:t>
      </w:r>
    </w:p>
    <w:p>
      <w:pPr>
        <w:pStyle w:val="FirstParagraph"/>
      </w:pPr>
      <w:r>
        <w:rPr>
          <w:b/>
          <w:bCs/>
        </w:rPr>
        <w:t xml:space="preserve">Permitted input:</w:t>
      </w:r>
      <w:r>
        <w:t xml:space="preserve"> </w:t>
      </w:r>
      <w:r>
        <w:t xml:space="preserve">Rights-cleared source text, public records, verified metadata, redacted event descriptions, declared hypotheses, codebook versions, and stable record identifiers.</w:t>
      </w:r>
      <w:r>
        <w:br/>
      </w:r>
      <w:r>
        <w:rPr>
          <w:b/>
          <w:bCs/>
        </w:rPr>
        <w:t xml:space="preserve">Do not provide:</w:t>
      </w:r>
      <w:r>
        <w:t xml:space="preserve"> </w:t>
      </w:r>
      <w:r>
        <w:t xml:space="preserve">Restricted archives, personal data, confidential allegations, protected participant material, or documents whose licenses prohibit external processing.</w:t>
      </w:r>
      <w:r>
        <w:br/>
      </w:r>
      <w:r>
        <w:rPr>
          <w:b/>
          <w:bCs/>
        </w:rPr>
        <w:t xml:space="preserve">Verify:</w:t>
      </w:r>
      <w:r>
        <w:t xml:space="preserve"> </w:t>
      </w:r>
      <w:r>
        <w:t xml:space="preserve">Check every source span, metadata field, event match, promoted variable, dependence judgment, and causal evidence assignment against the underlying record. Validate automated codes on a stratified researcher-coded sample.</w:t>
      </w:r>
      <w:r>
        <w:br/>
      </w:r>
      <w:r>
        <w:rPr>
          <w:b/>
          <w:bCs/>
        </w:rPr>
        <w:t xml:space="preserve">Record:</w:t>
      </w:r>
      <w:r>
        <w:t xml:space="preserve"> </w:t>
      </w:r>
      <w:r>
        <w:t xml:space="preserve">Save collection and query details, model and version, prompt, codebook version, candidate output, reviewer disposition, event resolution log, validation results, and accepted or rejected codebook changes.</w:t>
      </w:r>
    </w:p>
    <w:p>
      <w:pPr>
        <w:pStyle w:val="BodyText"/>
      </w:pPr>
      <w:r>
        <w:t xml:space="preserve">The model should return structured candidates, not silently edit the database. A human-controlled import step provides the boundary between proposal and record.</w:t>
      </w:r>
    </w:p>
    <w:bookmarkEnd w:id="259"/>
    <w:bookmarkStart w:id="260" w:name="integrity-checkpoint-14"/>
    <w:p>
      <w:pPr>
        <w:pStyle w:val="Heading2"/>
      </w:pPr>
      <w:r>
        <w:t xml:space="preserve">19.6 Integrity Checkpoint</w:t>
      </w:r>
    </w:p>
    <w:p>
      <w:pPr>
        <w:pStyle w:val="FirstParagraph"/>
      </w:pPr>
      <w:r>
        <w:t xml:space="preserve">Speed can redistribute visibility. Large searchable newspapers may dominate because they are technically accessible, while local publications, minority languages, ephemeral media, and undigitized collections disappear. Audit the source frame before interpreting the event distribution.</w:t>
      </w:r>
    </w:p>
    <w:p>
      <w:pPr>
        <w:pStyle w:val="BodyText"/>
      </w:pPr>
      <w:r>
        <w:t xml:space="preserve">Source reports can contain allegations, state narratives, strategic claims, and copied errors. Preserve attribution. Do not transform “officials alleged” into an event fact. Distinguish event variables from variables about the reporting process.</w:t>
      </w:r>
    </w:p>
    <w:p>
      <w:pPr>
        <w:pStyle w:val="BodyText"/>
      </w:pPr>
      <w:r>
        <w:t xml:space="preserve">An event database can expose people who never consented to systematic aggregation. Public availability does not remove privacy, security, or ethical risk. Minimize personal data, document the lawful and ethical basis for processing, and restrict or aggregate sensitive fields when release could cause harm.</w:t>
      </w:r>
    </w:p>
    <w:p>
      <w:pPr>
        <w:pStyle w:val="BodyText"/>
      </w:pPr>
      <w:r>
        <w:t xml:space="preserve">Dynamic coding can also produce retrospective confirmation. A variable proposed after seeing the outcome may be analytically useful, but its origin must be disclosed. Mark exploratory variables and test them against new material where possible.</w:t>
      </w:r>
    </w:p>
    <w:bookmarkEnd w:id="260"/>
    <w:bookmarkStart w:id="261" w:name="save-the-artifact-14"/>
    <w:p>
      <w:pPr>
        <w:pStyle w:val="Heading2"/>
      </w:pPr>
      <w:r>
        <w:t xml:space="preserve">19.7 Save the Artifact</w:t>
      </w:r>
    </w:p>
    <w:p>
      <w:pPr>
        <w:pStyle w:val="FirstParagraph"/>
      </w:pPr>
      <w:r>
        <w:t xml:space="preserve">Save six linked artifacts: the source frame and search log; the candidate record table with source spans; the verification register; the event resolution log; the versioned codebook with its change log; and the validation report. For causal work, add a Bayesian evidence table that preserves hypothesis predictions, dependence, likelihood ranges, rationales, and sensitivity results.</w:t>
      </w:r>
    </w:p>
    <w:p>
      <w:pPr>
        <w:pStyle w:val="BodyText"/>
      </w:pPr>
      <w:r>
        <w:t xml:space="preserve">Each analytical export should name the source-frame version, codebook version, model-assisted workflow version, and validation report. Preserve stable identifiers so a correction to one source record can propagate to the resolved event and every downstream analysis.</w:t>
      </w:r>
    </w:p>
    <w:p>
      <w:pPr>
        <w:pStyle w:val="BodyText"/>
      </w:pPr>
      <w:r>
        <w:t xml:space="preserve">Release only what rights, privacy, security, and ethics permit. A public methodological register can describe restricted evidence without exposing it.</w:t>
      </w:r>
    </w:p>
    <w:bookmarkEnd w:id="261"/>
    <w:bookmarkStart w:id="262" w:name="advanced-practice-14"/>
    <w:p>
      <w:pPr>
        <w:pStyle w:val="Heading2"/>
      </w:pPr>
      <w:r>
        <w:t xml:space="preserve">19.8 Advanced Practice</w:t>
      </w:r>
    </w:p>
    <w:p>
      <w:pPr>
        <w:pStyle w:val="FirstParagraph"/>
      </w:pPr>
      <w:r>
        <w:t xml:space="preserve">A mature pipeline separates retrieval, extraction, verification, resolution, coding, and inference into distinct operations. Each operation can be rerun without silently overwriting the preceding layer. This structure supports multilingual retrieval, active learning, model comparison, and targeted human review.</w:t>
      </w:r>
    </w:p>
    <w:p>
      <w:pPr>
        <w:pStyle w:val="BodyText"/>
      </w:pPr>
      <w:r>
        <w:t xml:space="preserve">Consider a model cascade. A low-cost system can rank documents, a stronger system can extract difficult candidates, and a researcher can adjudicate the consequential cases. Route rare classes, low-confidence outputs, conflicting source spans, and causal evidence to expert review. Measure how the routing rule changes both error and labor.</w:t>
      </w:r>
    </w:p>
    <w:p>
      <w:pPr>
        <w:pStyle w:val="BodyText"/>
      </w:pPr>
      <w:r>
        <w:t xml:space="preserve">Test model and source drift. Recode a fixed benchmark after provider updates. Sample new records by period and outlet. Compare human disagreement with model error without treating one as a substitute for the other.</w:t>
      </w:r>
    </w:p>
    <w:p>
      <w:pPr>
        <w:pStyle w:val="BodyText"/>
      </w:pPr>
      <w:r>
        <w:t xml:space="preserve">For causal inference, compare several defensible prior and likelihood specifications. Run the analysis with and without dependent reports, contested documents, and exploratory variables. The aim is not to manufacture a precise posterior. It is to show which evidence changes the argument, which assumptions carry the result, and what new observation would alter the conclusion.</w:t>
      </w:r>
    </w:p>
    <w:p>
      <w:pPr>
        <w:pStyle w:val="BodyText"/>
      </w:pPr>
      <w:r>
        <w:t xml:space="preserve">AI improves an event database when it makes the pipeline faster and the transformations more visible. It weakens the database when convenience conceals where evidence ended and inference began.</w:t>
      </w:r>
    </w:p>
    <w:bookmarkEnd w:id="262"/>
    <w:bookmarkEnd w:id="263"/>
    <w:bookmarkStart w:id="273" w:name="ai-and-research-integrity"/>
    <w:p>
      <w:pPr>
        <w:pStyle w:val="Heading1"/>
      </w:pPr>
      <w:r>
        <w:t xml:space="preserve">20. AI and Research Integrity</w:t>
      </w:r>
    </w:p>
    <w:bookmarkStart w:id="266" w:name="a-division-of-labor"/>
    <w:p>
      <w:pPr>
        <w:pStyle w:val="Heading2"/>
      </w:pPr>
      <w:r>
        <w:t xml:space="preserve">20.1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264"/>
      </w:r>
    </w:p>
    <w:bookmarkEnd w:id="266"/>
    <w:bookmarkStart w:id="267" w:name="model-neutral-workflows"/>
    <w:p>
      <w:pPr>
        <w:pStyle w:val="Heading2"/>
      </w:pPr>
      <w:r>
        <w:t xml:space="preserve">20.2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267"/>
    <w:bookmarkStart w:id="268" w:name="privacy-and-data-minimization"/>
    <w:p>
      <w:pPr>
        <w:pStyle w:val="Heading2"/>
      </w:pPr>
      <w:r>
        <w:t xml:space="preserve">20.3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268"/>
    <w:bookmarkStart w:id="269" w:name="verification"/>
    <w:p>
      <w:pPr>
        <w:pStyle w:val="Heading2"/>
      </w:pPr>
      <w:r>
        <w:t xml:space="preserve">20.4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269"/>
    <w:bookmarkStart w:id="270" w:name="bias-and-missing-perspectives"/>
    <w:p>
      <w:pPr>
        <w:pStyle w:val="Heading2"/>
      </w:pPr>
      <w:r>
        <w:t xml:space="preserve">20.5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270"/>
    <w:bookmarkStart w:id="271" w:name="reproducibility-and-drift"/>
    <w:p>
      <w:pPr>
        <w:pStyle w:val="Heading2"/>
      </w:pPr>
      <w:r>
        <w:t xml:space="preserve">20.6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271"/>
    <w:bookmarkStart w:id="272" w:name="the-standard"/>
    <w:p>
      <w:pPr>
        <w:pStyle w:val="Heading2"/>
      </w:pPr>
      <w:r>
        <w:t xml:space="preserve">20.7 The Standard</w:t>
      </w:r>
    </w:p>
    <w:p>
      <w:pPr>
        <w:pStyle w:val="FirstParagraph"/>
      </w:pPr>
      <w:r>
        <w:t xml:space="preserve">AI use is defensible when it makes judgment more visible. It fails when it hides judgment behind convenience.</w:t>
      </w:r>
    </w:p>
    <w:bookmarkEnd w:id="272"/>
    <w:bookmarkEnd w:id="273"/>
    <w:bookmarkStart w:id="288" w:name="skills-and-agents-lab"/>
    <w:p>
      <w:pPr>
        <w:pStyle w:val="Heading1"/>
      </w:pPr>
      <w:r>
        <w:t xml:space="preserve">21. Skills and Agents Lab</w:t>
      </w:r>
    </w:p>
    <w:bookmarkStart w:id="277" w:name="method-in-the-book-procedure-in-the-lab"/>
    <w:p>
      <w:pPr>
        <w:pStyle w:val="Heading2"/>
      </w:pPr>
      <w:r>
        <w:t xml:space="preserve">21.1 Method in the Book, Procedure in the Lab</w:t>
      </w:r>
    </w:p>
    <w:p>
      <w:pPr>
        <w:pStyle w:val="FirstParagraph"/>
      </w:pPr>
      <w:r>
        <w:t xml:space="preserve">The book explains why a literature search requires a protocol, multiple discovery</w:t>
      </w:r>
      <w:r>
        <w:t xml:space="preserve"> </w:t>
      </w:r>
      <w:r>
        <w:t xml:space="preserve">routes, verified bibliographic identities, a coverage argument, and a human stopping</w:t>
      </w:r>
      <w:r>
        <w:t xml:space="preserve"> </w:t>
      </w:r>
      <w:r>
        <w:t xml:space="preserve">decision. The lab turns that method into inspectable working objects. It does not</w:t>
      </w:r>
      <w:r>
        <w:t xml:space="preserve"> </w:t>
      </w:r>
      <w:r>
        <w:t xml:space="preserve">transfer scholarly authority to an automated system.</w:t>
      </w:r>
    </w:p>
    <w:p>
      <w:pPr>
        <w:pStyle w:val="BodyText"/>
      </w:pPr>
      <w:r>
        <w:t xml:space="preserve">Release</w:t>
      </w:r>
      <w:r>
        <w:t xml:space="preserve"> </w:t>
      </w:r>
      <w:r>
        <w:rPr>
          <w:b/>
          <w:bCs/>
        </w:rPr>
        <w:t xml:space="preserve">0.1.0</w:t>
      </w:r>
      <w:r>
        <w:t xml:space="preserve"> </w:t>
      </w:r>
      <w:r>
        <w:t xml:space="preserve">is a pilot. It operationalizes one bounded part of the literature</w:t>
      </w:r>
      <w:r>
        <w:t xml:space="preserve"> </w:t>
      </w:r>
      <w:r>
        <w:t xml:space="preserve">module: moving from an approved review protocol to a staged register of</w:t>
      </w:r>
      <w:r>
        <w:t xml:space="preserve"> </w:t>
      </w:r>
      <w:r>
        <w:t xml:space="preserve">bibliographic candidates. The skill and agent cannot decide final eligibility,</w:t>
      </w:r>
      <w:r>
        <w:t xml:space="preserve"> </w:t>
      </w:r>
      <w:r>
        <w:t xml:space="preserve">declare a research gap, or promote a record into the verified corpus.</w:t>
      </w:r>
    </w:p>
    <w:p>
      <w:pPr>
        <w:pStyle w:val="BodyText"/>
      </w:pPr>
      <w:hyperlink r:id="rId274">
        <w:r>
          <w:rPr>
            <w:rStyle w:val="Hyperlink"/>
          </w:rPr>
          <w:t xml:space="preserve">Download ZIP 0.1.0</w:t>
        </w:r>
      </w:hyperlink>
      <w:r>
        <w:t xml:space="preserve"> </w:t>
      </w:r>
      <w:hyperlink r:id="rId275">
        <w:r>
          <w:rPr>
            <w:rStyle w:val="Hyperlink"/>
          </w:rPr>
          <w:t xml:space="preserve">Verify checksum</w:t>
        </w:r>
      </w:hyperlink>
      <w:r>
        <w:t xml:space="preserve"> </w:t>
      </w:r>
      <w:hyperlink r:id="rId276">
        <w:r>
          <w:rPr>
            <w:rStyle w:val="Hyperlink"/>
          </w:rPr>
          <w:t xml:space="preserve">Inspect source</w:t>
        </w:r>
      </w:hyperlink>
    </w:p>
    <w:bookmarkEnd w:id="277"/>
    <w:bookmarkStart w:id="281" w:name="what-the-release-contains"/>
    <w:p>
      <w:pPr>
        <w:pStyle w:val="Heading2"/>
      </w:pPr>
      <w:r>
        <w:t xml:space="preserve">21.2 What the Release Contains</w:t>
      </w:r>
    </w:p>
    <w:bookmarkStart w:id="278" w:name="literature-discovery-skill"/>
    <w:p>
      <w:pPr>
        <w:pStyle w:val="Heading3"/>
      </w:pPr>
      <w:r>
        <w:t xml:space="preserve">21.2.1 Literature-discovery skill</w:t>
      </w:r>
    </w:p>
    <w:p>
      <w:pPr>
        <w:pStyle w:val="FirstParagraph"/>
      </w:pPr>
      <w:r>
        <w:t xml:space="preserve">The skill receives an approved review protocol, a versioned project-context packet,</w:t>
      </w:r>
      <w:r>
        <w:t xml:space="preserve"> </w:t>
      </w:r>
      <w:r>
        <w:t xml:space="preserve">and a list of permitted sources. It maps vocabulary, plans and records discovery</w:t>
      </w:r>
      <w:r>
        <w:t xml:space="preserve"> </w:t>
      </w:r>
      <w:r>
        <w:t xml:space="preserve">routes, stages candidates, resolves bibliographic identities, tests known-item and</w:t>
      </w:r>
      <w:r>
        <w:t xml:space="preserve"> </w:t>
      </w:r>
      <w:r>
        <w:t xml:space="preserve">route coverage, and returns the work to a researcher.</w:t>
      </w:r>
    </w:p>
    <w:p>
      <w:pPr>
        <w:pStyle w:val="BodyText"/>
      </w:pPr>
      <w:r>
        <w:t xml:space="preserve">Its outputs are:</w:t>
      </w:r>
    </w:p>
    <w:p>
      <w:pPr>
        <w:pStyle w:val="Compact"/>
        <w:numPr>
          <w:ilvl w:val="0"/>
          <w:numId w:val="1011"/>
        </w:numPr>
      </w:pPr>
      <w:r>
        <w:t xml:space="preserve">a candidate register;</w:t>
      </w:r>
    </w:p>
    <w:p>
      <w:pPr>
        <w:pStyle w:val="Compact"/>
        <w:numPr>
          <w:ilvl w:val="0"/>
          <w:numId w:val="1011"/>
        </w:numPr>
      </w:pPr>
      <w:r>
        <w:t xml:space="preserve">a query log;</w:t>
      </w:r>
    </w:p>
    <w:p>
      <w:pPr>
        <w:pStyle w:val="Compact"/>
        <w:numPr>
          <w:ilvl w:val="0"/>
          <w:numId w:val="1011"/>
        </w:numPr>
      </w:pPr>
      <w:r>
        <w:t xml:space="preserve">a coverage memo;</w:t>
      </w:r>
    </w:p>
    <w:p>
      <w:pPr>
        <w:pStyle w:val="Compact"/>
        <w:numPr>
          <w:ilvl w:val="0"/>
          <w:numId w:val="1011"/>
        </w:numPr>
      </w:pPr>
      <w:r>
        <w:t xml:space="preserve">an unresolved-leads file.</w:t>
      </w:r>
    </w:p>
    <w:p>
      <w:pPr>
        <w:pStyle w:val="FirstParagraph"/>
      </w:pPr>
      <w:r>
        <w:t xml:space="preserve">A bundled validator checks that candidate registers contain provenance and</w:t>
      </w:r>
      <w:r>
        <w:t xml:space="preserve"> </w:t>
      </w:r>
      <w:r>
        <w:t xml:space="preserve">verification fields and do not contain final-eligibility fields.</w:t>
      </w:r>
    </w:p>
    <w:bookmarkEnd w:id="278"/>
    <w:bookmarkStart w:id="279" w:name="bounded-literature-scout-agent"/>
    <w:p>
      <w:pPr>
        <w:pStyle w:val="Heading3"/>
      </w:pPr>
      <w:r>
        <w:t xml:space="preserve">21.2.2 Bounded literature-scout agent</w:t>
      </w:r>
    </w:p>
    <w:p>
      <w:pPr>
        <w:pStyle w:val="FirstParagraph"/>
      </w:pPr>
      <w:r>
        <w:t xml:space="preserve">The scout is a read-only executor. It can read approved local artifacts and search</w:t>
      </w:r>
      <w:r>
        <w:t xml:space="preserve"> </w:t>
      </w:r>
      <w:r>
        <w:t xml:space="preserve">public sources. It cannot write project files, change a protocol, access protected</w:t>
      </w:r>
      <w:r>
        <w:t xml:space="preserve"> </w:t>
      </w:r>
      <w:r>
        <w:t xml:space="preserve">material, make a final inclusion decision, or modify a corpus. If the work requires</w:t>
      </w:r>
      <w:r>
        <w:t xml:space="preserve"> </w:t>
      </w:r>
      <w:r>
        <w:t xml:space="preserve">one of those actions, it stops and returns a bounded question.</w:t>
      </w:r>
    </w:p>
    <w:p>
      <w:pPr>
        <w:pStyle w:val="BodyText"/>
      </w:pPr>
      <w:r>
        <w:t xml:space="preserve">This is a deliberate division of labor. The skill holds the reusable procedure. The</w:t>
      </w:r>
      <w:r>
        <w:t xml:space="preserve"> </w:t>
      </w:r>
      <w:r>
        <w:t xml:space="preserve">agent executes one work order in a fresh context. The researcher controls the gates.</w:t>
      </w:r>
    </w:p>
    <w:bookmarkEnd w:id="279"/>
    <w:bookmarkStart w:id="280" w:name="project-context-packet"/>
    <w:p>
      <w:pPr>
        <w:pStyle w:val="Heading3"/>
      </w:pPr>
      <w:r>
        <w:t xml:space="preserve">21.2.3 Project-context packet</w:t>
      </w:r>
    </w:p>
    <w:p>
      <w:pPr>
        <w:pStyle w:val="FirstParagraph"/>
      </w:pPr>
      <w:r>
        <w:t xml:space="preserve">The template separates context into three layers:</w:t>
      </w:r>
    </w:p>
    <w:p>
      <w:pPr>
        <w:pStyle w:val="Compact"/>
        <w:numPr>
          <w:ilvl w:val="0"/>
          <w:numId w:val="1012"/>
        </w:numPr>
      </w:pPr>
      <w:r>
        <w:t xml:space="preserve">a</w:t>
      </w:r>
      <w:r>
        <w:t xml:space="preserve"> </w:t>
      </w:r>
      <w:r>
        <w:rPr>
          <w:b/>
          <w:bCs/>
        </w:rPr>
        <w:t xml:space="preserve">stable layer</w:t>
      </w:r>
      <w:r>
        <w:t xml:space="preserve"> </w:t>
      </w:r>
      <w:r>
        <w:t xml:space="preserve">for the question, scope, concepts, evidence standards, ethics,</w:t>
      </w:r>
      <w:r>
        <w:t xml:space="preserve"> </w:t>
      </w:r>
      <w:r>
        <w:t xml:space="preserve">and decision authority;</w:t>
      </w:r>
    </w:p>
    <w:p>
      <w:pPr>
        <w:pStyle w:val="Compact"/>
        <w:numPr>
          <w:ilvl w:val="0"/>
          <w:numId w:val="1012"/>
        </w:numPr>
      </w:pPr>
      <w:r>
        <w:t xml:space="preserve">a</w:t>
      </w:r>
      <w:r>
        <w:t xml:space="preserve"> </w:t>
      </w:r>
      <w:r>
        <w:rPr>
          <w:b/>
          <w:bCs/>
        </w:rPr>
        <w:t xml:space="preserve">current-state layer</w:t>
      </w:r>
      <w:r>
        <w:t xml:space="preserve"> </w:t>
      </w:r>
      <w:r>
        <w:t xml:space="preserve">for active artifact versions, accepted decisions,</w:t>
      </w:r>
      <w:r>
        <w:t xml:space="preserve"> </w:t>
      </w:r>
      <w:r>
        <w:t xml:space="preserve">unresolved disputes, and coverage limits;</w:t>
      </w:r>
    </w:p>
    <w:p>
      <w:pPr>
        <w:pStyle w:val="Compact"/>
        <w:numPr>
          <w:ilvl w:val="0"/>
          <w:numId w:val="1012"/>
        </w:numPr>
      </w:pPr>
      <w:r>
        <w:t xml:space="preserve">a</w:t>
      </w:r>
      <w:r>
        <w:t xml:space="preserve"> </w:t>
      </w:r>
      <w:r>
        <w:rPr>
          <w:b/>
          <w:bCs/>
        </w:rPr>
        <w:t xml:space="preserve">task layer</w:t>
      </w:r>
      <w:r>
        <w:t xml:space="preserve"> </w:t>
      </w:r>
      <w:r>
        <w:t xml:space="preserve">for one work order, its permitted sources, required output, and</w:t>
      </w:r>
      <w:r>
        <w:t xml:space="preserve"> </w:t>
      </w:r>
      <w:r>
        <w:t xml:space="preserve">stopping rule.</w:t>
      </w:r>
    </w:p>
    <w:p>
      <w:pPr>
        <w:pStyle w:val="FirstParagraph"/>
      </w:pPr>
      <w:r>
        <w:t xml:space="preserve">The packet points to authoritative artifacts. It is not itself evidence and should</w:t>
      </w:r>
      <w:r>
        <w:t xml:space="preserve"> </w:t>
      </w:r>
      <w:r>
        <w:t xml:space="preserve">not contain an entire project archive.</w:t>
      </w:r>
    </w:p>
    <w:bookmarkEnd w:id="280"/>
    <w:bookmarkEnd w:id="281"/>
    <w:bookmarkStart w:id="282" w:name="three-synthetic-benchmarks"/>
    <w:p>
      <w:pPr>
        <w:pStyle w:val="Heading2"/>
      </w:pPr>
      <w:r>
        <w:t xml:space="preserve">21.3 Three Synthetic Benchmarks</w:t>
      </w:r>
    </w:p>
    <w:p>
      <w:pPr>
        <w:pStyle w:val="FirstParagraph"/>
      </w:pPr>
      <w:r>
        <w:t xml:space="preserve">The release includes small, inspectable cases rather than an opaque aggregate score.</w:t>
      </w:r>
      <w:r>
        <w:t xml:space="preserve"> </w:t>
      </w:r>
      <w:r>
        <w:t xml:space="preserve">All names, records, identifiers, and source locations are synthetic.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w:t>
            </w:r>
          </w:p>
        </w:tc>
        <w:tc>
          <w:tcPr/>
          <w:p>
            <w:pPr>
              <w:pStyle w:val="Compact"/>
            </w:pPr>
            <w:r>
              <w:t xml:space="preserve">What it tests</w:t>
            </w:r>
          </w:p>
        </w:tc>
        <w:tc>
          <w:tcPr/>
          <w:p>
            <w:pPr>
              <w:pStyle w:val="Compact"/>
            </w:pPr>
            <w:r>
              <w:t xml:space="preserve">Failure condition</w:t>
            </w:r>
          </w:p>
        </w:tc>
      </w:tr>
      <w:tr>
        <w:tc>
          <w:tcPr/>
          <w:p>
            <w:pPr>
              <w:pStyle w:val="Compact"/>
            </w:pPr>
            <w:r>
              <w:t xml:space="preserve">Known-item recovery</w:t>
            </w:r>
          </w:p>
        </w:tc>
        <w:tc>
          <w:tcPr/>
          <w:p>
            <w:pPr>
              <w:pStyle w:val="Compact"/>
            </w:pPr>
            <w:r>
              <w:t xml:space="preserve">Recover known records, resolve an exact duplicate, and preserve both discovery routes</w:t>
            </w:r>
          </w:p>
        </w:tc>
        <w:tc>
          <w:tcPr/>
          <w:p>
            <w:pPr>
              <w:pStyle w:val="Compact"/>
            </w:pPr>
            <w:r>
              <w:t xml:space="preserve">A route is erased or recovery is called comprehensive</w:t>
            </w:r>
          </w:p>
        </w:tc>
      </w:tr>
      <w:tr>
        <w:tc>
          <w:tcPr/>
          <w:p>
            <w:pPr>
              <w:pStyle w:val="Compact"/>
            </w:pPr>
            <w:r>
              <w:t xml:space="preserve">False-gap prevention</w:t>
            </w:r>
          </w:p>
        </w:tc>
        <w:tc>
          <w:tcPr/>
          <w:p>
            <w:pPr>
              <w:pStyle w:val="Compact"/>
            </w:pPr>
            <w:r>
              <w:t xml:space="preserve">Expand vocabulary through a conceptual proxy and an approved Spanish term</w:t>
            </w:r>
          </w:p>
        </w:tc>
        <w:tc>
          <w:tcPr/>
          <w:p>
            <w:pPr>
              <w:pStyle w:val="Compact"/>
            </w:pPr>
            <w:r>
              <w:t xml:space="preserve">A zero-result English query becomes a field-level gap claim</w:t>
            </w:r>
          </w:p>
        </w:tc>
      </w:tr>
      <w:tr>
        <w:tc>
          <w:tcPr/>
          <w:p>
            <w:pPr>
              <w:pStyle w:val="Compact"/>
            </w:pPr>
            <w:r>
              <w:t xml:space="preserve">Boundary and abstention</w:t>
            </w:r>
          </w:p>
        </w:tc>
        <w:tc>
          <w:tcPr/>
          <w:p>
            <w:pPr>
              <w:pStyle w:val="Compact"/>
            </w:pPr>
            <w:r>
              <w:t xml:space="preserve">Preserve a temporal scope signal, refuse restricted material, and isolate an unsupported citation</w:t>
            </w:r>
          </w:p>
        </w:tc>
        <w:tc>
          <w:tcPr/>
          <w:p>
            <w:pPr>
              <w:pStyle w:val="Compact"/>
            </w:pPr>
            <w:r>
              <w:t xml:space="preserve">Metadata is invented, a final exclusion is made, or protected material is accessed</w:t>
            </w:r>
          </w:p>
        </w:tc>
      </w:tr>
    </w:tbl>
    <w:p>
      <w:pPr>
        <w:pStyle w:val="BodyText"/>
      </w:pPr>
      <w:r>
        <w:t xml:space="preserve">These fixtures test the procedure’s boundaries. They do not establish performance on</w:t>
      </w:r>
      <w:r>
        <w:t xml:space="preserve"> </w:t>
      </w:r>
      <w:r>
        <w:t xml:space="preserve">real databases. A later release should report recall, false-exclusion rates,</w:t>
      </w:r>
      <w:r>
        <w:t xml:space="preserve"> </w:t>
      </w:r>
      <w:r>
        <w:t xml:space="preserve">bibliographic-resolution errors, labor, cost, and cross-language performance on an</w:t>
      </w:r>
      <w:r>
        <w:t xml:space="preserve"> </w:t>
      </w:r>
      <w:r>
        <w:t xml:space="preserve">independently prepared corpus.</w:t>
      </w:r>
    </w:p>
    <w:bookmarkEnd w:id="282"/>
    <w:bookmarkStart w:id="283" w:name="what-the-ai-got-wrong"/>
    <w:p>
      <w:pPr>
        <w:pStyle w:val="Heading2"/>
      </w:pPr>
      <w:r>
        <w:t xml:space="preserve">21.4 What the AI Got Wrong</w:t>
      </w:r>
    </w:p>
    <w:p>
      <w:pPr>
        <w:pStyle w:val="FirstParagraph"/>
      </w:pPr>
      <w:r>
        <w:t xml:space="preserve">The package contains an explicit failure report. The authoring run exposed five</w:t>
      </w:r>
      <w:r>
        <w:t xml:space="preserve"> </w:t>
      </w:r>
      <w:r>
        <w:t xml:space="preserve">risks:</w:t>
      </w:r>
    </w:p>
    <w:p>
      <w:pPr>
        <w:pStyle w:val="Compact"/>
        <w:numPr>
          <w:ilvl w:val="0"/>
          <w:numId w:val="1013"/>
        </w:numPr>
      </w:pPr>
      <w:r>
        <w:t xml:space="preserve">a plausible but unsupported citation entering the candidate register;</w:t>
      </w:r>
    </w:p>
    <w:p>
      <w:pPr>
        <w:pStyle w:val="Compact"/>
        <w:numPr>
          <w:ilvl w:val="0"/>
          <w:numId w:val="1013"/>
        </w:numPr>
      </w:pPr>
      <w:r>
        <w:t xml:space="preserve">a zero-result query becoming a research-gap claim;</w:t>
      </w:r>
    </w:p>
    <w:p>
      <w:pPr>
        <w:pStyle w:val="Compact"/>
        <w:numPr>
          <w:ilvl w:val="0"/>
          <w:numId w:val="1013"/>
        </w:numPr>
      </w:pPr>
      <w:r>
        <w:t xml:space="preserve">deduplication erasing the route by which a source was found;</w:t>
      </w:r>
    </w:p>
    <w:p>
      <w:pPr>
        <w:pStyle w:val="Compact"/>
        <w:numPr>
          <w:ilvl w:val="0"/>
          <w:numId w:val="1013"/>
        </w:numPr>
      </w:pPr>
      <w:r>
        <w:t xml:space="preserve">a scope signal becoming a final eligibility decision;</w:t>
      </w:r>
    </w:p>
    <w:p>
      <w:pPr>
        <w:pStyle w:val="Compact"/>
        <w:numPr>
          <w:ilvl w:val="0"/>
          <w:numId w:val="1013"/>
        </w:numPr>
      </w:pPr>
      <w:r>
        <w:t xml:space="preserve">broad context encouraging access to a restricted artifact.</w:t>
      </w:r>
    </w:p>
    <w:p>
      <w:pPr>
        <w:pStyle w:val="FirstParagraph"/>
      </w:pPr>
      <w:r>
        <w:t xml:space="preserve">Each failure is connected to a control in the skill, agent, schema, template, or</w:t>
      </w:r>
      <w:r>
        <w:t xml:space="preserve"> </w:t>
      </w:r>
      <w:r>
        <w:t xml:space="preserve">benchmark. Residual risks remain visible. The report also states what this pilot has</w:t>
      </w:r>
      <w:r>
        <w:t xml:space="preserve"> </w:t>
      </w:r>
      <w:r>
        <w:t xml:space="preserve">not established.</w:t>
      </w:r>
    </w:p>
    <w:bookmarkEnd w:id="283"/>
    <w:bookmarkStart w:id="284" w:name="use-and-inspect-the-package"/>
    <w:p>
      <w:pPr>
        <w:pStyle w:val="Heading2"/>
      </w:pPr>
      <w:r>
        <w:t xml:space="preserve">21.5 Use and Inspect the Package</w:t>
      </w:r>
    </w:p>
    <w:p>
      <w:pPr>
        <w:pStyle w:val="FirstParagraph"/>
      </w:pPr>
      <w:r>
        <w:t xml:space="preserve">Unpack the ZIP and begin with</w:t>
      </w:r>
      <w:r>
        <w:t xml:space="preserve"> </w:t>
      </w:r>
      <w:r>
        <w:rPr>
          <w:rStyle w:val="VerbatimChar"/>
        </w:rPr>
        <w:t xml:space="preserve">MANIFEST.yml</w:t>
      </w:r>
      <w:r>
        <w:t xml:space="preserve">. The manifest names every public file,</w:t>
      </w:r>
      <w:r>
        <w:t xml:space="preserve"> </w:t>
      </w:r>
      <w:r>
        <w:t xml:space="preserve">the release status, the benchmark cases, and the licenses.</w:t>
      </w:r>
    </w:p>
    <w:p>
      <w:pPr>
        <w:pStyle w:val="BodyText"/>
      </w:pPr>
      <w:r>
        <w:t xml:space="preserve">To install the skill in Codex, copy the complete</w:t>
      </w:r>
      <w:r>
        <w:t xml:space="preserve"> </w:t>
      </w:r>
      <w:r>
        <w:rPr>
          <w:rStyle w:val="VerbatimChar"/>
        </w:rPr>
        <w:t xml:space="preserve">skills/literature-discovery/</w:t>
      </w:r>
      <w:r>
        <w:t xml:space="preserve"> </w:t>
      </w:r>
      <w:r>
        <w:t xml:space="preserve">directory into the local Codex skills directory. Keep</w:t>
      </w:r>
      <w:r>
        <w:t xml:space="preserve"> </w:t>
      </w:r>
      <w:r>
        <w:t xml:space="preserve">the folder intact so its references, UI metadata, and validator remain available.</w:t>
      </w:r>
      <w:r>
        <w:t xml:space="preserve"> </w:t>
      </w:r>
      <w:r>
        <w:t xml:space="preserve">The</w:t>
      </w:r>
      <w:r>
        <w:t xml:space="preserve"> </w:t>
      </w:r>
      <w:r>
        <w:rPr>
          <w:rStyle w:val="VerbatimChar"/>
        </w:rPr>
        <w:t xml:space="preserve">agents/literature-scout.md</w:t>
      </w:r>
      <w:r>
        <w:t xml:space="preserve"> </w:t>
      </w:r>
      <w:r>
        <w:t xml:space="preserve">file can be installed in an agent host that supports</w:t>
      </w:r>
      <w:r>
        <w:t xml:space="preserve"> </w:t>
      </w:r>
      <w:r>
        <w:t xml:space="preserve">Markdown agent definitions or used directly as a transparent work-order</w:t>
      </w:r>
      <w:r>
        <w:t xml:space="preserve"> </w:t>
      </w:r>
      <w:r>
        <w:t xml:space="preserve">specification.</w:t>
      </w:r>
    </w:p>
    <w:p>
      <w:pPr>
        <w:pStyle w:val="BodyText"/>
      </w:pPr>
      <w:r>
        <w:t xml:space="preserve">Before using the workflow on a real review:</w:t>
      </w:r>
    </w:p>
    <w:p>
      <w:pPr>
        <w:pStyle w:val="Compact"/>
        <w:numPr>
          <w:ilvl w:val="0"/>
          <w:numId w:val="1014"/>
        </w:numPr>
      </w:pPr>
      <w:r>
        <w:t xml:space="preserve">complete and approve the project-context packet;</w:t>
      </w:r>
    </w:p>
    <w:p>
      <w:pPr>
        <w:pStyle w:val="Compact"/>
        <w:numPr>
          <w:ilvl w:val="0"/>
          <w:numId w:val="1014"/>
        </w:numPr>
      </w:pPr>
      <w:r>
        <w:t xml:space="preserve">adapt the source list and stopping rule to the review;</w:t>
      </w:r>
    </w:p>
    <w:p>
      <w:pPr>
        <w:pStyle w:val="Compact"/>
        <w:numPr>
          <w:ilvl w:val="0"/>
          <w:numId w:val="1014"/>
        </w:numPr>
      </w:pPr>
      <w:r>
        <w:t xml:space="preserve">run the synthetic benchmarks;</w:t>
      </w:r>
    </w:p>
    <w:p>
      <w:pPr>
        <w:pStyle w:val="Compact"/>
        <w:numPr>
          <w:ilvl w:val="0"/>
          <w:numId w:val="1014"/>
        </w:numPr>
      </w:pPr>
      <w:r>
        <w:t xml:space="preserve">test the skill on a researcher-coded sample;</w:t>
      </w:r>
    </w:p>
    <w:p>
      <w:pPr>
        <w:pStyle w:val="Compact"/>
        <w:numPr>
          <w:ilvl w:val="0"/>
          <w:numId w:val="1014"/>
        </w:numPr>
      </w:pPr>
      <w:r>
        <w:t xml:space="preserve">inspect false exclusions, invented identities, and route loss;</w:t>
      </w:r>
    </w:p>
    <w:p>
      <w:pPr>
        <w:pStyle w:val="Compact"/>
        <w:numPr>
          <w:ilvl w:val="0"/>
          <w:numId w:val="1014"/>
        </w:numPr>
      </w:pPr>
      <w:r>
        <w:t xml:space="preserve">keep all outputs in staging until a named researcher approves them.</w:t>
      </w:r>
    </w:p>
    <w:bookmarkEnd w:id="284"/>
    <w:bookmarkStart w:id="287" w:name="feedback-and-revision"/>
    <w:p>
      <w:pPr>
        <w:pStyle w:val="Heading2"/>
      </w:pPr>
      <w:r>
        <w:t xml:space="preserve">21.6 Feedback and Revision</w:t>
      </w:r>
    </w:p>
    <w:p>
      <w:pPr>
        <w:pStyle w:val="FirstParagraph"/>
      </w:pPr>
      <w:r>
        <w:t xml:space="preserve">This lab is intended to improve through reported use rather than silent rewriting.</w:t>
      </w:r>
      <w:r>
        <w:t xml:space="preserve"> </w:t>
      </w:r>
      <w:r>
        <w:t xml:space="preserve">Every report should name the package version, affected artifact, input conditions,</w:t>
      </w:r>
      <w:r>
        <w:t xml:space="preserve"> </w:t>
      </w:r>
      <w:r>
        <w:t xml:space="preserve">observed output, expected behavior, and privacy status.</w:t>
      </w:r>
    </w:p>
    <w:p>
      <w:pPr>
        <w:pStyle w:val="BodyText"/>
      </w:pPr>
      <w:hyperlink r:id="rId285">
        <w:r>
          <w:rPr>
            <w:rStyle w:val="Hyperlink"/>
          </w:rPr>
          <w:t xml:space="preserve">Report a problem</w:t>
        </w:r>
      </w:hyperlink>
      <w:r>
        <w:t xml:space="preserve"> </w:t>
      </w:r>
      <w:hyperlink r:id="rId286">
        <w:r>
          <w:rPr>
            <w:rStyle w:val="Hyperlink"/>
          </w:rPr>
          <w:t xml:space="preserve">Propose a revision</w:t>
        </w:r>
      </w:hyperlink>
    </w:p>
    <w:p>
      <w:pPr>
        <w:pStyle w:val="BodyText"/>
      </w:pPr>
      <w:r>
        <w:t xml:space="preserve">Do not attach participant data, credentials, restricted archives, confidential</w:t>
      </w:r>
      <w:r>
        <w:t xml:space="preserve"> </w:t>
      </w:r>
      <w:r>
        <w:t xml:space="preserve">manuscripts, or copyrighted full text. Use a synthetic or redacted reproduction.</w:t>
      </w:r>
      <w:r>
        <w:t xml:space="preserve"> </w:t>
      </w:r>
      <w:r>
        <w:t xml:space="preserve">Accepted changes should identify their evidentiary or benchmark basis and appear in</w:t>
      </w:r>
      <w:r>
        <w:t xml:space="preserve"> </w:t>
      </w:r>
      <w:r>
        <w:t xml:space="preserve">the changelog and a numbered release.</w:t>
      </w:r>
    </w:p>
    <w:bookmarkEnd w:id="287"/>
    <w:bookmarkEnd w:id="288"/>
    <w:bookmarkStart w:id="293" w:name="building-the-full-field-guide"/>
    <w:p>
      <w:pPr>
        <w:pStyle w:val="Heading1"/>
      </w:pPr>
      <w:r>
        <w:t xml:space="preserve">22. Building the Full Field Guide</w:t>
      </w:r>
    </w:p>
    <w:bookmarkStart w:id="289" w:name="what-the-current-modules-establish"/>
    <w:p>
      <w:pPr>
        <w:pStyle w:val="Heading2"/>
      </w:pPr>
      <w:r>
        <w:t xml:space="preserve">22.1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 full archival corpus, or write the final empirical analysis. The synthesis chapter extends the literature workflow into open, living, and quantitative reviews. The bridge chapter on event databases introduces document extraction, dynamic coding, validation, and explicit causal updating. Each still requires fuller treatment across source types and analytical traditions.</w:t>
      </w:r>
    </w:p>
    <w:bookmarkEnd w:id="289"/>
    <w:bookmarkStart w:id="290" w:name="the-full-field-guide"/>
    <w:p>
      <w:pPr>
        <w:pStyle w:val="Heading2"/>
      </w:pPr>
      <w:r>
        <w:t xml:space="preserve">22.2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extend the event-database chapter across transcription, OCR, translation, coding, memoing, temporal ordering, entity resolution, and other conversions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290"/>
    <w:bookmarkStart w:id="291" w:name="a-hebrew-edition"/>
    <w:p>
      <w:pPr>
        <w:pStyle w:val="Heading2"/>
      </w:pPr>
      <w:r>
        <w:t xml:space="preserve">22.3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291"/>
    <w:bookmarkStart w:id="292" w:name="an-invitation"/>
    <w:p>
      <w:pPr>
        <w:pStyle w:val="Heading2"/>
      </w:pPr>
      <w:r>
        <w:t xml:space="preserve">22.4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292"/>
    <w:bookmarkEnd w:id="293"/>
    <w:bookmarkStart w:id="334" w:name="references"/>
    <w:p>
      <w:pPr>
        <w:pStyle w:val="Heading1"/>
      </w:pPr>
      <w:r>
        <w:t xml:space="preserve">23. References</w:t>
      </w:r>
    </w:p>
    <w:bookmarkStart w:id="333" w:name="refs"/>
    <w:bookmarkStart w:id="294" w:name="ref-autio2024genai"/>
    <w:p>
      <w:pPr>
        <w:pStyle w:val="Bibliography"/>
      </w:pPr>
      <w:r>
        <w:t xml:space="preserve">Autio, Chloe, Reva Schwartz, Jesse Dunietz, Shomik Jain, Martin Stanley, Elham Tabassi, Patrick Hall, and Kamie Roberts.</w:t>
      </w:r>
      <w:r>
        <w:t xml:space="preserve"> </w:t>
      </w:r>
      <w:r>
        <w:t xml:space="preserve">“Artificial Intelligence Risk Management Framework: Generative Artificial Intelligence Profile.”</w:t>
      </w:r>
      <w:r>
        <w:t xml:space="preserve"> </w:t>
      </w:r>
      <w:r>
        <w:t xml:space="preserve">National Institute of Standards and Technology</w:t>
      </w:r>
      <w:r>
        <w:t xml:space="preserve">, 2024.</w:t>
      </w:r>
      <w:r>
        <w:t xml:space="preserve"> </w:t>
      </w:r>
      <w:hyperlink r:id="rId265">
        <w:r>
          <w:rPr>
            <w:rStyle w:val="Hyperlink"/>
          </w:rPr>
          <w:t xml:space="preserve">https://doi.org/10.6028/NIST.AI.600-1</w:t>
        </w:r>
      </w:hyperlink>
      <w:r>
        <w:t xml:space="preserve">.</w:t>
      </w:r>
    </w:p>
    <w:bookmarkEnd w:id="294"/>
    <w:bookmarkStart w:id="295" w:name="ref-beelen2023bias"/>
    <w:p>
      <w:pPr>
        <w:pStyle w:val="Bibliography"/>
      </w:pPr>
      <w:r>
        <w:t xml:space="preserve">Beelen, Kaspar, Jon Lawrence, Daniel C. S. Wilson, and David Beavan.</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0">
        <w:r>
          <w:rPr>
            <w:rStyle w:val="Hyperlink"/>
          </w:rPr>
          <w:t xml:space="preserve">https://doi.org/10.1093/llc/fqac037</w:t>
        </w:r>
      </w:hyperlink>
      <w:r>
        <w:t xml:space="preserve">.</w:t>
      </w:r>
    </w:p>
    <w:bookmarkEnd w:id="295"/>
    <w:bookmarkStart w:id="296" w:name="ref-blaizot2022ai"/>
    <w:p>
      <w:pPr>
        <w:pStyle w:val="Bibliography"/>
      </w:pPr>
      <w:r>
        <w:t xml:space="preserve">Blaizot, Aymeric, Sajesh K. Veettil, Pantakarn Saidoung, Carlos Francisco Moreno-Garcia, Nirmalie Wiratunga, Magaly Aceves-Martins, Nai Ming Lai, and Nathorn Chaiyakunapruk.</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8">
        <w:r>
          <w:rPr>
            <w:rStyle w:val="Hyperlink"/>
          </w:rPr>
          <w:t xml:space="preserve">https://doi.org/10.1002/jrsm.1553</w:t>
        </w:r>
      </w:hyperlink>
      <w:r>
        <w:t xml:space="preserve">.</w:t>
      </w:r>
    </w:p>
    <w:bookmarkEnd w:id="296"/>
    <w:bookmarkStart w:id="297"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London: SAGE Publications, 2016.</w:t>
      </w:r>
    </w:p>
    <w:bookmarkEnd w:id="297"/>
    <w:bookmarkStart w:id="298" w:name="ref-brandt2025measurement"/>
    <w:p>
      <w:pPr>
        <w:pStyle w:val="Bibliography"/>
      </w:pPr>
      <w:r>
        <w:t xml:space="preserve">Brandt, Patrick 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8">
        <w:r>
          <w:rPr>
            <w:rStyle w:val="Hyperlink"/>
          </w:rPr>
          <w:t xml:space="preserve">https://doi.org/10.3389/fpos.2024.1453640</w:t>
        </w:r>
      </w:hyperlink>
      <w:r>
        <w:t xml:space="preserve">.</w:t>
      </w:r>
    </w:p>
    <w:bookmarkEnd w:id="298"/>
    <w:bookmarkStart w:id="299"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0">
        <w:r>
          <w:rPr>
            <w:rStyle w:val="Hyperlink"/>
          </w:rPr>
          <w:t xml:space="preserve">https://doi.org/10.1080/14780887.2020.1769238</w:t>
        </w:r>
      </w:hyperlink>
      <w:r>
        <w:t xml:space="preserve">.</w:t>
      </w:r>
    </w:p>
    <w:bookmarkEnd w:id="299"/>
    <w:bookmarkStart w:id="300" w:name="ref-cai2023montecarlo"/>
    <w:p>
      <w:pPr>
        <w:pStyle w:val="Bibliography"/>
      </w:pPr>
      <w:r>
        <w:t xml:space="preserve">Cai, Erica,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4">
        <w:r>
          <w:rPr>
            <w:rStyle w:val="Hyperlink"/>
          </w:rPr>
          <w:t xml:space="preserve">https://doi.org/10.48550/arXiv.2305.15051</w:t>
        </w:r>
      </w:hyperlink>
      <w:r>
        <w:t xml:space="preserve">.</w:t>
      </w:r>
    </w:p>
    <w:bookmarkEnd w:id="300"/>
    <w:bookmarkStart w:id="301" w:name="ref-elliott2017living"/>
    <w:p>
      <w:pPr>
        <w:pStyle w:val="Bibliography"/>
      </w:pPr>
      <w:r>
        <w:t xml:space="preserve">Elliott, Julian H., Anneliese Synnot, Tari Turner, Mark Simmonds, Elie A. Akl, Steve McDonald, Georgia Salanti,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3">
        <w:r>
          <w:rPr>
            <w:rStyle w:val="Hyperlink"/>
          </w:rPr>
          <w:t xml:space="preserve">https://doi.org/10.1016/j.jclinepi.2017.08.010</w:t>
        </w:r>
      </w:hyperlink>
      <w:r>
        <w:t xml:space="preserve">.</w:t>
      </w:r>
    </w:p>
    <w:bookmarkEnd w:id="301"/>
    <w:bookmarkStart w:id="302"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2">
        <w:r>
          <w:rPr>
            <w:rStyle w:val="Hyperlink"/>
          </w:rPr>
          <w:t xml:space="preserve">https://doi.org/10.1177/0022343311398926</w:t>
        </w:r>
      </w:hyperlink>
      <w:r>
        <w:t xml:space="preserve">.</w:t>
      </w:r>
    </w:p>
    <w:bookmarkEnd w:id="302"/>
    <w:bookmarkStart w:id="303" w:name="ref-fairfield2017bayesian"/>
    <w:p>
      <w:pPr>
        <w:pStyle w:val="Bibliography"/>
      </w:pPr>
      <w:r>
        <w:t xml:space="preserve">Fairfield, Tasha,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1">
        <w:r>
          <w:rPr>
            <w:rStyle w:val="Hyperlink"/>
          </w:rPr>
          <w:t xml:space="preserve">https://doi.org/10.1017/pan.2017.14</w:t>
        </w:r>
      </w:hyperlink>
      <w:r>
        <w:t xml:space="preserve">.</w:t>
      </w:r>
    </w:p>
    <w:bookmarkEnd w:id="303"/>
    <w:bookmarkStart w:id="304" w:name="ref-gerring2012methodology"/>
    <w:p>
      <w:pPr>
        <w:pStyle w:val="Bibliography"/>
      </w:pPr>
      <w:r>
        <w:t xml:space="preserve">Gerring, John.</w:t>
      </w:r>
      <w:r>
        <w:t xml:space="preserve"> </w:t>
      </w:r>
      <w:r>
        <w:rPr>
          <w:i/>
          <w:iCs/>
        </w:rPr>
        <w:t xml:space="preserve">Social Science Methodology: A Unified Framework</w:t>
      </w:r>
      <w:r>
        <w:t xml:space="preserve">. 2nd ed. Cambridge: Cambridge University Press, 2012.</w:t>
      </w:r>
    </w:p>
    <w:bookmarkEnd w:id="304"/>
    <w:bookmarkStart w:id="305" w:name="ref-gilardi2023chatgpt"/>
    <w:p>
      <w:pPr>
        <w:pStyle w:val="Bibliography"/>
      </w:pPr>
      <w:r>
        <w:t xml:space="preserve">Gilardi, Fabrizio,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2">
        <w:r>
          <w:rPr>
            <w:rStyle w:val="Hyperlink"/>
          </w:rPr>
          <w:t xml:space="preserve">https://doi.org/10.1073/pnas.2305016120</w:t>
        </w:r>
      </w:hyperlink>
      <w:r>
        <w:t xml:space="preserve">.</w:t>
      </w:r>
    </w:p>
    <w:bookmarkEnd w:id="305"/>
    <w:bookmarkStart w:id="306"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2">
        <w:r>
          <w:rPr>
            <w:rStyle w:val="Hyperlink"/>
          </w:rPr>
          <w:t xml:space="preserve">https://doi.org/10.1111/j.1471-1842.2009.00848.x</w:t>
        </w:r>
      </w:hyperlink>
      <w:r>
        <w:t xml:space="preserve">.</w:t>
      </w:r>
    </w:p>
    <w:bookmarkEnd w:id="306"/>
    <w:bookmarkStart w:id="307"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6">
        <w:r>
          <w:rPr>
            <w:rStyle w:val="Hyperlink"/>
          </w:rPr>
          <w:t xml:space="preserve">https://doi.org/10.1136/bmj.38636.593461.68</w:t>
        </w:r>
      </w:hyperlink>
      <w:r>
        <w:t xml:space="preserve">.</w:t>
      </w:r>
    </w:p>
    <w:bookmarkEnd w:id="307"/>
    <w:bookmarkStart w:id="308" w:name="ref-hedges2010robust"/>
    <w:p>
      <w:pPr>
        <w:pStyle w:val="Bibliography"/>
      </w:pPr>
      <w:r>
        <w:t xml:space="preserve">Hedges, Larry V.,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1">
        <w:r>
          <w:rPr>
            <w:rStyle w:val="Hyperlink"/>
          </w:rPr>
          <w:t xml:space="preserve">https://doi.org/10.1002/jrsm.5</w:t>
        </w:r>
      </w:hyperlink>
      <w:r>
        <w:t xml:space="preserve">.</w:t>
      </w:r>
    </w:p>
    <w:bookmarkEnd w:id="308"/>
    <w:bookmarkStart w:id="309" w:name="ref-irsova2024meta"/>
    <w:p>
      <w:pPr>
        <w:pStyle w:val="Bibliography"/>
      </w:pPr>
      <w:r>
        <w:t xml:space="preserve">Irsova, Zuzana, Hristos Doucouliagos, Tomas Havranek, and T. D. Stanley.</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3">
        <w:r>
          <w:rPr>
            <w:rStyle w:val="Hyperlink"/>
          </w:rPr>
          <w:t xml:space="preserve">https://doi.org/10.1111/joes.12595</w:t>
        </w:r>
      </w:hyperlink>
      <w:r>
        <w:t xml:space="preserve">.</w:t>
      </w:r>
    </w:p>
    <w:bookmarkEnd w:id="309"/>
    <w:bookmarkStart w:id="310" w:name="ref-lebo2013provo"/>
    <w:p>
      <w:pPr>
        <w:pStyle w:val="Bibliography"/>
      </w:pPr>
      <w:r>
        <w:t xml:space="preserve">Lebo, Timothy,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3">
        <w:r>
          <w:rPr>
            <w:rStyle w:val="Hyperlink"/>
          </w:rPr>
          <w:t xml:space="preserve">https://www.w3.org/TR/prov-o/</w:t>
        </w:r>
      </w:hyperlink>
      <w:r>
        <w:t xml:space="preserve">.</w:t>
      </w:r>
    </w:p>
    <w:bookmarkEnd w:id="310"/>
    <w:bookmarkStart w:id="311"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6">
        <w:r>
          <w:rPr>
            <w:rStyle w:val="Hyperlink"/>
          </w:rPr>
          <w:t xml:space="preserve">https://doi.org/10.4073/cmdp.2018.1</w:t>
        </w:r>
      </w:hyperlink>
      <w:r>
        <w:t xml:space="preserve">.</w:t>
      </w:r>
    </w:p>
    <w:bookmarkEnd w:id="311"/>
    <w:bookmarkStart w:id="312" w:name="ref-liu2024lost"/>
    <w:p>
      <w:pPr>
        <w:pStyle w:val="Bibliography"/>
      </w:pPr>
      <w:r>
        <w:t xml:space="preserve">Liu, Nelson F., Kevin Lin, John Hewitt, Ashwin Paranjape, Michele Bevilacqua, Fabio Petroni, and Percy Liang.</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8">
        <w:r>
          <w:rPr>
            <w:rStyle w:val="Hyperlink"/>
          </w:rPr>
          <w:t xml:space="preserve">https://doi.org/10.1162/tacl_a_00638</w:t>
        </w:r>
      </w:hyperlink>
      <w:r>
        <w:t xml:space="preserve">.</w:t>
      </w:r>
    </w:p>
    <w:bookmarkEnd w:id="312"/>
    <w:bookmarkStart w:id="313"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2">
        <w:r>
          <w:rPr>
            <w:rStyle w:val="Hyperlink"/>
          </w:rPr>
          <w:t xml:space="preserve">https://doi.org/10.1177/1049732315617444</w:t>
        </w:r>
      </w:hyperlink>
      <w:r>
        <w:t xml:space="preserve">.</w:t>
      </w:r>
    </w:p>
    <w:bookmarkEnd w:id="313"/>
    <w:bookmarkStart w:id="314" w:name="ref-marshall2019automation"/>
    <w:p>
      <w:pPr>
        <w:pStyle w:val="Bibliography"/>
      </w:pPr>
      <w:r>
        <w:t xml:space="preserve">Marshall, Iain J.,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6">
        <w:r>
          <w:rPr>
            <w:rStyle w:val="Hyperlink"/>
          </w:rPr>
          <w:t xml:space="preserve">https://doi.org/10.1186/s13643-019-1074-9</w:t>
        </w:r>
      </w:hyperlink>
      <w:r>
        <w:t xml:space="preserve">.</w:t>
      </w:r>
    </w:p>
    <w:bookmarkEnd w:id="314"/>
    <w:bookmarkStart w:id="315" w:name="ref-moreau2022open"/>
    <w:p>
      <w:pPr>
        <w:pStyle w:val="Bibliography"/>
      </w:pPr>
      <w:r>
        <w:t xml:space="preserve">Moreau, David,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7">
        <w:r>
          <w:rPr>
            <w:rStyle w:val="Hyperlink"/>
          </w:rPr>
          <w:t xml:space="preserve">https://doi.org/10.1037/met0000351</w:t>
        </w:r>
      </w:hyperlink>
      <w:r>
        <w:t xml:space="preserve">.</w:t>
      </w:r>
    </w:p>
    <w:bookmarkEnd w:id="315"/>
    <w:bookmarkStart w:id="316" w:name="ref-start2024codebook"/>
    <w:p>
      <w:pPr>
        <w:pStyle w:val="Bibliography"/>
      </w:pP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0">
        <w:r>
          <w:rPr>
            <w:rStyle w:val="Hyperlink"/>
          </w:rPr>
          <w:t xml:space="preserve">https://www.start.umd.edu/gtd/downloads/Codebook.pdf</w:t>
        </w:r>
      </w:hyperlink>
      <w:r>
        <w:t xml:space="preserve">.</w:t>
      </w:r>
    </w:p>
    <w:bookmarkEnd w:id="316"/>
    <w:bookmarkStart w:id="317" w:name="ref-page2021prisma"/>
    <w:p>
      <w:pPr>
        <w:pStyle w:val="Bibliography"/>
      </w:pPr>
      <w:r>
        <w:t xml:space="preserve">Page, Matthew J., Joanne E. McKenzie, Patrick M. Bossuyt, Isabelle Boutron, Tammy C. Hoffmann, Cynthia D. Mulrow,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1">
        <w:r>
          <w:rPr>
            <w:rStyle w:val="Hyperlink"/>
          </w:rPr>
          <w:t xml:space="preserve">https://doi.org/10.1136/bmj.n71</w:t>
        </w:r>
      </w:hyperlink>
      <w:r>
        <w:t xml:space="preserve">.</w:t>
      </w:r>
    </w:p>
    <w:bookmarkEnd w:id="317"/>
    <w:bookmarkStart w:id="318" w:name="ref-pangakis2023annotation"/>
    <w:p>
      <w:pPr>
        <w:pStyle w:val="Bibliography"/>
      </w:pPr>
      <w:r>
        <w:t xml:space="preserve">Pangakis, Nicholas,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3">
        <w:r>
          <w:rPr>
            <w:rStyle w:val="Hyperlink"/>
          </w:rPr>
          <w:t xml:space="preserve">https://doi.org/10.48550/arXiv.2306.00176</w:t>
        </w:r>
      </w:hyperlink>
      <w:r>
        <w:t xml:space="preserve">.</w:t>
      </w:r>
    </w:p>
    <w:bookmarkEnd w:id="318"/>
    <w:bookmarkStart w:id="319" w:name="ref-park2023generative"/>
    <w:p>
      <w:pPr>
        <w:pStyle w:val="Bibliography"/>
      </w:pPr>
      <w:r>
        <w:t xml:space="preserve">Park, Joon Sung, Joseph C. O’Brien, Carrie J. Cai, Meredith Ringel Morris, Percy Liang, and Michael S. Bernstein.</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1–22, 2023.</w:t>
      </w:r>
      <w:r>
        <w:t xml:space="preserve"> </w:t>
      </w:r>
      <w:hyperlink r:id="rId215">
        <w:r>
          <w:rPr>
            <w:rStyle w:val="Hyperlink"/>
          </w:rPr>
          <w:t xml:space="preserve">https://doi.org/10.1145/3586183.3606763</w:t>
        </w:r>
      </w:hyperlink>
      <w:r>
        <w:t xml:space="preserve">.</w:t>
      </w:r>
    </w:p>
    <w:bookmarkEnd w:id="319"/>
    <w:bookmarkStart w:id="320" w:name="ref-pigott2020meta"/>
    <w:p>
      <w:pPr>
        <w:pStyle w:val="Bibliography"/>
      </w:pPr>
      <w:r>
        <w:t xml:space="preserve">Pigott, Terri D.,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7">
        <w:r>
          <w:rPr>
            <w:rStyle w:val="Hyperlink"/>
          </w:rPr>
          <w:t xml:space="preserve">https://doi.org/10.3102/0034654319877153</w:t>
        </w:r>
      </w:hyperlink>
      <w:r>
        <w:t xml:space="preserve">.</w:t>
      </w:r>
    </w:p>
    <w:bookmarkEnd w:id="320"/>
    <w:bookmarkStart w:id="321" w:name="ref-polanin2020transparency"/>
    <w:p>
      <w:pPr>
        <w:pStyle w:val="Bibliography"/>
      </w:pPr>
      <w:r>
        <w:t xml:space="preserve">Polanin, Joshua R.,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9">
        <w:r>
          <w:rPr>
            <w:rStyle w:val="Hyperlink"/>
          </w:rPr>
          <w:t xml:space="preserve">https://doi.org/10.1177/1745691620906416</w:t>
        </w:r>
      </w:hyperlink>
      <w:r>
        <w:t xml:space="preserve">.</w:t>
      </w:r>
    </w:p>
    <w:bookmarkEnd w:id="321"/>
    <w:bookmarkStart w:id="322" w:name="ref-rethlefsen2021prismas"/>
    <w:p>
      <w:pPr>
        <w:pStyle w:val="Bibliography"/>
      </w:pPr>
      <w:r>
        <w:t xml:space="preserve">Rethlefsen, Melissa L., Shona Kirtley, Siw Waffenschmidt, Ana Patricia Ayala, David Moher, Matthew J. Page, and Jonathan B. Koffel.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0">
        <w:r>
          <w:rPr>
            <w:rStyle w:val="Hyperlink"/>
          </w:rPr>
          <w:t xml:space="preserve">https://doi.org/10.1186/s13643-020-01542-z</w:t>
        </w:r>
      </w:hyperlink>
      <w:r>
        <w:t xml:space="preserve">.</w:t>
      </w:r>
    </w:p>
    <w:bookmarkEnd w:id="322"/>
    <w:bookmarkStart w:id="323" w:name="ref-roberts2021mediacloud"/>
    <w:p>
      <w:pPr>
        <w:pStyle w:val="Bibliography"/>
      </w:pPr>
      <w:r>
        <w:t xml:space="preserve">Roberts, Hal, Rahul Bhargava, Linas Valiukas, Dennis Jen, Momin M. Malik, Cindy Bishop, Emily B. Ndulue,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8">
        <w:r>
          <w:rPr>
            <w:rStyle w:val="Hyperlink"/>
          </w:rPr>
          <w:t xml:space="preserve">https://doi.org/10.1609/icwsm.v15i1.18127</w:t>
        </w:r>
      </w:hyperlink>
      <w:r>
        <w:t xml:space="preserve">.</w:t>
      </w:r>
    </w:p>
    <w:bookmarkEnd w:id="323"/>
    <w:bookmarkStart w:id="324" w:name="ref-saunders2018saturation"/>
    <w:p>
      <w:pPr>
        <w:pStyle w:val="Bibliography"/>
      </w:pPr>
      <w:r>
        <w:t xml:space="preserve">Saunders, Benjamin, Julius Sim, Tom Kingstone, Shula Baker, Jackie Waterfield, Bernadette Bartlam, Heather Burroughs, and Clare Jinks.</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9">
        <w:r>
          <w:rPr>
            <w:rStyle w:val="Hyperlink"/>
          </w:rPr>
          <w:t xml:space="preserve">https://doi.org/10.1007/s11135-017-0574-8</w:t>
        </w:r>
      </w:hyperlink>
      <w:r>
        <w:t xml:space="preserve">.</w:t>
      </w:r>
    </w:p>
    <w:bookmarkEnd w:id="324"/>
    <w:bookmarkStart w:id="325"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1">
        <w:r>
          <w:rPr>
            <w:rStyle w:val="Hyperlink"/>
          </w:rPr>
          <w:t xml:space="preserve">https://doi.org/10.1016/j.jbusres.2019.07.039</w:t>
        </w:r>
      </w:hyperlink>
      <w:r>
        <w:t xml:space="preserve">.</w:t>
      </w:r>
    </w:p>
    <w:bookmarkEnd w:id="325"/>
    <w:bookmarkStart w:id="326" w:name="ref-sousa2026ai"/>
    <w:p>
      <w:pPr>
        <w:pStyle w:val="Bibliography"/>
      </w:pPr>
      <w:r>
        <w:t xml:space="preserve">Sousa, M. Sharmila A., Sasha Peiris, Mabel F. Figueiró, Michelle M. Haby, Ana Cyntia Baraldi, Ludovic Reveiz, and João Paulo Souza.</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9">
        <w:r>
          <w:rPr>
            <w:rStyle w:val="Hyperlink"/>
          </w:rPr>
          <w:t xml:space="preserve">https://doi.org/10.1186/s13643-025-02842-y</w:t>
        </w:r>
      </w:hyperlink>
      <w:r>
        <w:t xml:space="preserve">.</w:t>
      </w:r>
    </w:p>
    <w:bookmarkEnd w:id="326"/>
    <w:bookmarkStart w:id="327" w:name="ref-uttley2026meta"/>
    <w:p>
      <w:pPr>
        <w:pStyle w:val="Bibliography"/>
      </w:pPr>
      <w:r>
        <w:t xml:space="preserve">Uttley, Lesley,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0">
        <w:r>
          <w:rPr>
            <w:rStyle w:val="Hyperlink"/>
          </w:rPr>
          <w:t xml:space="preserve">https://doi.org/10.1016/j.jclinepi.2026.112393</w:t>
        </w:r>
      </w:hyperlink>
      <w:r>
        <w:t xml:space="preserve">.</w:t>
      </w:r>
    </w:p>
    <w:bookmarkEnd w:id="327"/>
    <w:bookmarkStart w:id="328"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1–10. Association for Computing Machinery, 2014.</w:t>
      </w:r>
      <w:r>
        <w:t xml:space="preserve"> </w:t>
      </w:r>
      <w:hyperlink r:id="rId144">
        <w:r>
          <w:rPr>
            <w:rStyle w:val="Hyperlink"/>
          </w:rPr>
          <w:t xml:space="preserve">https://doi.org/10.1145/2601248.2601268</w:t>
        </w:r>
      </w:hyperlink>
      <w:r>
        <w:t xml:space="preserve">.</w:t>
      </w:r>
    </w:p>
    <w:bookmarkEnd w:id="328"/>
    <w:bookmarkStart w:id="329" w:name="ref-xiong2024uncertainty"/>
    <w:p>
      <w:pPr>
        <w:pStyle w:val="Bibliography"/>
      </w:pPr>
      <w:r>
        <w:t xml:space="preserve">Xiong, Miao, Zhiyuan Hu, Xinyang Lu, Yifei Li, Jie Fu, Junxian He, and Bryan Hooi.</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4">
        <w:r>
          <w:rPr>
            <w:rStyle w:val="Hyperlink"/>
          </w:rPr>
          <w:t xml:space="preserve">https://openreview.net/forum?id=gjeQKFxFpZ</w:t>
        </w:r>
      </w:hyperlink>
      <w:r>
        <w:t xml:space="preserve">.</w:t>
      </w:r>
    </w:p>
    <w:bookmarkEnd w:id="329"/>
    <w:bookmarkStart w:id="330" w:name="ref-yao2023react"/>
    <w:p>
      <w:pPr>
        <w:pStyle w:val="Bibliography"/>
      </w:pPr>
      <w:r>
        <w:t xml:space="preserve">Yao, Shunyu, Jeffrey Zhao, Dian Yu, Nan Du, Izhak Shafran, Karthik Narasimhan, and Yuan Cao.</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3">
        <w:r>
          <w:rPr>
            <w:rStyle w:val="Hyperlink"/>
          </w:rPr>
          <w:t xml:space="preserve">https://openreview.net/forum?id=WE_vluYUL-X</w:t>
        </w:r>
      </w:hyperlink>
      <w:r>
        <w:t xml:space="preserve">.</w:t>
      </w:r>
    </w:p>
    <w:bookmarkEnd w:id="330"/>
    <w:bookmarkStart w:id="331" w:name="ref-zaks2021updating"/>
    <w:p>
      <w:pPr>
        <w:pStyle w:val="Bibliography"/>
      </w:pPr>
      <w:r>
        <w:t xml:space="preserve">Zaks, Sherry.</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2">
        <w:r>
          <w:rPr>
            <w:rStyle w:val="Hyperlink"/>
          </w:rPr>
          <w:t xml:space="preserve">https://doi.org/10.1017/pan.2020.10</w:t>
        </w:r>
      </w:hyperlink>
      <w:r>
        <w:t xml:space="preserve">.</w:t>
      </w:r>
    </w:p>
    <w:bookmarkEnd w:id="331"/>
    <w:bookmarkStart w:id="332" w:name="ref-ziems2024transform"/>
    <w:p>
      <w:pPr>
        <w:pStyle w:val="Bibliography"/>
      </w:pPr>
      <w:r>
        <w:t xml:space="preserve">Ziems, Caleb, William Held, Omar Shaikh, Jiaao Chen, Zhehao Zhang, and Diyi Yang.</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4">
        <w:r>
          <w:rPr>
            <w:rStyle w:val="Hyperlink"/>
          </w:rPr>
          <w:t xml:space="preserve">https://doi.org/10.1162/coli_a_00502</w:t>
        </w:r>
      </w:hyperlink>
      <w:r>
        <w:t xml:space="preserve">.</w:t>
      </w:r>
    </w:p>
    <w:bookmarkEnd w:id="332"/>
    <w:bookmarkEnd w:id="333"/>
    <w:bookmarkEnd w:id="3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Satya Sahoo, and Deborah McGuinness,</w:t>
      </w:r>
      <w:r>
        <w:t xml:space="preserve"> </w:t>
      </w:r>
      <w:r>
        <w:t xml:space="preserve">“</w:t>
      </w:r>
      <w:r>
        <w:t xml:space="preserve">PROV-O</w:t>
      </w:r>
      <w:r>
        <w:t xml:space="preserve">: The</w:t>
      </w:r>
      <w:r>
        <w:t xml:space="preserve"> </w:t>
      </w:r>
      <w:r>
        <w:t xml:space="preserve">PROV</w:t>
      </w:r>
      <w:r>
        <w:t xml:space="preserve"> </w:t>
      </w:r>
      <w:r>
        <w:t xml:space="preserve">Ontology,”</w:t>
      </w:r>
      <w:r>
        <w:t xml:space="preserve"> </w:t>
      </w:r>
      <w:r>
        <w:t xml:space="preserve">W3C Recommendation (World Wide Web Consortium, 2013),</w:t>
      </w:r>
      <w:r>
        <w:t xml:space="preserve"> </w:t>
      </w:r>
      <w:hyperlink r:id="rId13">
        <w:r>
          <w:rPr>
            <w:rStyle w:val="Hyperlink"/>
          </w:rPr>
          <w:t xml:space="preserve">https://www.w3.org/TR/prov-o/</w:t>
        </w:r>
      </w:hyperlink>
      <w:r>
        <w:t xml:space="preserve">.</w:t>
      </w:r>
    </w:p>
  </w:footnote>
  <w:footnote w:id="19">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20">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1">
        <w:r>
          <w:rPr>
            <w:rStyle w:val="Hyperlink"/>
          </w:rPr>
          <w:t xml:space="preserve">https://doi.org/10.1136/bmj.n71</w:t>
        </w:r>
      </w:hyperlink>
      <w:r>
        <w:t xml:space="preserve">.</w:t>
      </w:r>
    </w:p>
  </w:footnote>
  <w:footnote w:id="29">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 Methodology Inclusion Criteria and Variables,”</w:t>
      </w:r>
      <w:r>
        <w:t xml:space="preserve"> </w:t>
      </w:r>
      <w:r>
        <w:t xml:space="preserve">2024,</w:t>
      </w:r>
      <w:r>
        <w:t xml:space="preserve"> </w:t>
      </w:r>
      <w:hyperlink r:id="rId30">
        <w:r>
          <w:rPr>
            <w:rStyle w:val="Hyperlink"/>
          </w:rPr>
          <w:t xml:space="preserve">https://www.start.umd.edu/gtd/downloads/Codebook.pdf</w:t>
        </w:r>
      </w:hyperlink>
      <w:r>
        <w:t xml:space="preserve">.</w:t>
      </w:r>
    </w:p>
  </w:footnote>
  <w:footnote w:id="31">
    <w:p>
      <w:pPr>
        <w:pStyle w:val="FootnoteText"/>
      </w:pPr>
      <w:r>
        <w:rPr>
          <w:rStyle w:val="FootnoteReference"/>
        </w:rPr>
        <w:footnoteRef/>
      </w:r>
      <w:r>
        <w:t xml:space="preserve"> </w:t>
      </w:r>
      <w:r>
        <w:t xml:space="preserve">See</w:t>
      </w:r>
      <w:r>
        <w:t xml:space="preserve"> </w:t>
      </w:r>
      <w:r>
        <w:t xml:space="preserve">Walter Enders,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32">
        <w:r>
          <w:rPr>
            <w:rStyle w:val="Hyperlink"/>
          </w:rPr>
          <w:t xml:space="preserve">https://doi.org/10.1177/0022343311398926</w:t>
        </w:r>
      </w:hyperlink>
      <w:r>
        <w:t xml:space="preserve">.</w:t>
      </w:r>
    </w:p>
  </w:footnote>
  <w:footnote w:id="48">
    <w:p>
      <w:pPr>
        <w:pStyle w:val="FootnoteText"/>
      </w:pPr>
      <w:r>
        <w:rPr>
          <w:rStyle w:val="FootnoteReference"/>
        </w:rPr>
        <w:footnoteRef/>
      </w:r>
      <w:r>
        <w:t xml:space="preserve"> </w:t>
      </w:r>
      <w:r>
        <w:t xml:space="preserve">See</w:t>
      </w:r>
      <w:r>
        <w:t xml:space="preserve"> </w:t>
      </w:r>
      <w:r>
        <w:t xml:space="preserve">Enders, Sandler, and Gaibulloev</w:t>
      </w:r>
      <w:r>
        <w:t xml:space="preserve">.</w:t>
      </w:r>
    </w:p>
  </w:footnote>
  <w:footnote w:id="5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67">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8">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t xml:space="preserve">“Global Terrorism Database Codebook”</w:t>
      </w:r>
      <w:r>
        <w:t xml:space="preserve">.</w:t>
      </w:r>
    </w:p>
  </w:footnote>
  <w:footnote w:id="79">
    <w:p>
      <w:pPr>
        <w:pStyle w:val="FootnoteText"/>
      </w:pPr>
      <w:r>
        <w:rPr>
          <w:rStyle w:val="FootnoteReference"/>
        </w:rPr>
        <w:footnoteRef/>
      </w:r>
      <w:r>
        <w:t xml:space="preserve"> </w:t>
      </w:r>
      <w:r>
        <w:t xml:space="preserve">See</w:t>
      </w:r>
      <w:r>
        <w:t xml:space="preserve"> </w:t>
      </w:r>
      <w:r>
        <w:t xml:space="preserve">Enders, Sandler, and Gaibulloev,</w:t>
      </w:r>
      <w:r>
        <w:t xml:space="preserve"> </w:t>
      </w:r>
      <w:r>
        <w:t xml:space="preserve">“Domestic Versus Transnational Terrorism”</w:t>
      </w:r>
      <w:r>
        <w:t xml:space="preserve">.</w:t>
      </w:r>
    </w:p>
  </w:footnote>
  <w:footnote w:id="88">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1893–1907,</w:t>
      </w:r>
      <w:r>
        <w:t xml:space="preserve"> </w:t>
      </w:r>
      <w:hyperlink r:id="rId89">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90">
        <w:r>
          <w:rPr>
            <w:rStyle w:val="Hyperlink"/>
          </w:rPr>
          <w:t xml:space="preserve">https://doi.org/10.1080/14780887.2020.1769238</w:t>
        </w:r>
      </w:hyperlink>
      <w:r>
        <w:t xml:space="preserve">.</w:t>
      </w:r>
    </w:p>
  </w:footnote>
  <w:footnote w:id="91">
    <w:p>
      <w:pPr>
        <w:pStyle w:val="FootnoteText"/>
      </w:pPr>
      <w:r>
        <w:rPr>
          <w:rStyle w:val="FootnoteReference"/>
        </w:rPr>
        <w:footnoteRef/>
      </w:r>
      <w:r>
        <w:t xml:space="preserve"> </w:t>
      </w:r>
      <w:r>
        <w:t xml:space="preserve">See</w:t>
      </w:r>
      <w:r>
        <w:t xml:space="preserve"> </w:t>
      </w:r>
      <w:r>
        <w:t xml:space="preserve">Kirsti Malterud,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92">
        <w:r>
          <w:rPr>
            <w:rStyle w:val="Hyperlink"/>
          </w:rPr>
          <w:t xml:space="preserve">https://doi.org/10.1177/1049732315617444</w:t>
        </w:r>
      </w:hyperlink>
      <w:r>
        <w:t xml:space="preserve">.</w:t>
      </w:r>
    </w:p>
  </w:footnote>
  <w:footnote w:id="110">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11">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12">
        <w:r>
          <w:rPr>
            <w:rStyle w:val="Hyperlink"/>
          </w:rPr>
          <w:t xml:space="preserve">https://doi.org/10.1111/j.1471-1842.2009.00848.x</w:t>
        </w:r>
      </w:hyperlink>
      <w:r>
        <w:t xml:space="preserve">.</w:t>
      </w:r>
    </w:p>
  </w:footnote>
  <w:footnote w:id="115">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6">
        <w:r>
          <w:rPr>
            <w:rStyle w:val="Hyperlink"/>
          </w:rPr>
          <w:t xml:space="preserve">https://doi.org/10.4073/cmdp.2018.1</w:t>
        </w:r>
      </w:hyperlink>
      <w:r>
        <w:t xml:space="preserve">.</w:t>
      </w:r>
    </w:p>
  </w:footnote>
  <w:footnote w:id="123">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33">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Cambridge University Press, 2012).</w:t>
      </w:r>
    </w:p>
  </w:footnote>
  <w:footnote w:id="143">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t xml:space="preserve">in</w:t>
      </w:r>
      <w:r>
        <w:t xml:space="preserve"> </w:t>
      </w:r>
      <w:r>
        <w:rPr>
          <w:i/>
          <w:iCs/>
        </w:rPr>
        <w:t xml:space="preserve">Proceedings of the 18th International Conference on Evaluation and Assessment in Software Engineering</w:t>
      </w:r>
      <w:r>
        <w:t xml:space="preserve"> </w:t>
      </w:r>
      <w:r>
        <w:t xml:space="preserve">(Association for Computing Machinery, 2014), 1–10,</w:t>
      </w:r>
      <w:r>
        <w:t xml:space="preserve"> </w:t>
      </w:r>
      <w:hyperlink r:id="rId144">
        <w:r>
          <w:rPr>
            <w:rStyle w:val="Hyperlink"/>
          </w:rPr>
          <w:t xml:space="preserve">https://doi.org/10.1145/2601248.2601268</w:t>
        </w:r>
      </w:hyperlink>
      <w:r>
        <w:t xml:space="preserve">.</w:t>
      </w:r>
    </w:p>
  </w:footnote>
  <w:footnote w:id="145">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6">
        <w:r>
          <w:rPr>
            <w:rStyle w:val="Hyperlink"/>
          </w:rPr>
          <w:t xml:space="preserve">https://doi.org/10.1136/bmj.38636.593461.68</w:t>
        </w:r>
      </w:hyperlink>
      <w:r>
        <w:t xml:space="preserve">; Andrew Booth, Anthea Sutton, and Diana Papaioannou,</w:t>
      </w:r>
      <w:r>
        <w:t xml:space="preserve"> </w:t>
      </w:r>
      <w:r>
        <w:rPr>
          <w:i/>
          <w:iCs/>
        </w:rPr>
        <w:t xml:space="preserve">Systematic Approaches to a Successful Literature Review</w:t>
      </w:r>
      <w:r>
        <w:t xml:space="preserve">, 2nd ed. (London: SAGE Publications, 2016).</w:t>
      </w:r>
    </w:p>
  </w:footnote>
  <w:footnote w:id="173">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84">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r>
        <w:t xml:space="preserve">; Snyder,</w:t>
      </w:r>
      <w:r>
        <w:t xml:space="preserve"> </w:t>
      </w:r>
      <w:r>
        <w:t xml:space="preserve">“Literature Review as a Research Methodology.”</w:t>
      </w:r>
    </w:p>
  </w:footnote>
  <w:footnote w:id="186">
    <w:p>
      <w:pPr>
        <w:pStyle w:val="FootnoteText"/>
      </w:pPr>
      <w:r>
        <w:rPr>
          <w:rStyle w:val="FootnoteReference"/>
        </w:rPr>
        <w:footnoteRef/>
      </w:r>
      <w:r>
        <w:t xml:space="preserve"> </w:t>
      </w:r>
      <w:r>
        <w:t xml:space="preserve">Terri D. Pigott and Joshua R. Polanin,</w:t>
      </w:r>
      <w:r>
        <w:t xml:space="preserve"> </w:t>
      </w:r>
      <w:r>
        <w:t xml:space="preserve">“Methodological Guidance Paper: High-Quality Meta-Analysis in a Systematic Review,”</w:t>
      </w:r>
      <w:r>
        <w:t xml:space="preserve"> </w:t>
      </w:r>
      <w:r>
        <w:rPr>
          <w:i/>
          <w:iCs/>
        </w:rPr>
        <w:t xml:space="preserve">Review of Educational Research</w:t>
      </w:r>
      <w:r>
        <w:t xml:space="preserve"> </w:t>
      </w:r>
      <w:r>
        <w:t xml:space="preserve">90, no. 1 (2020): 24–46,</w:t>
      </w:r>
      <w:r>
        <w:t xml:space="preserve"> </w:t>
      </w:r>
      <w:hyperlink r:id="rId187">
        <w:r>
          <w:rPr>
            <w:rStyle w:val="Hyperlink"/>
          </w:rPr>
          <w:t xml:space="preserve">https://doi.org/10.3102/0034654319877153</w:t>
        </w:r>
      </w:hyperlink>
      <w:r>
        <w:t xml:space="preserve">.</w:t>
      </w:r>
    </w:p>
  </w:footnote>
  <w:footnote w:id="190">
    <w:p>
      <w:pPr>
        <w:pStyle w:val="FootnoteText"/>
      </w:pPr>
      <w:r>
        <w:rPr>
          <w:rStyle w:val="FootnoteReference"/>
        </w:rPr>
        <w:footnoteRef/>
      </w:r>
      <w:r>
        <w:t xml:space="preserve"> </w:t>
      </w:r>
      <w:r>
        <w:t xml:space="preserve">Larry V. Hedges, Elizabeth Tipton, and Matthew C. Johnson,</w:t>
      </w:r>
      <w:r>
        <w:t xml:space="preserve"> </w:t>
      </w:r>
      <w:r>
        <w:t xml:space="preserve">“Robust Variance Estimation in Meta-Regression with Dependent Effect Size Estimates,”</w:t>
      </w:r>
      <w:r>
        <w:t xml:space="preserve"> </w:t>
      </w:r>
      <w:r>
        <w:rPr>
          <w:i/>
          <w:iCs/>
        </w:rPr>
        <w:t xml:space="preserve">Research Synthesis Methods</w:t>
      </w:r>
      <w:r>
        <w:t xml:space="preserve"> </w:t>
      </w:r>
      <w:r>
        <w:t xml:space="preserve">1, no. 1 (2010): 39–65,</w:t>
      </w:r>
      <w:r>
        <w:t xml:space="preserve"> </w:t>
      </w:r>
      <w:hyperlink r:id="rId191">
        <w:r>
          <w:rPr>
            <w:rStyle w:val="Hyperlink"/>
          </w:rPr>
          <w:t xml:space="preserve">https://doi.org/10.1002/jrsm.5</w:t>
        </w:r>
      </w:hyperlink>
      <w:r>
        <w:t xml:space="preserve">.</w:t>
      </w:r>
    </w:p>
  </w:footnote>
  <w:footnote w:id="192">
    <w:p>
      <w:pPr>
        <w:pStyle w:val="FootnoteText"/>
      </w:pPr>
      <w:r>
        <w:rPr>
          <w:rStyle w:val="FootnoteReference"/>
        </w:rPr>
        <w:footnoteRef/>
      </w:r>
      <w:r>
        <w:t xml:space="preserve"> </w:t>
      </w:r>
      <w:r>
        <w:t xml:space="preserve">Zuzana Irsova et al.,</w:t>
      </w:r>
      <w:r>
        <w:t xml:space="preserve"> </w:t>
      </w:r>
      <w:r>
        <w:t xml:space="preserve">“Meta-Analysis of Social Science Research: A Practitioner’s Guide,”</w:t>
      </w:r>
      <w:r>
        <w:t xml:space="preserve"> </w:t>
      </w:r>
      <w:r>
        <w:rPr>
          <w:i/>
          <w:iCs/>
        </w:rPr>
        <w:t xml:space="preserve">Journal of Economic Surveys</w:t>
      </w:r>
      <w:r>
        <w:t xml:space="preserve"> </w:t>
      </w:r>
      <w:r>
        <w:t xml:space="preserve">38, no. 5 (2024): 1547–66,</w:t>
      </w:r>
      <w:r>
        <w:t xml:space="preserve"> </w:t>
      </w:r>
      <w:hyperlink r:id="rId193">
        <w:r>
          <w:rPr>
            <w:rStyle w:val="Hyperlink"/>
          </w:rPr>
          <w:t xml:space="preserve">https://doi.org/10.1111/joes.12595</w:t>
        </w:r>
      </w:hyperlink>
      <w:r>
        <w:t xml:space="preserve">.</w:t>
      </w:r>
    </w:p>
  </w:footnote>
  <w:footnote w:id="196">
    <w:p>
      <w:pPr>
        <w:pStyle w:val="FootnoteText"/>
      </w:pPr>
      <w:r>
        <w:rPr>
          <w:rStyle w:val="FootnoteReference"/>
        </w:rPr>
        <w:footnoteRef/>
      </w:r>
      <w:r>
        <w:t xml:space="preserve"> </w:t>
      </w:r>
      <w:r>
        <w:t xml:space="preserve">David Moreau and Beau Gamble,</w:t>
      </w:r>
      <w:r>
        <w:t xml:space="preserve"> </w:t>
      </w:r>
      <w:r>
        <w:t xml:space="preserve">“Conducting a Meta-Analysis in the Age of Open Science: Tools, Tips, and Practical Recommendations,”</w:t>
      </w:r>
      <w:r>
        <w:t xml:space="preserve"> </w:t>
      </w:r>
      <w:r>
        <w:rPr>
          <w:i/>
          <w:iCs/>
        </w:rPr>
        <w:t xml:space="preserve">Psychological Methods</w:t>
      </w:r>
      <w:r>
        <w:t xml:space="preserve"> </w:t>
      </w:r>
      <w:r>
        <w:t xml:space="preserve">27, no. 3 (2022): 426–32,</w:t>
      </w:r>
      <w:r>
        <w:t xml:space="preserve"> </w:t>
      </w:r>
      <w:hyperlink r:id="rId197">
        <w:r>
          <w:rPr>
            <w:rStyle w:val="Hyperlink"/>
          </w:rPr>
          <w:t xml:space="preserve">https://doi.org/10.1037/met0000351</w:t>
        </w:r>
      </w:hyperlink>
      <w:r>
        <w:t xml:space="preserve">.</w:t>
      </w:r>
    </w:p>
  </w:footnote>
  <w:footnote w:id="198">
    <w:p>
      <w:pPr>
        <w:pStyle w:val="FootnoteText"/>
      </w:pPr>
      <w:r>
        <w:rPr>
          <w:rStyle w:val="FootnoteReference"/>
        </w:rPr>
        <w:footnoteRef/>
      </w:r>
      <w:r>
        <w:t xml:space="preserve"> </w:t>
      </w:r>
      <w:r>
        <w:t xml:space="preserve">Joshua R. Polanin, Emily A. Hennessy, and Sho Tsuji,</w:t>
      </w:r>
      <w:r>
        <w:t xml:space="preserve"> </w:t>
      </w:r>
      <w:r>
        <w:t xml:space="preserve">“Transparency and Reproducibility of Meta-Analyses in Psychology: A Meta-Review,”</w:t>
      </w:r>
      <w:r>
        <w:t xml:space="preserve"> </w:t>
      </w:r>
      <w:r>
        <w:rPr>
          <w:i/>
          <w:iCs/>
        </w:rPr>
        <w:t xml:space="preserve">Perspectives on Psychological Science</w:t>
      </w:r>
      <w:r>
        <w:t xml:space="preserve"> </w:t>
      </w:r>
      <w:r>
        <w:t xml:space="preserve">15, no. 4 (2020): 1026–41,</w:t>
      </w:r>
      <w:r>
        <w:t xml:space="preserve"> </w:t>
      </w:r>
      <w:hyperlink r:id="rId199">
        <w:r>
          <w:rPr>
            <w:rStyle w:val="Hyperlink"/>
          </w:rPr>
          <w:t xml:space="preserve">https://doi.org/10.1177/1745691620906416</w:t>
        </w:r>
      </w:hyperlink>
      <w:r>
        <w:t xml:space="preserve">; Lesley Uttley, Yuliang Weng, and Louise Falzon,</w:t>
      </w:r>
      <w:r>
        <w:t xml:space="preserve"> </w:t>
      </w:r>
      <w:r>
        <w:t xml:space="preserve">“What’s the Meta Now? More Updates on the Problems with Systematic Reviews,”</w:t>
      </w:r>
      <w:r>
        <w:t xml:space="preserve"> </w:t>
      </w:r>
      <w:r>
        <w:rPr>
          <w:i/>
          <w:iCs/>
        </w:rPr>
        <w:t xml:space="preserve">Journal of Clinical Epidemiology</w:t>
      </w:r>
      <w:r>
        <w:t xml:space="preserve"> </w:t>
      </w:r>
      <w:r>
        <w:t xml:space="preserve">198 (2026): 112393,</w:t>
      </w:r>
      <w:r>
        <w:t xml:space="preserve"> </w:t>
      </w:r>
      <w:hyperlink r:id="rId200">
        <w:r>
          <w:rPr>
            <w:rStyle w:val="Hyperlink"/>
          </w:rPr>
          <w:t xml:space="preserve">https://doi.org/10.1016/j.jclinepi.2026.112393</w:t>
        </w:r>
      </w:hyperlink>
      <w:r>
        <w:t xml:space="preserve">.</w:t>
      </w:r>
    </w:p>
  </w:footnote>
  <w:footnote w:id="202">
    <w:p>
      <w:pPr>
        <w:pStyle w:val="FootnoteText"/>
      </w:pPr>
      <w:r>
        <w:rPr>
          <w:rStyle w:val="FootnoteReference"/>
        </w:rPr>
        <w:footnoteRef/>
      </w:r>
      <w:r>
        <w:t xml:space="preserve"> </w:t>
      </w:r>
      <w:r>
        <w:t xml:space="preserve">Julian H. Elliott et al.,</w:t>
      </w:r>
      <w:r>
        <w:t xml:space="preserve"> </w:t>
      </w:r>
      <w:r>
        <w:t xml:space="preserve">“Living Systematic Review: 1. Introduction, the Why, What, When, and How,”</w:t>
      </w:r>
      <w:r>
        <w:t xml:space="preserve"> </w:t>
      </w:r>
      <w:r>
        <w:rPr>
          <w:i/>
          <w:iCs/>
        </w:rPr>
        <w:t xml:space="preserve">Journal of Clinical Epidemiology</w:t>
      </w:r>
      <w:r>
        <w:t xml:space="preserve"> </w:t>
      </w:r>
      <w:r>
        <w:t xml:space="preserve">91 (2017): 23–30,</w:t>
      </w:r>
      <w:r>
        <w:t xml:space="preserve"> </w:t>
      </w:r>
      <w:hyperlink r:id="rId203">
        <w:r>
          <w:rPr>
            <w:rStyle w:val="Hyperlink"/>
          </w:rPr>
          <w:t xml:space="preserve">https://doi.org/10.1016/j.jclinepi.2017.08.010</w:t>
        </w:r>
      </w:hyperlink>
      <w:r>
        <w:t xml:space="preserve">.</w:t>
      </w:r>
    </w:p>
  </w:footnote>
  <w:footnote w:id="205">
    <w:p>
      <w:pPr>
        <w:pStyle w:val="FootnoteText"/>
      </w:pPr>
      <w:r>
        <w:rPr>
          <w:rStyle w:val="FootnoteReference"/>
        </w:rPr>
        <w:footnoteRef/>
      </w:r>
      <w:r>
        <w:t xml:space="preserve"> </w:t>
      </w:r>
      <w:r>
        <w:t xml:space="preserve">Iain J. Marshall and Byron C. Wallace,</w:t>
      </w:r>
      <w:r>
        <w:t xml:space="preserve"> </w:t>
      </w:r>
      <w:r>
        <w:t xml:space="preserve">“Toward Systematic Review Automation: A Practical Guide to Using Machine Learning Tools in Research Synthesis,”</w:t>
      </w:r>
      <w:r>
        <w:t xml:space="preserve"> </w:t>
      </w:r>
      <w:r>
        <w:rPr>
          <w:i/>
          <w:iCs/>
        </w:rPr>
        <w:t xml:space="preserve">Systematic Reviews</w:t>
      </w:r>
      <w:r>
        <w:t xml:space="preserve"> </w:t>
      </w:r>
      <w:r>
        <w:t xml:space="preserve">8, no. 1 (2019): 163,</w:t>
      </w:r>
      <w:r>
        <w:t xml:space="preserve"> </w:t>
      </w:r>
      <w:hyperlink r:id="rId206">
        <w:r>
          <w:rPr>
            <w:rStyle w:val="Hyperlink"/>
          </w:rPr>
          <w:t xml:space="preserve">https://doi.org/10.1186/s13643-019-1074-9</w:t>
        </w:r>
      </w:hyperlink>
      <w:r>
        <w:t xml:space="preserve">.</w:t>
      </w:r>
    </w:p>
  </w:footnote>
  <w:footnote w:id="207">
    <w:p>
      <w:pPr>
        <w:pStyle w:val="FootnoteText"/>
      </w:pPr>
      <w:r>
        <w:rPr>
          <w:rStyle w:val="FootnoteReference"/>
        </w:rPr>
        <w:footnoteRef/>
      </w:r>
      <w:r>
        <w:t xml:space="preserve"> </w:t>
      </w:r>
      <w:r>
        <w:t xml:space="preserve">Aymeric Blaizot et al.,</w:t>
      </w:r>
      <w:r>
        <w:t xml:space="preserve"> </w:t>
      </w:r>
      <w:r>
        <w:t xml:space="preserve">“Using Artificial Intelligence Methods for Systematic Review in Health Sciences: A Systematic Review,”</w:t>
      </w:r>
      <w:r>
        <w:t xml:space="preserve"> </w:t>
      </w:r>
      <w:r>
        <w:rPr>
          <w:i/>
          <w:iCs/>
        </w:rPr>
        <w:t xml:space="preserve">Research Synthesis Methods</w:t>
      </w:r>
      <w:r>
        <w:t xml:space="preserve"> </w:t>
      </w:r>
      <w:r>
        <w:t xml:space="preserve">13, no. 3 (2022): 353–62,</w:t>
      </w:r>
      <w:r>
        <w:t xml:space="preserve"> </w:t>
      </w:r>
      <w:hyperlink r:id="rId208">
        <w:r>
          <w:rPr>
            <w:rStyle w:val="Hyperlink"/>
          </w:rPr>
          <w:t xml:space="preserve">https://doi.org/10.1002/jrsm.1553</w:t>
        </w:r>
      </w:hyperlink>
      <w:r>
        <w:t xml:space="preserve">; M. Sharmila A. Sousa et al.,</w:t>
      </w:r>
      <w:r>
        <w:t xml:space="preserve"> </w:t>
      </w:r>
      <w:r>
        <w:t xml:space="preserve">“The Landscape of Artificial Intelligence Tools and Platforms for Evidence Synthesis: A Scoping Review,”</w:t>
      </w:r>
      <w:r>
        <w:t xml:space="preserve"> </w:t>
      </w:r>
      <w:r>
        <w:rPr>
          <w:i/>
          <w:iCs/>
        </w:rPr>
        <w:t xml:space="preserve">Systematic Reviews</w:t>
      </w:r>
      <w:r>
        <w:t xml:space="preserve"> </w:t>
      </w:r>
      <w:r>
        <w:t xml:space="preserve">15, no. 1 (2026): 82,</w:t>
      </w:r>
      <w:r>
        <w:t xml:space="preserve"> </w:t>
      </w:r>
      <w:hyperlink r:id="rId209">
        <w:r>
          <w:rPr>
            <w:rStyle w:val="Hyperlink"/>
          </w:rPr>
          <w:t xml:space="preserve">https://doi.org/10.1186/s13643-025-02842-y</w:t>
        </w:r>
      </w:hyperlink>
      <w:r>
        <w:t xml:space="preserve">.</w:t>
      </w:r>
    </w:p>
  </w:footnote>
  <w:footnote w:id="212">
    <w:p>
      <w:pPr>
        <w:pStyle w:val="FootnoteText"/>
      </w:pPr>
      <w:r>
        <w:rPr>
          <w:rStyle w:val="FootnoteReference"/>
        </w:rPr>
        <w:footnoteRef/>
      </w:r>
      <w:r>
        <w:t xml:space="preserve"> </w:t>
      </w:r>
      <w:r>
        <w:t xml:space="preserve">Shunyu Yao et al.,</w:t>
      </w:r>
      <w:r>
        <w:t xml:space="preserve"> </w:t>
      </w:r>
      <w:r>
        <w:t xml:space="preserve">“</w:t>
      </w:r>
      <w:r>
        <w:t xml:space="preserve">ReAct</w:t>
      </w:r>
      <w:r>
        <w:t xml:space="preserve">: Synergizing Reasoning and Acting in Language Models,”</w:t>
      </w:r>
      <w:r>
        <w:t xml:space="preserve"> </w:t>
      </w:r>
      <w:r>
        <w:t xml:space="preserve">in</w:t>
      </w:r>
      <w:r>
        <w:t xml:space="preserve"> </w:t>
      </w:r>
      <w:r>
        <w:rPr>
          <w:i/>
          <w:iCs/>
        </w:rPr>
        <w:t xml:space="preserve">The Eleventh International Conference on Learning Representations</w:t>
      </w:r>
      <w:r>
        <w:t xml:space="preserve">, 2023,</w:t>
      </w:r>
      <w:r>
        <w:t xml:space="preserve"> </w:t>
      </w:r>
      <w:hyperlink r:id="rId213">
        <w:r>
          <w:rPr>
            <w:rStyle w:val="Hyperlink"/>
          </w:rPr>
          <w:t xml:space="preserve">https://openreview.net/forum?id=WE_vluYUL-X</w:t>
        </w:r>
      </w:hyperlink>
      <w:r>
        <w:t xml:space="preserve">.</w:t>
      </w:r>
    </w:p>
  </w:footnote>
  <w:footnote w:id="214">
    <w:p>
      <w:pPr>
        <w:pStyle w:val="FootnoteText"/>
      </w:pPr>
      <w:r>
        <w:rPr>
          <w:rStyle w:val="FootnoteReference"/>
        </w:rPr>
        <w:footnoteRef/>
      </w:r>
      <w:r>
        <w:t xml:space="preserve"> </w:t>
      </w:r>
      <w:r>
        <w:t xml:space="preserve">Joon Sung Park et al.,</w:t>
      </w:r>
      <w:r>
        <w:t xml:space="preserve"> </w:t>
      </w:r>
      <w:r>
        <w:t xml:space="preserve">“Generative Agents: Interactive Simulacra of Human Behavior,”</w:t>
      </w:r>
      <w:r>
        <w:t xml:space="preserve"> </w:t>
      </w:r>
      <w:r>
        <w:t xml:space="preserve">in</w:t>
      </w:r>
      <w:r>
        <w:t xml:space="preserve"> </w:t>
      </w:r>
      <w:r>
        <w:rPr>
          <w:i/>
          <w:iCs/>
        </w:rPr>
        <w:t xml:space="preserve">Proceedings of the 36th Annual ACM Symposium on User Interface Software and Technology</w:t>
      </w:r>
      <w:r>
        <w:t xml:space="preserve">, 2023, 1–22,</w:t>
      </w:r>
      <w:r>
        <w:t xml:space="preserve"> </w:t>
      </w:r>
      <w:hyperlink r:id="rId215">
        <w:r>
          <w:rPr>
            <w:rStyle w:val="Hyperlink"/>
          </w:rPr>
          <w:t xml:space="preserve">https://doi.org/10.1145/3586183.3606763</w:t>
        </w:r>
      </w:hyperlink>
      <w:r>
        <w:t xml:space="preserve">.</w:t>
      </w:r>
    </w:p>
  </w:footnote>
  <w:footnote w:id="217">
    <w:p>
      <w:pPr>
        <w:pStyle w:val="FootnoteText"/>
      </w:pPr>
      <w:r>
        <w:rPr>
          <w:rStyle w:val="FootnoteReference"/>
        </w:rPr>
        <w:footnoteRef/>
      </w:r>
      <w:r>
        <w:t xml:space="preserve"> </w:t>
      </w:r>
      <w:r>
        <w:t xml:space="preserve">Nelson F. Liu et al.,</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(2024): 157–73,</w:t>
      </w:r>
      <w:r>
        <w:t xml:space="preserve"> </w:t>
      </w:r>
      <w:hyperlink r:id="rId218">
        <w:r>
          <w:rPr>
            <w:rStyle w:val="Hyperlink"/>
          </w:rPr>
          <w:t xml:space="preserve">https://doi.org/10.1162/tacl_a_00638</w:t>
        </w:r>
      </w:hyperlink>
      <w:r>
        <w:t xml:space="preserve">.</w:t>
      </w:r>
    </w:p>
  </w:footnote>
  <w:footnote w:id="231">
    <w:p>
      <w:pPr>
        <w:pStyle w:val="FootnoteText"/>
      </w:pPr>
      <w:r>
        <w:rPr>
          <w:rStyle w:val="FootnoteReference"/>
        </w:rPr>
        <w:footnoteRef/>
      </w:r>
      <w:r>
        <w:t xml:space="preserve"> </w:t>
      </w:r>
      <w:r>
        <w:t xml:space="preserve">Fabrizio Gilardi, Meysam Alizadeh, and Maël Kubli,</w:t>
      </w:r>
      <w:r>
        <w:t xml:space="preserve"> </w:t>
      </w:r>
      <w:r>
        <w:t xml:space="preserve">“</w:t>
      </w:r>
      <w:r>
        <w:t xml:space="preserve">ChatGPT</w:t>
      </w:r>
      <w:r>
        <w:t xml:space="preserve"> </w:t>
      </w:r>
      <w:r>
        <w:t xml:space="preserve">Outperforms Crowd Workers for Text-Annotation Tasks,”</w:t>
      </w:r>
      <w:r>
        <w:t xml:space="preserve"> </w:t>
      </w:r>
      <w:r>
        <w:rPr>
          <w:i/>
          <w:iCs/>
        </w:rPr>
        <w:t xml:space="preserve">Proceedings of the National Academy of Sciences</w:t>
      </w:r>
      <w:r>
        <w:t xml:space="preserve"> </w:t>
      </w:r>
      <w:r>
        <w:t xml:space="preserve">120, no. 30 (2023): e2305016120,</w:t>
      </w:r>
      <w:r>
        <w:t xml:space="preserve"> </w:t>
      </w:r>
      <w:hyperlink r:id="rId232">
        <w:r>
          <w:rPr>
            <w:rStyle w:val="Hyperlink"/>
          </w:rPr>
          <w:t xml:space="preserve">https://doi.org/10.1073/pnas.2305016120</w:t>
        </w:r>
      </w:hyperlink>
      <w:r>
        <w:t xml:space="preserve">; Nicholas Pangakis, Samuel Wolken, and Sergio Fasching,</w:t>
      </w:r>
      <w:r>
        <w:t xml:space="preserve"> </w:t>
      </w:r>
      <w:r>
        <w:t xml:space="preserve">“Automated Annotation with Generative</w:t>
      </w:r>
      <w:r>
        <w:t xml:space="preserve"> </w:t>
      </w:r>
      <w:r>
        <w:t xml:space="preserve">AI</w:t>
      </w:r>
      <w:r>
        <w:t xml:space="preserve"> </w:t>
      </w:r>
      <w:r>
        <w:t xml:space="preserve">Requires Validation,”</w:t>
      </w:r>
      <w:r>
        <w:t xml:space="preserve"> </w:t>
      </w:r>
      <w:r>
        <w:rPr>
          <w:i/>
          <w:iCs/>
        </w:rPr>
        <w:t xml:space="preserve">arXiv</w:t>
      </w:r>
      <w:r>
        <w:t xml:space="preserve">, 2023,</w:t>
      </w:r>
      <w:r>
        <w:t xml:space="preserve"> </w:t>
      </w:r>
      <w:hyperlink r:id="rId233">
        <w:r>
          <w:rPr>
            <w:rStyle w:val="Hyperlink"/>
          </w:rPr>
          <w:t xml:space="preserve">https://doi.org/10.48550/arXiv.2306.00176</w:t>
        </w:r>
      </w:hyperlink>
      <w:r>
        <w:t xml:space="preserve">; Caleb Ziems et al.,</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no. 1 (2024): 237–91,</w:t>
      </w:r>
      <w:r>
        <w:t xml:space="preserve"> </w:t>
      </w:r>
      <w:hyperlink r:id="rId234">
        <w:r>
          <w:rPr>
            <w:rStyle w:val="Hyperlink"/>
          </w:rPr>
          <w:t xml:space="preserve">https://doi.org/10.1162/coli_a_00502</w:t>
        </w:r>
      </w:hyperlink>
      <w:r>
        <w:t xml:space="preserve">.</w:t>
      </w:r>
    </w:p>
  </w:footnote>
  <w:footnote w:id="237">
    <w:p>
      <w:pPr>
        <w:pStyle w:val="FootnoteText"/>
      </w:pPr>
      <w:r>
        <w:rPr>
          <w:rStyle w:val="FootnoteReference"/>
        </w:rPr>
        <w:footnoteRef/>
      </w:r>
      <w:r>
        <w:t xml:space="preserve"> </w:t>
      </w:r>
      <w:r>
        <w:t xml:space="preserve">Hal Roberts et al.,</w:t>
      </w:r>
      <w:r>
        <w:t xml:space="preserve"> </w:t>
      </w:r>
      <w:r>
        <w:t xml:space="preserve">“Media Cloud: Massive Open Source Collection of Global News on the Open Web,”</w:t>
      </w:r>
      <w:r>
        <w:t xml:space="preserve"> </w:t>
      </w:r>
      <w:r>
        <w:rPr>
          <w:i/>
          <w:iCs/>
        </w:rPr>
        <w:t xml:space="preserve">Proceedings of the International AAAI Conference on Web and Social Media</w:t>
      </w:r>
      <w:r>
        <w:t xml:space="preserve"> </w:t>
      </w:r>
      <w:r>
        <w:t xml:space="preserve">15, no. 1 (2021): 1034–45,</w:t>
      </w:r>
      <w:r>
        <w:t xml:space="preserve"> </w:t>
      </w:r>
      <w:hyperlink r:id="rId238">
        <w:r>
          <w:rPr>
            <w:rStyle w:val="Hyperlink"/>
          </w:rPr>
          <w:t xml:space="preserve">https://doi.org/10.1609/icwsm.v15i1.18127</w:t>
        </w:r>
      </w:hyperlink>
      <w:r>
        <w:t xml:space="preserve">.</w:t>
      </w:r>
    </w:p>
  </w:footnote>
  <w:footnote w:id="239">
    <w:p>
      <w:pPr>
        <w:pStyle w:val="FootnoteText"/>
      </w:pPr>
      <w:r>
        <w:rPr>
          <w:rStyle w:val="FootnoteReference"/>
        </w:rPr>
        <w:footnoteRef/>
      </w:r>
      <w:r>
        <w:t xml:space="preserve"> </w:t>
      </w:r>
      <w:r>
        <w:t xml:space="preserve">Kaspar Beelen et al.,</w:t>
      </w:r>
      <w:r>
        <w:t xml:space="preserve"> </w:t>
      </w:r>
      <w:r>
        <w:t xml:space="preserve">“Bias and Representativeness in Digitized Newspaper Collections: Introducing the Environmental Scan,”</w:t>
      </w:r>
      <w:r>
        <w:t xml:space="preserve"> </w:t>
      </w:r>
      <w:r>
        <w:rPr>
          <w:i/>
          <w:iCs/>
        </w:rPr>
        <w:t xml:space="preserve">Digital Scholarship in the Humanities</w:t>
      </w:r>
      <w:r>
        <w:t xml:space="preserve"> </w:t>
      </w:r>
      <w:r>
        <w:t xml:space="preserve">38, no. 1 (2023): 1–22,</w:t>
      </w:r>
      <w:r>
        <w:t xml:space="preserve"> </w:t>
      </w:r>
      <w:hyperlink r:id="rId240">
        <w:r>
          <w:rPr>
            <w:rStyle w:val="Hyperlink"/>
          </w:rPr>
          <w:t xml:space="preserve">https://doi.org/10.1093/llc/fqac037</w:t>
        </w:r>
      </w:hyperlink>
      <w:r>
        <w:t xml:space="preserve">.</w:t>
      </w:r>
    </w:p>
  </w:footnote>
  <w:footnote w:id="243">
    <w:p>
      <w:pPr>
        <w:pStyle w:val="FootnoteText"/>
      </w:pPr>
      <w:r>
        <w:rPr>
          <w:rStyle w:val="FootnoteReference"/>
        </w:rPr>
        <w:footnoteRef/>
      </w:r>
      <w:r>
        <w:t xml:space="preserve"> </w:t>
      </w:r>
      <w:r>
        <w:t xml:space="preserve">Erica Cai and Brendan O’Connor,</w:t>
      </w:r>
      <w:r>
        <w:t xml:space="preserve"> </w:t>
      </w:r>
      <w:r>
        <w:t xml:space="preserve">“A</w:t>
      </w:r>
      <w:r>
        <w:t xml:space="preserve"> </w:t>
      </w:r>
      <w:r>
        <w:t xml:space="preserve">Monte Carlo</w:t>
      </w:r>
      <w:r>
        <w:t xml:space="preserve"> </w:t>
      </w:r>
      <w:r>
        <w:t xml:space="preserve">Language Model Pipeline for Zero-Shot Sociopolitical Event Extraction,”</w:t>
      </w:r>
      <w:r>
        <w:t xml:space="preserve"> </w:t>
      </w:r>
      <w:r>
        <w:t xml:space="preserve">in</w:t>
      </w:r>
      <w:r>
        <w:t xml:space="preserve"> </w:t>
      </w:r>
      <w:r>
        <w:rPr>
          <w:i/>
          <w:iCs/>
        </w:rPr>
        <w:t xml:space="preserve">NeurIPS 2023 Workshop on Instruction Tuning and Instruction Following</w:t>
      </w:r>
      <w:r>
        <w:t xml:space="preserve">, 2023,</w:t>
      </w:r>
      <w:r>
        <w:t xml:space="preserve"> </w:t>
      </w:r>
      <w:hyperlink r:id="rId244">
        <w:r>
          <w:rPr>
            <w:rStyle w:val="Hyperlink"/>
          </w:rPr>
          <w:t xml:space="preserve">https://doi.org/10.48550/arXiv.2305.15051</w:t>
        </w:r>
      </w:hyperlink>
      <w:r>
        <w:t xml:space="preserve">.</w:t>
      </w:r>
    </w:p>
  </w:footnote>
  <w:footnote w:id="247">
    <w:p>
      <w:pPr>
        <w:pStyle w:val="FootnoteText"/>
      </w:pPr>
      <w:r>
        <w:rPr>
          <w:rStyle w:val="FootnoteReference"/>
        </w:rPr>
        <w:footnoteRef/>
      </w:r>
      <w:r>
        <w:t xml:space="preserve"> </w:t>
      </w:r>
      <w:r>
        <w:t xml:space="preserve">Patrick T. Brandt and Marcus Sianan,</w:t>
      </w:r>
      <w:r>
        <w:t xml:space="preserve"> </w:t>
      </w:r>
      <w:r>
        <w:t xml:space="preserve">“Measurement of Event Data from Text,”</w:t>
      </w:r>
      <w:r>
        <w:t xml:space="preserve"> </w:t>
      </w:r>
      <w:r>
        <w:rPr>
          <w:i/>
          <w:iCs/>
        </w:rPr>
        <w:t xml:space="preserve">Frontiers in Political Science</w:t>
      </w:r>
      <w:r>
        <w:t xml:space="preserve"> </w:t>
      </w:r>
      <w:r>
        <w:t xml:space="preserve">6 (2025): 1453640,</w:t>
      </w:r>
      <w:r>
        <w:t xml:space="preserve"> </w:t>
      </w:r>
      <w:hyperlink r:id="rId248">
        <w:r>
          <w:rPr>
            <w:rStyle w:val="Hyperlink"/>
          </w:rPr>
          <w:t xml:space="preserve">https://doi.org/10.3389/fpos.2024.1453640</w:t>
        </w:r>
      </w:hyperlink>
      <w:r>
        <w:t xml:space="preserve">.</w:t>
      </w:r>
    </w:p>
  </w:footnote>
  <w:footnote w:id="250">
    <w:p>
      <w:pPr>
        <w:pStyle w:val="FootnoteText"/>
      </w:pPr>
      <w:r>
        <w:rPr>
          <w:rStyle w:val="FootnoteReference"/>
        </w:rPr>
        <w:footnoteRef/>
      </w:r>
      <w:r>
        <w:t xml:space="preserve"> </w:t>
      </w:r>
      <w:r>
        <w:t xml:space="preserve">Tasha Fairfield and Andrew E. Charman,</w:t>
      </w:r>
      <w:r>
        <w:t xml:space="preserve"> </w:t>
      </w:r>
      <w:r>
        <w:t xml:space="preserve">“Explicit</w:t>
      </w:r>
      <w:r>
        <w:t xml:space="preserve"> </w:t>
      </w:r>
      <w:r>
        <w:t xml:space="preserve">Bayesian</w:t>
      </w:r>
      <w:r>
        <w:t xml:space="preserve"> </w:t>
      </w:r>
      <w:r>
        <w:t xml:space="preserve">Analysis for Process Tracing: Guidelines, Opportunities, and Caveats,”</w:t>
      </w:r>
      <w:r>
        <w:t xml:space="preserve"> </w:t>
      </w:r>
      <w:r>
        <w:rPr>
          <w:i/>
          <w:iCs/>
        </w:rPr>
        <w:t xml:space="preserve">Political Analysis</w:t>
      </w:r>
      <w:r>
        <w:t xml:space="preserve"> </w:t>
      </w:r>
      <w:r>
        <w:t xml:space="preserve">25, no. 3 (2017): 363–80,</w:t>
      </w:r>
      <w:r>
        <w:t xml:space="preserve"> </w:t>
      </w:r>
      <w:hyperlink r:id="rId251">
        <w:r>
          <w:rPr>
            <w:rStyle w:val="Hyperlink"/>
          </w:rPr>
          <w:t xml:space="preserve">https://doi.org/10.1017/pan.2017.14</w:t>
        </w:r>
      </w:hyperlink>
      <w:r>
        <w:t xml:space="preserve">; Sherry Zaks,</w:t>
      </w:r>
      <w:r>
        <w:t xml:space="preserve"> </w:t>
      </w:r>
      <w:r>
        <w:t xml:space="preserve">“Updating</w:t>
      </w:r>
      <w:r>
        <w:t xml:space="preserve"> </w:t>
      </w:r>
      <w:r>
        <w:t xml:space="preserve">Bayesian(s)</w:t>
      </w:r>
      <w:r>
        <w:t xml:space="preserve">: A Critical Evaluation of</w:t>
      </w:r>
      <w:r>
        <w:t xml:space="preserve"> </w:t>
      </w:r>
      <w:r>
        <w:t xml:space="preserve">Bayesian</w:t>
      </w:r>
      <w:r>
        <w:t xml:space="preserve"> </w:t>
      </w:r>
      <w:r>
        <w:t xml:space="preserve">Process Tracing,”</w:t>
      </w:r>
      <w:r>
        <w:t xml:space="preserve"> </w:t>
      </w:r>
      <w:r>
        <w:rPr>
          <w:i/>
          <w:iCs/>
        </w:rPr>
        <w:t xml:space="preserve">Political Analysis</w:t>
      </w:r>
      <w:r>
        <w:t xml:space="preserve"> </w:t>
      </w:r>
      <w:r>
        <w:t xml:space="preserve">29, no. 1 (2021): 58–74,</w:t>
      </w:r>
      <w:r>
        <w:t xml:space="preserve"> </w:t>
      </w:r>
      <w:hyperlink r:id="rId252">
        <w:r>
          <w:rPr>
            <w:rStyle w:val="Hyperlink"/>
          </w:rPr>
          <w:t xml:space="preserve">https://doi.org/10.1017/pan.2020.10</w:t>
        </w:r>
      </w:hyperlink>
      <w:r>
        <w:t xml:space="preserve">.</w:t>
      </w:r>
    </w:p>
  </w:footnote>
  <w:footnote w:id="253">
    <w:p>
      <w:pPr>
        <w:pStyle w:val="FootnoteText"/>
      </w:pPr>
      <w:r>
        <w:rPr>
          <w:rStyle w:val="FootnoteReference"/>
        </w:rPr>
        <w:footnoteRef/>
      </w:r>
      <w:r>
        <w:t xml:space="preserve"> </w:t>
      </w:r>
      <w:r>
        <w:t xml:space="preserve">Miao Xiong et al.,</w:t>
      </w:r>
      <w:r>
        <w:t xml:space="preserve"> </w:t>
      </w:r>
      <w:r>
        <w:t xml:space="preserve">“Can</w:t>
      </w:r>
      <w:r>
        <w:t xml:space="preserve"> </w:t>
      </w:r>
      <w:r>
        <w:t xml:space="preserve">LLMs</w:t>
      </w:r>
      <w:r>
        <w:t xml:space="preserve"> </w:t>
      </w:r>
      <w:r>
        <w:t xml:space="preserve">Express Their Uncertainty? An Empirical Evaluation of Confidence Elicitation in</w:t>
      </w:r>
      <w:r>
        <w:t xml:space="preserve"> </w:t>
      </w:r>
      <w:r>
        <w:t xml:space="preserve">LLMs</w:t>
      </w:r>
      <w:r>
        <w:t xml:space="preserve">,”</w:t>
      </w:r>
      <w:r>
        <w:t xml:space="preserve"> </w:t>
      </w:r>
      <w:r>
        <w:t xml:space="preserve">in</w:t>
      </w:r>
      <w:r>
        <w:t xml:space="preserve"> </w:t>
      </w:r>
      <w:r>
        <w:rPr>
          <w:i/>
          <w:iCs/>
        </w:rPr>
        <w:t xml:space="preserve">The Twelfth International Conference on Learning Representations</w:t>
      </w:r>
      <w:r>
        <w:t xml:space="preserve">, 2024,</w:t>
      </w:r>
      <w:r>
        <w:t xml:space="preserve"> </w:t>
      </w:r>
      <w:hyperlink r:id="rId254">
        <w:r>
          <w:rPr>
            <w:rStyle w:val="Hyperlink"/>
          </w:rPr>
          <w:t xml:space="preserve">https://openreview.net/forum?id=gjeQKFxFpZ</w:t>
        </w:r>
      </w:hyperlink>
      <w:r>
        <w:t xml:space="preserve">.</w:t>
      </w:r>
    </w:p>
  </w:footnote>
  <w:footnote w:id="264">
    <w:p>
      <w:pPr>
        <w:pStyle w:val="FootnoteText"/>
      </w:pPr>
      <w:r>
        <w:rPr>
          <w:rStyle w:val="FootnoteReference"/>
        </w:rPr>
        <w:footnoteRef/>
      </w:r>
      <w:r>
        <w:t xml:space="preserve"> </w:t>
      </w:r>
      <w:r>
        <w:t xml:space="preserve">See</w:t>
      </w:r>
      <w:r>
        <w:t xml:space="preserve"> </w:t>
      </w:r>
      <w:r>
        <w:t xml:space="preserve">Chloe Autio et al.,</w:t>
      </w:r>
      <w:r>
        <w:t xml:space="preserve"> </w:t>
      </w:r>
      <w:r>
        <w:t xml:space="preserve">“Artificial Intelligence Risk Management Framework: Generative Artificial Intelligence Profile”</w:t>
      </w:r>
      <w:r>
        <w:t xml:space="preserve"> </w:t>
      </w:r>
      <w:r>
        <w:t xml:space="preserve">(</w:t>
      </w:r>
      <w:r>
        <w:t xml:space="preserve">National Institute of Standards and Technology</w:t>
      </w:r>
      <w:r>
        <w:t xml:space="preserve">, 2024),</w:t>
      </w:r>
      <w:r>
        <w:t xml:space="preserve"> </w:t>
      </w:r>
      <w:hyperlink r:id="rId265">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274" Target="../downloads/skills-and-agents-lab-v0.1.0.zip" TargetMode="External" /><Relationship Type="http://schemas.openxmlformats.org/officeDocument/2006/relationships/hyperlink" Id="rId275" Target="../downloads/skills-and-agents-lab-v0.1.0.zip.sha256" TargetMode="External" /><Relationship Type="http://schemas.openxmlformats.org/officeDocument/2006/relationships/hyperlink" Id="rId9" Target="content/skills-and-agents-lab.qmd" TargetMode="External" /><Relationship Type="http://schemas.openxmlformats.org/officeDocument/2006/relationships/hyperlink" Id="rId208" Target="https://doi.org/10.1002/jrsm.1553" TargetMode="External" /><Relationship Type="http://schemas.openxmlformats.org/officeDocument/2006/relationships/hyperlink" Id="rId191" Target="https://doi.org/10.1002/jrsm.5" TargetMode="External" /><Relationship Type="http://schemas.openxmlformats.org/officeDocument/2006/relationships/hyperlink" Id="rId89" Target="https://doi.org/10.1007/s11135-017-0574-8" TargetMode="External" /><Relationship Type="http://schemas.openxmlformats.org/officeDocument/2006/relationships/hyperlink" Id="rId111" Target="https://doi.org/10.1016/j.jbusres.2019.07.039" TargetMode="External" /><Relationship Type="http://schemas.openxmlformats.org/officeDocument/2006/relationships/hyperlink" Id="rId203" Target="https://doi.org/10.1016/j.jclinepi.2017.08.010" TargetMode="External" /><Relationship Type="http://schemas.openxmlformats.org/officeDocument/2006/relationships/hyperlink" Id="rId200" Target="https://doi.org/10.1016/j.jclinepi.2026.112393" TargetMode="External" /><Relationship Type="http://schemas.openxmlformats.org/officeDocument/2006/relationships/hyperlink" Id="rId251" Target="https://doi.org/10.1017/pan.2017.14" TargetMode="External" /><Relationship Type="http://schemas.openxmlformats.org/officeDocument/2006/relationships/hyperlink" Id="rId252" Target="https://doi.org/10.1017/pan.2020.10" TargetMode="External" /><Relationship Type="http://schemas.openxmlformats.org/officeDocument/2006/relationships/hyperlink" Id="rId197" Target="https://doi.org/10.1037/met0000351" TargetMode="External" /><Relationship Type="http://schemas.openxmlformats.org/officeDocument/2006/relationships/hyperlink" Id="rId232" Target="https://doi.org/10.1073/pnas.2305016120" TargetMode="External" /><Relationship Type="http://schemas.openxmlformats.org/officeDocument/2006/relationships/hyperlink" Id="rId90" Target="https://doi.org/10.1080/14780887.2020.1769238" TargetMode="External" /><Relationship Type="http://schemas.openxmlformats.org/officeDocument/2006/relationships/hyperlink" Id="rId240" Target="https://doi.org/10.1093/llc/fqac037" TargetMode="External" /><Relationship Type="http://schemas.openxmlformats.org/officeDocument/2006/relationships/hyperlink" Id="rId112" Target="https://doi.org/10.1111/j.1471-1842.2009.00848.x" TargetMode="External" /><Relationship Type="http://schemas.openxmlformats.org/officeDocument/2006/relationships/hyperlink" Id="rId193" Target="https://doi.org/10.1111/joes.12595" TargetMode="External" /><Relationship Type="http://schemas.openxmlformats.org/officeDocument/2006/relationships/hyperlink" Id="rId146" Target="https://doi.org/10.1136/bmj.38636.593461.68" TargetMode="External" /><Relationship Type="http://schemas.openxmlformats.org/officeDocument/2006/relationships/hyperlink" Id="rId21" Target="https://doi.org/10.1136/bmj.n71" TargetMode="External" /><Relationship Type="http://schemas.openxmlformats.org/officeDocument/2006/relationships/hyperlink" Id="rId144" Target="https://doi.org/10.1145/2601248.2601268" TargetMode="External" /><Relationship Type="http://schemas.openxmlformats.org/officeDocument/2006/relationships/hyperlink" Id="rId215" Target="https://doi.org/10.1145/3586183.3606763" TargetMode="External" /><Relationship Type="http://schemas.openxmlformats.org/officeDocument/2006/relationships/hyperlink" Id="rId234" Target="https://doi.org/10.1162/coli_a_00502" TargetMode="External" /><Relationship Type="http://schemas.openxmlformats.org/officeDocument/2006/relationships/hyperlink" Id="rId218" Target="https://doi.org/10.1162/tacl_a_00638" TargetMode="External" /><Relationship Type="http://schemas.openxmlformats.org/officeDocument/2006/relationships/hyperlink" Id="rId32" Target="https://doi.org/10.1177/0022343311398926" TargetMode="External" /><Relationship Type="http://schemas.openxmlformats.org/officeDocument/2006/relationships/hyperlink" Id="rId92" Target="https://doi.org/10.1177/1049732315617444" TargetMode="External" /><Relationship Type="http://schemas.openxmlformats.org/officeDocument/2006/relationships/hyperlink" Id="rId199" Target="https://doi.org/10.1177/1745691620906416" TargetMode="External" /><Relationship Type="http://schemas.openxmlformats.org/officeDocument/2006/relationships/hyperlink" Id="rId206" Target="https://doi.org/10.1186/s13643-019-1074-9" TargetMode="External" /><Relationship Type="http://schemas.openxmlformats.org/officeDocument/2006/relationships/hyperlink" Id="rId20" Target="https://doi.org/10.1186/s13643-020-01542-z" TargetMode="External" /><Relationship Type="http://schemas.openxmlformats.org/officeDocument/2006/relationships/hyperlink" Id="rId209" Target="https://doi.org/10.1186/s13643-025-02842-y" TargetMode="External" /><Relationship Type="http://schemas.openxmlformats.org/officeDocument/2006/relationships/hyperlink" Id="rId238" Target="https://doi.org/10.1609/icwsm.v15i1.18127" TargetMode="External" /><Relationship Type="http://schemas.openxmlformats.org/officeDocument/2006/relationships/hyperlink" Id="rId187" Target="https://doi.org/10.3102/0034654319877153" TargetMode="External" /><Relationship Type="http://schemas.openxmlformats.org/officeDocument/2006/relationships/hyperlink" Id="rId248" Target="https://doi.org/10.3389/fpos.2024.1453640" TargetMode="External" /><Relationship Type="http://schemas.openxmlformats.org/officeDocument/2006/relationships/hyperlink" Id="rId116" Target="https://doi.org/10.4073/cmdp.2018.1" TargetMode="External" /><Relationship Type="http://schemas.openxmlformats.org/officeDocument/2006/relationships/hyperlink" Id="rId244" Target="https://doi.org/10.48550/arXiv.2305.15051" TargetMode="External" /><Relationship Type="http://schemas.openxmlformats.org/officeDocument/2006/relationships/hyperlink" Id="rId233" Target="https://doi.org/10.48550/arXiv.2306.00176" TargetMode="External" /><Relationship Type="http://schemas.openxmlformats.org/officeDocument/2006/relationships/hyperlink" Id="rId265" Target="https://doi.org/10.6028/NIST.AI.600-1" TargetMode="External" /><Relationship Type="http://schemas.openxmlformats.org/officeDocument/2006/relationships/hyperlink" Id="rId285" Target="https://github.com/pedahzur/from-question-to-evidence/issues/new?template=lab-problem.yml" TargetMode="External" /><Relationship Type="http://schemas.openxmlformats.org/officeDocument/2006/relationships/hyperlink" Id="rId286" Target="https://github.com/pedahzur/from-question-to-evidence/issues/new?template=lab-revision.yml" TargetMode="External" /><Relationship Type="http://schemas.openxmlformats.org/officeDocument/2006/relationships/hyperlink" Id="rId276" Target="https://github.com/pedahzur/from-question-to-evidence/tree/main/lab" TargetMode="External" /><Relationship Type="http://schemas.openxmlformats.org/officeDocument/2006/relationships/hyperlink" Id="rId213" Target="https://openreview.net/forum?id=WE_vluYUL-X" TargetMode="External" /><Relationship Type="http://schemas.openxmlformats.org/officeDocument/2006/relationships/hyperlink" Id="rId254" Target="https://openreview.net/forum?id=gjeQKFxFpZ" TargetMode="External" /><Relationship Type="http://schemas.openxmlformats.org/officeDocument/2006/relationships/hyperlink" Id="rId30" Target="https://www.start.umd.edu/gtd/downloads/Codebook.pdf" TargetMode="External" /><Relationship Type="http://schemas.openxmlformats.org/officeDocument/2006/relationships/hyperlink" Id="rId13" Target="https://www.w3.org/TR/prov-o/" TargetMode="External" /><Relationship Type="http://schemas.openxmlformats.org/officeDocument/2006/relationships/hyperlink" Id="rId227" Target="skills-and-agents-lab.qmd" TargetMode="External" /></Relationships>
</file>

<file path=word/_rels/footnotes.xml.rels><?xml version="1.0" encoding="UTF-8"?><Relationships xmlns="http://schemas.openxmlformats.org/package/2006/relationships"><Relationship Type="http://schemas.openxmlformats.org/officeDocument/2006/relationships/hyperlink" Id="rId274" Target="../downloads/skills-and-agents-lab-v0.1.0.zip" TargetMode="External" /><Relationship Type="http://schemas.openxmlformats.org/officeDocument/2006/relationships/hyperlink" Id="rId275" Target="../downloads/skills-and-agents-lab-v0.1.0.zip.sha256" TargetMode="External" /><Relationship Type="http://schemas.openxmlformats.org/officeDocument/2006/relationships/hyperlink" Id="rId9" Target="content/skills-and-agents-lab.qmd" TargetMode="External" /><Relationship Type="http://schemas.openxmlformats.org/officeDocument/2006/relationships/hyperlink" Id="rId208" Target="https://doi.org/10.1002/jrsm.1553" TargetMode="External" /><Relationship Type="http://schemas.openxmlformats.org/officeDocument/2006/relationships/hyperlink" Id="rId191" Target="https://doi.org/10.1002/jrsm.5" TargetMode="External" /><Relationship Type="http://schemas.openxmlformats.org/officeDocument/2006/relationships/hyperlink" Id="rId89" Target="https://doi.org/10.1007/s11135-017-0574-8" TargetMode="External" /><Relationship Type="http://schemas.openxmlformats.org/officeDocument/2006/relationships/hyperlink" Id="rId111" Target="https://doi.org/10.1016/j.jbusres.2019.07.039" TargetMode="External" /><Relationship Type="http://schemas.openxmlformats.org/officeDocument/2006/relationships/hyperlink" Id="rId203" Target="https://doi.org/10.1016/j.jclinepi.2017.08.010" TargetMode="External" /><Relationship Type="http://schemas.openxmlformats.org/officeDocument/2006/relationships/hyperlink" Id="rId200" Target="https://doi.org/10.1016/j.jclinepi.2026.112393" TargetMode="External" /><Relationship Type="http://schemas.openxmlformats.org/officeDocument/2006/relationships/hyperlink" Id="rId251" Target="https://doi.org/10.1017/pan.2017.14" TargetMode="External" /><Relationship Type="http://schemas.openxmlformats.org/officeDocument/2006/relationships/hyperlink" Id="rId252" Target="https://doi.org/10.1017/pan.2020.10" TargetMode="External" /><Relationship Type="http://schemas.openxmlformats.org/officeDocument/2006/relationships/hyperlink" Id="rId197" Target="https://doi.org/10.1037/met0000351" TargetMode="External" /><Relationship Type="http://schemas.openxmlformats.org/officeDocument/2006/relationships/hyperlink" Id="rId232" Target="https://doi.org/10.1073/pnas.2305016120" TargetMode="External" /><Relationship Type="http://schemas.openxmlformats.org/officeDocument/2006/relationships/hyperlink" Id="rId90" Target="https://doi.org/10.1080/14780887.2020.1769238" TargetMode="External" /><Relationship Type="http://schemas.openxmlformats.org/officeDocument/2006/relationships/hyperlink" Id="rId240" Target="https://doi.org/10.1093/llc/fqac037" TargetMode="External" /><Relationship Type="http://schemas.openxmlformats.org/officeDocument/2006/relationships/hyperlink" Id="rId112" Target="https://doi.org/10.1111/j.1471-1842.2009.00848.x" TargetMode="External" /><Relationship Type="http://schemas.openxmlformats.org/officeDocument/2006/relationships/hyperlink" Id="rId193" Target="https://doi.org/10.1111/joes.12595" TargetMode="External" /><Relationship Type="http://schemas.openxmlformats.org/officeDocument/2006/relationships/hyperlink" Id="rId146" Target="https://doi.org/10.1136/bmj.38636.593461.68" TargetMode="External" /><Relationship Type="http://schemas.openxmlformats.org/officeDocument/2006/relationships/hyperlink" Id="rId21" Target="https://doi.org/10.1136/bmj.n71" TargetMode="External" /><Relationship Type="http://schemas.openxmlformats.org/officeDocument/2006/relationships/hyperlink" Id="rId144" Target="https://doi.org/10.1145/2601248.2601268" TargetMode="External" /><Relationship Type="http://schemas.openxmlformats.org/officeDocument/2006/relationships/hyperlink" Id="rId215" Target="https://doi.org/10.1145/3586183.3606763" TargetMode="External" /><Relationship Type="http://schemas.openxmlformats.org/officeDocument/2006/relationships/hyperlink" Id="rId234" Target="https://doi.org/10.1162/coli_a_00502" TargetMode="External" /><Relationship Type="http://schemas.openxmlformats.org/officeDocument/2006/relationships/hyperlink" Id="rId218" Target="https://doi.org/10.1162/tacl_a_00638" TargetMode="External" /><Relationship Type="http://schemas.openxmlformats.org/officeDocument/2006/relationships/hyperlink" Id="rId32" Target="https://doi.org/10.1177/0022343311398926" TargetMode="External" /><Relationship Type="http://schemas.openxmlformats.org/officeDocument/2006/relationships/hyperlink" Id="rId92" Target="https://doi.org/10.1177/1049732315617444" TargetMode="External" /><Relationship Type="http://schemas.openxmlformats.org/officeDocument/2006/relationships/hyperlink" Id="rId199" Target="https://doi.org/10.1177/1745691620906416" TargetMode="External" /><Relationship Type="http://schemas.openxmlformats.org/officeDocument/2006/relationships/hyperlink" Id="rId206" Target="https://doi.org/10.1186/s13643-019-1074-9" TargetMode="External" /><Relationship Type="http://schemas.openxmlformats.org/officeDocument/2006/relationships/hyperlink" Id="rId20" Target="https://doi.org/10.1186/s13643-020-01542-z" TargetMode="External" /><Relationship Type="http://schemas.openxmlformats.org/officeDocument/2006/relationships/hyperlink" Id="rId209" Target="https://doi.org/10.1186/s13643-025-02842-y" TargetMode="External" /><Relationship Type="http://schemas.openxmlformats.org/officeDocument/2006/relationships/hyperlink" Id="rId238" Target="https://doi.org/10.1609/icwsm.v15i1.18127" TargetMode="External" /><Relationship Type="http://schemas.openxmlformats.org/officeDocument/2006/relationships/hyperlink" Id="rId187" Target="https://doi.org/10.3102/0034654319877153" TargetMode="External" /><Relationship Type="http://schemas.openxmlformats.org/officeDocument/2006/relationships/hyperlink" Id="rId248" Target="https://doi.org/10.3389/fpos.2024.1453640" TargetMode="External" /><Relationship Type="http://schemas.openxmlformats.org/officeDocument/2006/relationships/hyperlink" Id="rId116" Target="https://doi.org/10.4073/cmdp.2018.1" TargetMode="External" /><Relationship Type="http://schemas.openxmlformats.org/officeDocument/2006/relationships/hyperlink" Id="rId244" Target="https://doi.org/10.48550/arXiv.2305.15051" TargetMode="External" /><Relationship Type="http://schemas.openxmlformats.org/officeDocument/2006/relationships/hyperlink" Id="rId233" Target="https://doi.org/10.48550/arXiv.2306.00176" TargetMode="External" /><Relationship Type="http://schemas.openxmlformats.org/officeDocument/2006/relationships/hyperlink" Id="rId265" Target="https://doi.org/10.6028/NIST.AI.600-1" TargetMode="External" /><Relationship Type="http://schemas.openxmlformats.org/officeDocument/2006/relationships/hyperlink" Id="rId285" Target="https://github.com/pedahzur/from-question-to-evidence/issues/new?template=lab-problem.yml" TargetMode="External" /><Relationship Type="http://schemas.openxmlformats.org/officeDocument/2006/relationships/hyperlink" Id="rId286" Target="https://github.com/pedahzur/from-question-to-evidence/issues/new?template=lab-revision.yml" TargetMode="External" /><Relationship Type="http://schemas.openxmlformats.org/officeDocument/2006/relationships/hyperlink" Id="rId276" Target="https://github.com/pedahzur/from-question-to-evidence/tree/main/lab" TargetMode="External" /><Relationship Type="http://schemas.openxmlformats.org/officeDocument/2006/relationships/hyperlink" Id="rId213" Target="https://openreview.net/forum?id=WE_vluYUL-X" TargetMode="External" /><Relationship Type="http://schemas.openxmlformats.org/officeDocument/2006/relationships/hyperlink" Id="rId254" Target="https://openreview.net/forum?id=gjeQKFxFpZ" TargetMode="External" /><Relationship Type="http://schemas.openxmlformats.org/officeDocument/2006/relationships/hyperlink" Id="rId30" Target="https://www.start.umd.edu/gtd/downloads/Codebook.pdf" TargetMode="External" /><Relationship Type="http://schemas.openxmlformats.org/officeDocument/2006/relationships/hyperlink" Id="rId13" Target="https://www.w3.org/TR/prov-o/" TargetMode="External" /><Relationship Type="http://schemas.openxmlformats.org/officeDocument/2006/relationships/hyperlink" Id="rId227" Target="skills-and-agents-lab.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2026-07-27T00:27:58Z</dcterms:created>
  <dcterms:modified xsi:type="dcterms:W3CDTF">2026-07-27T00:27:58Z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bibliography/styles/chicago-fullnote-bibliography.csl</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2026-07-27</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