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Question to Evidence</w:t>
      </w:r>
    </w:p>
    <w:p>
      <w:pPr>
        <w:pStyle w:val="Subtitle"/>
      </w:pPr>
      <w:r>
        <w:t xml:space="preserve">A Living Field Guide for Qualitative Research</w:t>
      </w:r>
    </w:p>
    <w:p>
      <w:pPr>
        <w:pStyle w:val="Author"/>
      </w:pPr>
      <w:r>
        <w:t xml:space="preserve">Ami Pedahzur</w:t>
      </w:r>
    </w:p>
    <w:p>
      <w:pPr>
        <w:pStyle w:val="Author"/>
      </w:pPr>
      <w:r>
        <w:t xml:space="preserve">Jonathan Grossman</w:t>
      </w:r>
    </w:p>
    <w:p>
      <w:pPr>
        <w:pStyle w:val="Date"/>
      </w:pPr>
      <w:r>
        <w:t xml:space="preserve">2026-07-12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from-question-to-evidence"/>
    <w:p>
      <w:pPr>
        <w:pStyle w:val="Heading1"/>
      </w:pPr>
      <w:r>
        <w:t xml:space="preserve">1. From Question to Evidence</w:t>
      </w:r>
    </w:p>
    <w:p>
      <w:pPr>
        <w:pStyle w:val="FirstParagraph"/>
      </w:pPr>
      <w:r>
        <w:t xml:space="preserve">About a decade ago, we began writing a book about a problem that seemed to grow each time we tried to describe it. Social scientists had gained access to more articles, documents, images, recordings, databases, and search systems than any earlier generation of researchers. Access had widened. Control had weakened. A researcher could collect thousands of files before deciding what any of them contributed to the question at hand.</w:t>
      </w:r>
    </w:p>
    <w:p>
      <w:pPr>
        <w:pStyle w:val="BodyText"/>
      </w:pPr>
      <w:r>
        <w:t xml:space="preserve">We paused the project. The problem did not pause with us. Generative artificial intelligence has since made the abundance more difficult to interpret. A model can suggest concepts, propose search terms, sort excerpts, and expose gaps within minutes. It can also invent a reference, erase a minority position, disclose protected material, or present an uncertain inference as settled fact. Speed has increased. Scholarly responsibility has not moved.</w:t>
      </w:r>
    </w:p>
    <w:p>
      <w:pPr>
        <w:pStyle w:val="BodyText"/>
      </w:pPr>
      <w:r>
        <w:t xml:space="preserve">We have revived the project around one claim: a researcher needs an evidence map before the collection becomes too large to reason about. The map links a bounded question to concepts, source families, search decisions, evaluated records, known gaps, and a stopping rule. It does not promise omniscience. It makes the limits of collection visible.</w:t>
      </w:r>
    </w:p>
    <w:p>
      <w:pPr>
        <w:pStyle w:val="BodyText"/>
      </w:pPr>
      <w:r>
        <w:t xml:space="preserve">The book treats this record as a scholarly Second Brain. Its purpose is not to store more material. It connects capture, organization, distillation, and expression to a visible chain of evidence. Each stage ends with an artifact that records a consequential choice. Taken together, those artifacts show how a question became a corpus, how the corpus became an analysis, and how the analysis became a claim.</w:t>
      </w:r>
    </w:p>
    <w:p>
      <w:pPr>
        <w:pStyle w:val="BodyText"/>
      </w:pPr>
      <w:r>
        <w:t xml:space="preserve">The manuscript is written for two readers. The first is beginning a substantial qualitative project and needs a sequence that can be followed without assuming years of tacit experience. The second has conducted research for years but wants to reconsider established practices after the arrival of new search systems and generative AI. Both readers face the same decisions. They differ in how much explanation, contestation, and adaptation they require.</w:t>
      </w:r>
    </w:p>
    <w:p>
      <w:pPr>
        <w:pStyle w:val="BodyText"/>
      </w:pPr>
      <w:r>
        <w:t xml:space="preserve">The full field guide follows a qualitative project from its first question to a documented corpus, an analysis, and a public claim. We are publishing it in reviewed modules so readers can use, test, and challenge each part before the first edition closes. The current revision contains two complete modules. The first follows the path from a question to an evidence map. The second carries the same logic into a literature review. A third will connect the collection plan to a responsibly assembled research corpus. Later modules will address preparation, analysis, disconfirmation, writing, sharing, and maintenance.</w:t>
      </w:r>
    </w:p>
    <w:p>
      <w:pPr>
        <w:pStyle w:val="BodyText"/>
      </w:pPr>
      <w:r>
        <w:t xml:space="preserve">The first worked example concerns competing accounts of terrorism. It suits the method because terrorism data do not arrive as neutral observations waiting to be counted. Definitions vary. Collection systems change. Sources disappear. Governments, news organizations, researchers, and database teams record different parts of the same event. The example is familiar to our own work. But the method must also survive evidence that researchers help produce. The revised book therefore adds a composite oral-history study of how tenants experienced and remembered municipal redevelopment. That case will carry interviews, consent records, field notes, administrative documents, researcher memos, silence, refusal, and unequal access through the same sequence of decisions.</w:t>
      </w:r>
    </w:p>
    <w:p>
      <w:pPr>
        <w:pStyle w:val="BodyText"/>
      </w:pPr>
      <w:r>
        <w:t xml:space="preserve">AI enters the guide as an assistant whose work must be inspected. It may help generate candidate dimensions. It may suggest neglected source families. It may challenge a search strategy. It may compare the filled and empty cells of a map. It may not decide that a source exists, that a claim is true, or that collection is complete. Those remain scholarly judgments.</w:t>
      </w:r>
    </w:p>
    <w:p>
      <w:pPr>
        <w:pStyle w:val="BodyText"/>
      </w:pPr>
      <w:r>
        <w:t xml:space="preserve">This is a field guide because research proceeds through decisions made under constraint. Time runs out. Archives close. Languages exceed the research team’s competence. Files vanish. Ethical obligations place some evidence beyond reach. A useful method does not conceal these conditions. It records them.</w:t>
      </w:r>
    </w:p>
    <w:p>
      <w:pPr>
        <w:pStyle w:val="BodyText"/>
      </w:pPr>
      <w:r>
        <w:t xml:space="preserve">That record is the subject of this book.</w:t>
      </w:r>
    </w:p>
    <w:bookmarkEnd w:id="9"/>
    <w:bookmarkStart w:id="17" w:name="origins-and-purpose"/>
    <w:p>
      <w:pPr>
        <w:pStyle w:val="Heading1"/>
      </w:pPr>
      <w:r>
        <w:t xml:space="preserve">2. Origins and Purpose</w:t>
      </w:r>
    </w:p>
    <w:bookmarkStart w:id="10" w:name="the-first-version"/>
    <w:p>
      <w:pPr>
        <w:pStyle w:val="Heading2"/>
      </w:pPr>
      <w:r>
        <w:t xml:space="preserve">2.1 The First Version</w:t>
      </w:r>
    </w:p>
    <w:p>
      <w:pPr>
        <w:pStyle w:val="FirstParagraph"/>
      </w:pPr>
      <w:r>
        <w:t xml:space="preserve">The original project began with a practical frustration. Researchers were being told that digital technology had democratized knowledge, and in an important sense it had. Search engines opened routes into literatures that once required proximity to a major library. Smartphones placed a camera, recorder, scanner, map, and notebook in one pocket. Cloud storage made files available across continents. Yet each gain created another decision that methods training rarely addressed.</w:t>
      </w:r>
    </w:p>
    <w:p>
      <w:pPr>
        <w:pStyle w:val="BodyText"/>
      </w:pPr>
      <w:r>
        <w:t xml:space="preserve">What should be collected? How should it be named? Which metadata should travel with it? When should a record enter a reference manager, a qualitative analysis system, a spreadsheet, or an archive? What must remain linked to the original? What does a researcher do when the same event appears in five incompatible forms?</w:t>
      </w:r>
    </w:p>
    <w:p>
      <w:pPr>
        <w:pStyle w:val="BodyText"/>
      </w:pPr>
      <w:r>
        <w:t xml:space="preserve">Our early drafts tried to answer these questions by following the research process. They moved from literature review to field collection, from unstructured material to a working database, and from analysis to public communication. Some passages remain useful. Others read like records of a vanished software market. Product descriptions aged faster than the methodological problems they were meant to solve.</w:t>
      </w:r>
    </w:p>
    <w:p>
      <w:pPr>
        <w:pStyle w:val="BodyText"/>
      </w:pPr>
      <w:r>
        <w:t xml:space="preserve">This failure taught us something. A book organized around tools will inherit their expiration dates. A book organized around research decisions can survive them.</w:t>
      </w:r>
    </w:p>
    <w:bookmarkEnd w:id="10"/>
    <w:bookmarkStart w:id="13" w:name="the-new-pressure"/>
    <w:p>
      <w:pPr>
        <w:pStyle w:val="Heading2"/>
      </w:pPr>
      <w:r>
        <w:t xml:space="preserve">2.2 The New Pressure</w:t>
      </w:r>
    </w:p>
    <w:p>
      <w:pPr>
        <w:pStyle w:val="FirstParagraph"/>
      </w:pPr>
      <w:r>
        <w:t xml:space="preserve">Generative AI changes the scale of the problem, but not its nature. A researcher has always relied on aids to memory and classification. Indexes, catalogues, research assistants, codebooks, and bibliographies all extend individual capacity. The new systems differ in three respects. They respond in natural language. They infer patterns across large bodies of text. They produce answers whose fluency can hide the weakness of their evidentiary basis.</w:t>
      </w:r>
    </w:p>
    <w:p>
      <w:pPr>
        <w:pStyle w:val="BodyText"/>
      </w:pPr>
      <w:r>
        <w:t xml:space="preserve">The practical temptation is easy to understand. A researcher facing two hundred articles may ask a model for the dominant themes. A scholar entering an unfamiliar archive may request names, dates, and likely repositories. A doctoral student may ask for missing literature. Each request can produce a useful lead. Each can also collapse the distinction between a plausible sentence and a supported claim.</w:t>
      </w:r>
    </w:p>
    <w:p>
      <w:pPr>
        <w:pStyle w:val="BodyText"/>
      </w:pPr>
      <w:r>
        <w:t xml:space="preserve">The distinction matters because qualitative research depends on context that systems often discard. A phrase changes meaning when removed from the institutional conflict that produced it. An interview gains or loses force according to who conducted it, when it was recorded, and what the speaker had reason to conceal. An official document may describe an event precisely while omitting the actors excluded from the bureaucracy that created the record. Metadata is part of the evidence.</w:t>
      </w:r>
    </w:p>
    <w:p>
      <w:pPr>
        <w:pStyle w:val="BodyText"/>
      </w:pPr>
      <w:r>
        <w:t xml:space="preserve">This is why provenance sits near the center of the revived project. Provenance records three things: the record itself, the activities that created or transformed it, and the agents responsible for those activities. These are the entities, activities, and agents of the W3C provenance model.</w:t>
      </w:r>
      <w:r>
        <w:rPr>
          <w:rStyle w:val="FootnoteReference"/>
        </w:rPr>
        <w:footnoteReference w:id="11"/>
      </w:r>
      <w:r>
        <w:t xml:space="preserve"> </w:t>
      </w:r>
      <w:r>
        <w:t xml:space="preserve">It lets a reader ask what a record is, what produced or altered it, and who answered for each step. The model was built for data workflows. Social evidence adds questions it does not name, among them intent, silence, and power. The guide borrows the vocabulary as a heuristic, not a foundation. It does not require researchers to adopt a technical ontology. It requires them to preserve the questions that ontology makes explicit.</w:t>
      </w:r>
    </w:p>
    <w:bookmarkEnd w:id="13"/>
    <w:bookmarkStart w:id="14" w:name="the-argument"/>
    <w:p>
      <w:pPr>
        <w:pStyle w:val="Heading2"/>
      </w:pPr>
      <w:r>
        <w:t xml:space="preserve">2.3 The Argument</w:t>
      </w:r>
    </w:p>
    <w:p>
      <w:pPr>
        <w:pStyle w:val="FirstParagraph"/>
      </w:pPr>
      <w:r>
        <w:t xml:space="preserve">We argue that disciplined collection rests on three commitments. A bounded question limits what enters the corpus. A map of the evidence that could bear on the question guides the search. A record of the decisions that shaped the corpus preserves the reasoning. Not every tradition accepts the first commitment in the same form. Grounded and interpretive projects often hold the question open longer, and the map and the record then travel with a question still in motion.</w:t>
      </w:r>
    </w:p>
    <w:p>
      <w:pPr>
        <w:pStyle w:val="BodyText"/>
      </w:pPr>
      <w:r>
        <w:t xml:space="preserve">The three commitments correct different failures. Without a bounded question, collection expands by association. Without an evidence map, the most visible sources crowd out harder forms of evidence. Without a decision record, later readers cannot distinguish absence in the world from absence in the search.</w:t>
      </w:r>
    </w:p>
    <w:p>
      <w:pPr>
        <w:pStyle w:val="BodyText"/>
      </w:pPr>
      <w:r>
        <w:t xml:space="preserve">No software can resolve these failures because none is technical alone. A search engine cannot decide whether a municipal ledger matters more than a minister’s memoir. A language model cannot determine whether repeated agreement indicates corroboration or common dependence on one wire report. A reference manager cannot explain why the research team stopped collecting one source family while continuing another.</w:t>
      </w:r>
    </w:p>
    <w:p>
      <w:pPr>
        <w:pStyle w:val="BodyText"/>
      </w:pPr>
      <w:r>
        <w:t xml:space="preserve">The researcher must decide. The system should help preserve the decision.</w:t>
      </w:r>
    </w:p>
    <w:p>
      <w:pPr>
        <w:pStyle w:val="BodyText"/>
      </w:pPr>
      <w:r>
        <w:t xml:space="preserve">The vocabulary of this guide carries a commitment. Words such as evidence, coverage, and gap assume that a collection can be more or less complete for a stated purpose, and that a reader can judge the difference. Strong interpretive and constructivist traditions contest that assumption. They treat a field’s categories as part of the phenomenon and resist measuring a corpus against the world. This guide does not claim to serve those traditions on their own terms. It offers a structure for making collection decisions visible, and it expects researchers in every tradition to adapt or reject the parts that do not fit their own.</w:t>
      </w:r>
    </w:p>
    <w:bookmarkEnd w:id="14"/>
    <w:bookmarkStart w:id="15" w:name="a-guide-with-two-speeds"/>
    <w:p>
      <w:pPr>
        <w:pStyle w:val="Heading2"/>
      </w:pPr>
      <w:r>
        <w:t xml:space="preserve">2.4 A Guide with Two Speeds</w:t>
      </w:r>
    </w:p>
    <w:p>
      <w:pPr>
        <w:pStyle w:val="FirstParagraph"/>
      </w:pPr>
      <w:r>
        <w:t xml:space="preserve">The novice path makes tacit practice explicit. It explains why a decision matters, presents a worked example, supplies a structured exercise, and identifies common errors. The advanced sections address cases in which the simple procedure breaks down. Concepts remain contested. Teams classify the same source differently. Repositories impose incompatible metadata. Ethical limits create gaps that cannot be filled. The experienced reader can move quickly through the shared method and linger where these complications begin.</w:t>
      </w:r>
    </w:p>
    <w:p>
      <w:pPr>
        <w:pStyle w:val="BodyText"/>
      </w:pPr>
      <w:r>
        <w:t xml:space="preserve">The two paths remain on the same page. We do not divide readers into permanent categories. An experienced ethnographer may be a novice in digital preservation. A doctoral student may possess deep knowledge of a language or archive that the senior investigator lacks. Expertise follows the task.</w:t>
      </w:r>
    </w:p>
    <w:bookmarkEnd w:id="15"/>
    <w:bookmarkStart w:id="16" w:name="what-this-draft-does"/>
    <w:p>
      <w:pPr>
        <w:pStyle w:val="Heading2"/>
      </w:pPr>
      <w:r>
        <w:t xml:space="preserve">2.5 What This Draft Does</w:t>
      </w:r>
    </w:p>
    <w:p>
      <w:pPr>
        <w:pStyle w:val="FirstParagraph"/>
      </w:pPr>
      <w:r>
        <w:t xml:space="preserve">This project is a full living field guide published in reviewed modules. The current manuscript contains the first two. One moves from a question to an evidence map and collection plan. The other turns the scholarly source family into a literature corpus, synthesis, coverage audit, and stopping rule. Both use the same page pattern, preserve consequential decisions, and assign AI bounded roles.</w:t>
      </w:r>
    </w:p>
    <w:p>
      <w:pPr>
        <w:pStyle w:val="BodyText"/>
      </w:pPr>
      <w:r>
        <w:t xml:space="preserve">These modules are the first tested layers of the book, not its final boundary. The next revision makes the guide’s epistemological position explicit, adds a composite oral-history case, and carries the collection plan into a documented research corpus. Later modules will address preparation, analysis, claim testing, writing, responsible sharing, and maintenance.</w:t>
      </w:r>
    </w:p>
    <w:p>
      <w:pPr>
        <w:pStyle w:val="BodyText"/>
      </w:pPr>
      <w:r>
        <w:t xml:space="preserve">The manuscript also opens a conversation between the original authors. The information environment changed; the purpose remains recognizable. We wanted to help researchers work with greater discipline and less fear of abundance. We still do.</w:t>
      </w:r>
    </w:p>
    <w:bookmarkEnd w:id="16"/>
    <w:bookmarkEnd w:id="17"/>
    <w:bookmarkStart w:id="35" w:name="the-evidence-map"/>
    <w:p>
      <w:pPr>
        <w:pStyle w:val="Heading1"/>
      </w:pPr>
      <w:r>
        <w:t xml:space="preserve">3. The Evidence Map</w:t>
      </w:r>
    </w:p>
    <w:bookmarkStart w:id="21" w:name="the-collection-problem"/>
    <w:p>
      <w:pPr>
        <w:pStyle w:val="Heading2"/>
      </w:pPr>
      <w:r>
        <w:t xml:space="preserve">3.1 The Collection Problem</w:t>
      </w:r>
    </w:p>
    <w:p>
      <w:pPr>
        <w:pStyle w:val="FirstParagraph"/>
      </w:pPr>
      <w:r>
        <w:t xml:space="preserve">A folder can contain ten thousand documents and still fail to constitute a corpus. Quantity does not establish relevance. Storage does not create an argument. Search results do not explain what was missed.</w:t>
      </w:r>
    </w:p>
    <w:p>
      <w:pPr>
        <w:pStyle w:val="BodyText"/>
      </w:pPr>
      <w:r>
        <w:t xml:space="preserve">An evidence map addresses this problem by placing the research question at the center of collection. Around it sit the concepts that require clarification, the actors and institutions that may have produced records, the periods and places that bound the inquiry, and the source families capable of answering different parts of the question. As collection proceeds, the map records where evidence accumulates and where it does not.</w:t>
      </w:r>
    </w:p>
    <w:p>
      <w:pPr>
        <w:pStyle w:val="BodyText"/>
      </w:pPr>
      <w:r>
        <w:t xml:space="preserve">The term echoes the evidence gap map of systematic-review practice, a matrix of interventions against outcomes that shows where published findings are dense or thin. The evidence map here serves a different task. It charts not published findings but the sources that could bear on a single question, and it grows as the collection grows.</w:t>
      </w:r>
    </w:p>
    <w:p>
      <w:pPr>
        <w:pStyle w:val="BodyText"/>
      </w:pPr>
      <w:r>
        <w:t xml:space="preserve">The map borrows the discipline of reproducible search reporting without treating every qualitative project as a systematic review.</w:t>
      </w:r>
      <w:r>
        <w:rPr>
          <w:rStyle w:val="FootnoteReference"/>
        </w:rPr>
        <w:footnoteReference w:id="18"/>
      </w:r>
      <w:r>
        <w:t xml:space="preserve"> </w:t>
      </w:r>
      <w:r>
        <w:t xml:space="preserve">A historian cannot always specify the archive’s contents in advance. An ethnographer may revise the question after entering the field. A researcher working under authoritarian rule may withhold operational detail to protect participants. Transparency must answer to method and ethics.</w:t>
      </w:r>
    </w:p>
    <w:p>
      <w:pPr>
        <w:pStyle w:val="BodyText"/>
      </w:pPr>
      <w:r>
        <w:t xml:space="preserve">The purpose is not mechanical replication. The purpose is reasoned reconstruction. The record is intended to let another scholar reconstruct how the inquiry moved, why some materials entered the corpus, why others did not, and where uncertainty remains.</w:t>
      </w:r>
    </w:p>
    <w:bookmarkEnd w:id="21"/>
    <w:bookmarkStart w:id="27" w:name="the-seven-stages"/>
    <w:p>
      <w:pPr>
        <w:pStyle w:val="Heading2"/>
      </w:pPr>
      <w:r>
        <w:t xml:space="preserve">3.2 The Seven Stages</w:t>
      </w:r>
    </w:p>
    <w:p>
      <w:pPr>
        <w:pStyle w:val="FirstParagraph"/>
      </w:pPr>
      <w:r>
        <w:t xml:space="preserve">The evidence map develops through seven stages. The first frames the question. The second decomposes it into concepts and contexts. The third identifies source families. The fourth conducts and records iterative searches. The fifth evaluates individual records and collections. The sixth tests coverage. The seventh turns the accumulated artifacts into a collection plan and stopping rule.</w:t>
      </w:r>
    </w:p>
    <w:p>
      <w:pPr>
        <w:pStyle w:val="BodyText"/>
      </w:pPr>
      <w:r>
        <w:t xml:space="preserve">The sequence is ordered, but research rarely follows it once. A new archive may reveal an actor missing from the original question. A contradictory interview may expose a concept that was defined too narrowly. A failed search may show that a source family never existed. Each discovery sends the researcher backward. Revision is not evidence that the method failed. Revision is the method working.</w:t>
      </w:r>
    </w:p>
    <w:p>
      <w:pPr>
        <w:pStyle w:val="BodyText"/>
      </w:pPr>
      <w:r>
        <w:t xml:space="preserve">The map therefore preserves versions. The question recorded on the first day does not disappear when the question changes. The source inventory does not overwrite a mistaken expectation. A rejected AI suggestion remains in the audit log with the reason for rejection. These records show how the project learned.</w:t>
      </w:r>
    </w:p>
    <w:bookmarkStart w:id="26" w:name="seven-stage-pathway"/>
    <w:p>
      <w:pPr>
        <w:pStyle w:val="Heading3"/>
      </w:pPr>
      <w:r>
        <w:t xml:space="preserve">3.2.1 Seven-stage pathway</w:t>
      </w:r>
    </w:p>
    <w:tbl>
      <w:tblPr>
        <w:tblStyle w:val="Table"/>
        <w:tblW w:type="pct" w:w="5000"/>
        <w:tblLayout w:type="fixed"/>
        <w:tblLook w:firstRow="0" w:lastRow="0" w:firstColumn="0" w:lastColumn="0" w:noHBand="0" w:noVBand="0" w:val="0000"/>
      </w:tblPr>
      <w:tblGrid>
        <w:gridCol w:w="7920"/>
      </w:tblGrid>
      <w:tr>
        <w:tc>
          <w:tcPr/>
          <w:bookmarkStart w:id="25" w:name="fig-evidence-map-pathway"/>
          <w:p>
            <w:pPr>
              <w:pStyle w:val="Compact"/>
              <w:jc w:val="center"/>
            </w:pPr>
            <w:r>
              <w:drawing>
                <wp:inline>
                  <wp:extent cx="5334000" cy="2286000"/>
                  <wp:effectExtent b="0" l="0" r="0" t="0"/>
                  <wp:docPr descr="" title="" id="23" name="Picture"/>
                  <a:graphic>
                    <a:graphicData uri="http://schemas.openxmlformats.org/drawingml/2006/picture">
                      <pic:pic>
                        <pic:nvPicPr>
                          <pic:cNvPr descr="content/../assets/evidence-map-pathway.png" id="24" name="Picture"/>
                          <pic:cNvPicPr>
                            <a:picLocks noChangeArrowheads="1" noChangeAspect="1"/>
                          </pic:cNvPicPr>
                        </pic:nvPicPr>
                        <pic:blipFill>
                          <a:blip r:embed="rId22"/>
                          <a:stretch>
                            <a:fillRect/>
                          </a:stretch>
                        </pic:blipFill>
                        <pic:spPr bwMode="auto">
                          <a:xfrm>
                            <a:off x="0" y="0"/>
                            <a:ext cx="5334000" cy="228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The evidence map develops through seven ordered but revisable stages. Discoveries can reopen an earlier decision.</w:t>
            </w:r>
          </w:p>
          <w:bookmarkEnd w:id="25"/>
        </w:tc>
      </w:tr>
    </w:tbl>
    <w:bookmarkEnd w:id="26"/>
    <w:bookmarkEnd w:id="27"/>
    <w:bookmarkStart w:id="32" w:name="the-worked-example"/>
    <w:p>
      <w:pPr>
        <w:pStyle w:val="Heading2"/>
      </w:pPr>
      <w:r>
        <w:t xml:space="preserve">3.3 The Worked Example</w:t>
      </w:r>
    </w:p>
    <w:p>
      <w:pPr>
        <w:pStyle w:val="FirstParagraph"/>
      </w:pPr>
      <w:r>
        <w:t xml:space="preserve">Our running question asks why accounts of terrorism patterns diverge across official records, independent databases, news sources, and scholarly research. The question does not presume that one source class is correct and the others are mistaken. It asks how distinct systems produce different pictures of violence.</w:t>
      </w:r>
    </w:p>
    <w:p>
      <w:pPr>
        <w:pStyle w:val="BodyText"/>
      </w:pPr>
      <w:r>
        <w:t xml:space="preserve">The problem begins with definition. A database must decide what counts as terrorism. It must translate that decision into inclusion criteria. It must then apply those criteria to sources created for other purposes. A news report seeks to describe an event under deadline. A police record serves an administrative or legal process. A scholarly database standardizes information across cases. Each source sees something. None sees everything.</w:t>
      </w:r>
    </w:p>
    <w:p>
      <w:pPr>
        <w:pStyle w:val="BodyText"/>
      </w:pPr>
      <w:r>
        <w:t xml:space="preserve">Collection practices add another layer. The official documentation for the Global Terrorism Database describes a system built across several historical collection efforts and a codebook designed to let users apply different definitional thresholds.</w:t>
      </w:r>
      <w:r>
        <w:rPr>
          <w:rStyle w:val="FootnoteReference"/>
        </w:rPr>
        <w:footnoteReference w:id="28"/>
      </w:r>
      <w:r>
        <w:t xml:space="preserve"> </w:t>
      </w:r>
      <w:r>
        <w:t xml:space="preserve">Research using that system has also shown why domestic and transnational events may require analytical separation and why changes in coding or source coverage matter.</w:t>
      </w:r>
      <w:r>
        <w:rPr>
          <w:rStyle w:val="FootnoteReference"/>
        </w:rPr>
        <w:footnoteReference w:id="30"/>
      </w:r>
      <w:r>
        <w:t xml:space="preserve"> </w:t>
      </w:r>
      <w:r>
        <w:t xml:space="preserve">The point here is not to settle disputes about terrorism counts. It is to reveal the chain of decisions between event and claim.</w:t>
      </w:r>
    </w:p>
    <w:p>
      <w:pPr>
        <w:pStyle w:val="BodyText"/>
      </w:pPr>
      <w:r>
        <w:t xml:space="preserve">This is the pattern. Evidence reaches the researcher through institutions.</w:t>
      </w:r>
    </w:p>
    <w:bookmarkEnd w:id="32"/>
    <w:bookmarkStart w:id="33" w:name="what-the-map-contains"/>
    <w:p>
      <w:pPr>
        <w:pStyle w:val="Heading2"/>
      </w:pPr>
      <w:r>
        <w:t xml:space="preserve">3.4 What the Map Contains</w:t>
      </w:r>
    </w:p>
    <w:p>
      <w:pPr>
        <w:pStyle w:val="FirstParagraph"/>
      </w:pPr>
      <w:r>
        <w:t xml:space="preserve">The map exists in two states. A working map grows and changes from the first stage, as searches run and records accumulate. A frozen map, dated and set aside at the seventh stage, marks the end of a collection phase. The frozen map contains six connected records, and the seventh stage assembles them rather than adding a record of its own. The question frame defines the inquiry and its provisional boundaries. The concept-and-context grid translates the question into searchable dimensions. The source-family inventory identifies who could have recorded each dimension and where those records might reside. The search log records routes, terms, dates, results, and revisions. The evidence register assesses each record’s relevance, provenance, and limits. The gap analysis shows empty, weak, or contradictory parts of the map.</w:t>
      </w:r>
    </w:p>
    <w:p>
      <w:pPr>
        <w:pStyle w:val="BodyText"/>
      </w:pPr>
      <w:r>
        <w:t xml:space="preserve">Two of these records form a matrix. The concept-and-context grid supplies the rows, the question’s dimensions. The source-family inventory supplies the columns. Each cell asks whether a dimension has been recorded by a given family, and with what quality. Coverage testing and gap analysis read these cells: which are filled, which are empty, and which rest on a single dependent source.</w:t>
      </w:r>
    </w:p>
    <w:p>
      <w:pPr>
        <w:pStyle w:val="BodyText"/>
      </w:pPr>
      <w:r>
        <w:t xml:space="preserve">The stopping rule sits across all six. It states what conditions justify ending active collection for the present phase. It identifies what remains missing, why the missing material matters, and what would cause the search to reopen.</w:t>
      </w:r>
    </w:p>
    <w:p>
      <w:pPr>
        <w:pStyle w:val="BodyText"/>
      </w:pPr>
      <w:r>
        <w:t xml:space="preserve">A stopping rule is not a declaration that nothing else exists. It is an argument that the present corpus can support the next analytical task.</w:t>
      </w:r>
    </w:p>
    <w:bookmarkEnd w:id="33"/>
    <w:bookmarkStart w:id="34" w:name="the-role-of-ai"/>
    <w:p>
      <w:pPr>
        <w:pStyle w:val="Heading2"/>
      </w:pPr>
      <w:r>
        <w:t xml:space="preserve">3.5 The Role of AI</w:t>
      </w:r>
    </w:p>
    <w:p>
      <w:pPr>
        <w:pStyle w:val="FirstParagraph"/>
      </w:pPr>
      <w:r>
        <w:t xml:space="preserve">AI can assist at four points in this module. It can propose dimensions after the researcher frames the question. It can expand search vocabulary and candidate source families. It can challenge a search plan by adopting neglected perspectives. It can inspect a filled map for weak cells and repeated dependence on one source stream.</w:t>
      </w:r>
    </w:p>
    <w:p>
      <w:pPr>
        <w:pStyle w:val="BodyText"/>
      </w:pPr>
      <w:r>
        <w:t xml:space="preserve">These uses share one condition: the system proposes, and the researcher disposes. A plausible archive name must be verified. A suggested source family must be examined for ethical and practical access. A proposed gap must be tested against the question rather than accepted because the model stated it fluently.</w:t>
      </w:r>
    </w:p>
    <w:p>
      <w:pPr>
        <w:pStyle w:val="BodyText"/>
      </w:pPr>
      <w:r>
        <w:t xml:space="preserve">The guide records every accepted suggestion and every consequential rejection. This is not a clerical burden. It is evidence of judgment.</w:t>
      </w:r>
    </w:p>
    <w:bookmarkEnd w:id="34"/>
    <w:bookmarkEnd w:id="35"/>
    <w:bookmarkStart w:id="44" w:name="stage-1-frame-the-question"/>
    <w:p>
      <w:pPr>
        <w:pStyle w:val="Heading1"/>
      </w:pPr>
      <w:r>
        <w:t xml:space="preserve">4. Stage 1: Frame the Question</w:t>
      </w:r>
    </w:p>
    <w:bookmarkStart w:id="36" w:name="orientation"/>
    <w:p>
      <w:pPr>
        <w:pStyle w:val="Heading2"/>
      </w:pPr>
      <w:r>
        <w:t xml:space="preserve">4.1 Orientation</w:t>
      </w:r>
    </w:p>
    <w:p>
      <w:pPr>
        <w:pStyle w:val="FirstParagraph"/>
      </w:pPr>
      <w:r>
        <w:t xml:space="preserve">Research often begins with a subject rather than a question. Political violence, migration, educational inequality, and collective memory can sustain careers. They cannot direct a search. A subject has no internal stopping point. Every document leads to another period, actor, or debate.</w:t>
      </w:r>
    </w:p>
    <w:p>
      <w:pPr>
        <w:pStyle w:val="BodyText"/>
      </w:pPr>
      <w:r>
        <w:t xml:space="preserve">Framing creates the first limit. It states what the researcher wants to explain or understand, the unit to which the question applies, the relevant setting, and the period under examination. The limit is provisional. It exists so the collection can begin with discipline.</w:t>
      </w:r>
    </w:p>
    <w:p>
      <w:pPr>
        <w:pStyle w:val="BodyText"/>
      </w:pPr>
      <w:r>
        <w:t xml:space="preserve">Framing sets an intellectual limit, not an ethical clearance. Deciding what to collect does not decide whether collection is permitted. Some source families cannot be gathered at all without ethics approval, informed consent, or a data agreement, and those permissions govern whether the work may begin, not only how it proceeds. This guide defers the mechanics of collection to a later module, but the researcher should confirm the ethical preconditions before the search starts.</w:t>
      </w:r>
    </w:p>
    <w:bookmarkEnd w:id="36"/>
    <w:bookmarkStart w:id="37" w:name="learn"/>
    <w:p>
      <w:pPr>
        <w:pStyle w:val="Heading2"/>
      </w:pPr>
      <w:r>
        <w:t xml:space="preserve">4.2 Learn</w:t>
      </w:r>
    </w:p>
    <w:p>
      <w:pPr>
        <w:pStyle w:val="FirstParagraph"/>
      </w:pPr>
      <w:r>
        <w:t xml:space="preserve">A workable qualitative question establishes an object of inquiry and a relation that requires evidence. “Terrorism databases” names an object. “Why do major terrorism databases report different patterns for the same period?” identifies a relation among classification systems, sources, and observed trends. The second formulation tells the researcher what must be compared.</w:t>
      </w:r>
    </w:p>
    <w:p>
      <w:pPr>
        <w:pStyle w:val="BodyText"/>
      </w:pPr>
      <w:r>
        <w:t xml:space="preserve">The question must also expose its assumptions. “Why did the policy fail?” presumes failure before specifying the criterion. “How did officials and affected communities evaluate the policy’s effects between 2018 and 2022?” makes evaluation itself part of the inquiry. The revised question does not eliminate judgment. It identifies where the judgment enters.</w:t>
      </w:r>
    </w:p>
    <w:p>
      <w:pPr>
        <w:pStyle w:val="BodyText"/>
      </w:pPr>
      <w:r>
        <w:t xml:space="preserve">State boundaries along five dimensions in running notes: phenomenon, place, period, actors, and outcome or meaning. Not every project needs a narrow value for each dimension. Comparative and transnational studies may require wide geographical scope. Historical research may follow consequences across decades. The researcher should still record what makes the boundary appropriate.</w:t>
      </w:r>
    </w:p>
    <w:p>
      <w:pPr>
        <w:pStyle w:val="BodyText"/>
      </w:pPr>
      <w:r>
        <w:t xml:space="preserve">The frame includes exclusions. Exclusion is not dismissal. A study of policy formation may set aside implementation because the causal question concerns agenda access. A study of public memory may exclude private recollection that never entered a public forum. A source can be valuable and remain outside the present question.</w:t>
      </w:r>
    </w:p>
    <w:bookmarkEnd w:id="37"/>
    <w:bookmarkStart w:id="38" w:name="worked-example"/>
    <w:p>
      <w:pPr>
        <w:pStyle w:val="Heading2"/>
      </w:pPr>
      <w:r>
        <w:t xml:space="preserve">4.3 Worked Example</w:t>
      </w:r>
    </w:p>
    <w:p>
      <w:pPr>
        <w:pStyle w:val="FirstParagraph"/>
      </w:pPr>
      <w:r>
        <w:t xml:space="preserve">Our initial subject is disagreement among accounts of terrorism. The first question might ask, “Which terrorism database is most accurate?” That formulation is attractive and weak. Accuracy depends on a definition of the event universe and on evidence against which records can be checked. The question also encourages a winner rather than an explanation.</w:t>
      </w:r>
    </w:p>
    <w:p>
      <w:pPr>
        <w:pStyle w:val="BodyText"/>
      </w:pPr>
      <w:r>
        <w:t xml:space="preserve">We reframe it: “How do definitions, source systems, and collection procedures produce divergent accounts of domestic and transnational terrorism within the same period?” The new question identifies three possible mechanisms and one comparison. It leaves room for a database to perform well for one purpose and poorly for another.</w:t>
      </w:r>
    </w:p>
    <w:p>
      <w:pPr>
        <w:pStyle w:val="BodyText"/>
      </w:pPr>
      <w:r>
        <w:t xml:space="preserve">The frame records a second decision. The module will examine the process through which events become records. It will not estimate a corrected global trend. That task requires data access, calibration choices, and a separate analytical design.</w:t>
      </w:r>
    </w:p>
    <w:bookmarkEnd w:id="38"/>
    <w:bookmarkStart w:id="39" w:name="try-it"/>
    <w:p>
      <w:pPr>
        <w:pStyle w:val="Heading2"/>
      </w:pPr>
      <w:r>
        <w:t xml:space="preserve">4.4 Try It</w:t>
      </w:r>
    </w:p>
    <w:p>
      <w:pPr>
        <w:pStyle w:val="FirstParagraph"/>
      </w:pPr>
      <w:r>
        <w:t xml:space="preserve">Write the present version of the question in one sentence. Then write a second sentence beginning with “This project does not attempt to.” The pair forces inclusion and exclusion into the same frame.</w:t>
      </w:r>
    </w:p>
    <w:p>
      <w:pPr>
        <w:pStyle w:val="BodyText"/>
      </w:pPr>
      <w:r>
        <w:t xml:space="preserve">Next, state what would count as an answer. A causal question may require evidence of sequence and mechanism. An interpretive question may require competing meanings and the settings in which actors used them. A descriptive question may require a justified account of variation. If the anticipated answer cannot be described, the question remains too loose.</w:t>
      </w:r>
    </w:p>
    <w:p>
      <w:pPr>
        <w:pStyle w:val="BodyText"/>
      </w:pPr>
      <w:r>
        <w:t xml:space="preserve">Save the result as this stage’s artifact, described under Save the Artifact below.</w:t>
      </w:r>
    </w:p>
    <w:bookmarkEnd w:id="39"/>
    <w:bookmarkStart w:id="40" w:name="guided-ai-workflow"/>
    <w:p>
      <w:pPr>
        <w:pStyle w:val="Heading2"/>
      </w:pPr>
      <w:r>
        <w:t xml:space="preserve">4.5 Guided AI Workflow</w:t>
      </w:r>
    </w:p>
    <w:p>
      <w:pPr>
        <w:pStyle w:val="FirstParagraph"/>
      </w:pPr>
      <w:r>
        <w:t xml:space="preserve">AI can serve as a critic of the frame. Provide the question and boundary statement without confidential material. Ask the system to identify hidden assumptions, ambiguous concepts, and plausible alternative formulations. Then ask it to explain how each alternative would change the evidence required. A usable prompt: “Identify hidden assumptions and ambiguous concepts in this question, and propose alternative formulations. Do not choose the best one.”</w:t>
      </w:r>
    </w:p>
    <w:p>
      <w:pPr>
        <w:pStyle w:val="BodyText"/>
      </w:pPr>
      <w:r>
        <w:rPr>
          <w:b/>
          <w:bCs/>
        </w:rPr>
        <w:t xml:space="preserve">Permitted input:</w:t>
      </w:r>
      <w:r>
        <w:t xml:space="preserve"> </w:t>
      </w:r>
      <w:r>
        <w:t xml:space="preserve">The question, the boundary and exclusion statement, and the stated purpose, with no confidential or participant-identifying material.</w:t>
      </w:r>
      <w:r>
        <w:br/>
      </w:r>
      <w:r>
        <w:rPr>
          <w:b/>
          <w:bCs/>
        </w:rPr>
        <w:t xml:space="preserve">Do not provide:</w:t>
      </w:r>
      <w:r>
        <w:t xml:space="preserve"> </w:t>
      </w:r>
      <w:r>
        <w:t xml:space="preserve">Restricted archival detail, participant identities, unpublished allegations, or partner-owned data.</w:t>
      </w:r>
      <w:r>
        <w:br/>
      </w:r>
      <w:r>
        <w:rPr>
          <w:b/>
          <w:bCs/>
        </w:rPr>
        <w:t xml:space="preserve">Verify:</w:t>
      </w:r>
      <w:r>
        <w:t xml:space="preserve"> </w:t>
      </w:r>
      <w:r>
        <w:t xml:space="preserve">Test each suggested assumption, concept, or alternative against the project’s purpose and access constraints. The model lacks the study’s intellectual commitments; it cannot choose the question.</w:t>
      </w:r>
      <w:r>
        <w:br/>
      </w:r>
      <w:r>
        <w:rPr>
          <w:b/>
          <w:bCs/>
        </w:rPr>
        <w:t xml:space="preserve">Record:</w:t>
      </w:r>
      <w:r>
        <w:t xml:space="preserve"> </w:t>
      </w:r>
      <w:r>
        <w:t xml:space="preserve">Log accepted changes, rejected changes, the reason for each, and the model and date.</w:t>
      </w:r>
    </w:p>
    <w:p>
      <w:pPr>
        <w:pStyle w:val="BodyText"/>
      </w:pPr>
      <w:r>
        <w:t xml:space="preserve">Do not ask the model to choose the “best” question. Review each suggestion against the purpose of the study.</w:t>
      </w:r>
    </w:p>
    <w:bookmarkEnd w:id="40"/>
    <w:bookmarkStart w:id="41" w:name="integrity-checkpoint"/>
    <w:p>
      <w:pPr>
        <w:pStyle w:val="Heading2"/>
      </w:pPr>
      <w:r>
        <w:t xml:space="preserve">4.6 Integrity Checkpoint</w:t>
      </w:r>
    </w:p>
    <w:p>
      <w:pPr>
        <w:pStyle w:val="FirstParagraph"/>
      </w:pPr>
      <w:r>
        <w:t xml:space="preserve">Confirm before saving:</w:t>
      </w:r>
    </w:p>
    <w:p>
      <w:pPr>
        <w:pStyle w:val="BodyText"/>
      </w:pPr>
      <w:r>
        <w:rPr>
          <w:b/>
          <w:bCs/>
        </w:rPr>
        <w:t xml:space="preserve">No sensitive exposure:</w:t>
      </w:r>
      <w:r>
        <w:t xml:space="preserve"> </w:t>
      </w:r>
      <w:r>
        <w:t xml:space="preserve">the frame does not expose participant identities, restricted archival information, or unpublished allegations.</w:t>
      </w:r>
      <w:r>
        <w:br/>
      </w:r>
      <w:r>
        <w:rPr>
          <w:b/>
          <w:bCs/>
        </w:rPr>
        <w:t xml:space="preserve">No question-begging definition:</w:t>
      </w:r>
      <w:r>
        <w:t xml:space="preserve"> </w:t>
      </w:r>
      <w:r>
        <w:t xml:space="preserve">no contested actor is defined in terms that decide the empirical question in advance.</w:t>
      </w:r>
      <w:r>
        <w:br/>
      </w:r>
      <w:r>
        <w:rPr>
          <w:b/>
          <w:bCs/>
        </w:rPr>
        <w:t xml:space="preserve">Commitments separated:</w:t>
      </w:r>
      <w:r>
        <w:t xml:space="preserve"> </w:t>
      </w:r>
      <w:r>
        <w:t xml:space="preserve">the researcher’s normative commitments are distinguished from the evidence a descriptive or causal claim requires.</w:t>
      </w:r>
    </w:p>
    <w:bookmarkEnd w:id="41"/>
    <w:bookmarkStart w:id="42" w:name="save-the-artifact"/>
    <w:p>
      <w:pPr>
        <w:pStyle w:val="Heading2"/>
      </w:pPr>
      <w:r>
        <w:t xml:space="preserve">4.7 Save the Artifact</w:t>
      </w:r>
    </w:p>
    <w:p>
      <w:pPr>
        <w:pStyle w:val="FirstParagraph"/>
      </w:pPr>
      <w:r>
        <w:t xml:space="preserve">Save</w:t>
      </w:r>
      <w:r>
        <w:t xml:space="preserve"> </w:t>
      </w:r>
      <w:r>
        <w:rPr>
          <w:rStyle w:val="VerbatimChar"/>
        </w:rPr>
        <w:t xml:space="preserve">question-framing-v0.1.docx</w:t>
      </w:r>
      <w:r>
        <w:t xml:space="preserve">. Required fields are the question, purpose, unit of inquiry, boundaries along the five dimensions, exclusions, assumptions, and the evidence that would count as an answer. Date it. Link it to the project log and the later evidence map. The version number matters because later collection decisions will make sense only in relation to the question that guided them at the time. Later revisions create a new version rather than erase the first.</w:t>
      </w:r>
    </w:p>
    <w:bookmarkEnd w:id="42"/>
    <w:bookmarkStart w:id="43" w:name="advanced-practice"/>
    <w:p>
      <w:pPr>
        <w:pStyle w:val="Heading2"/>
      </w:pPr>
      <w:r>
        <w:t xml:space="preserve">4.8 Advanced Practice</w:t>
      </w:r>
    </w:p>
    <w:p>
      <w:pPr>
        <w:pStyle w:val="FirstParagraph"/>
      </w:pPr>
      <w:r>
        <w:t xml:space="preserve">Some questions should remain open longer than this procedure implies. Ethnographic research may develop its focus through entry into a field. Archival discoveries may shift the relevant period or actor. Participatory research may require the community to redefine the problem. In these cases, framing is an explicit record of the current agreement, not a contract imposed on future evidence.</w:t>
      </w:r>
    </w:p>
    <w:bookmarkEnd w:id="43"/>
    <w:bookmarkEnd w:id="44"/>
    <w:bookmarkStart w:id="54" w:name="stage-2-decompose-the-question"/>
    <w:p>
      <w:pPr>
        <w:pStyle w:val="Heading1"/>
      </w:pPr>
      <w:r>
        <w:t xml:space="preserve">5. Stage 2: Decompose the Question</w:t>
      </w:r>
    </w:p>
    <w:bookmarkStart w:id="45" w:name="orientation-1"/>
    <w:p>
      <w:pPr>
        <w:pStyle w:val="Heading2"/>
      </w:pPr>
      <w:r>
        <w:t xml:space="preserve">5.1 Orientation</w:t>
      </w:r>
    </w:p>
    <w:p>
      <w:pPr>
        <w:pStyle w:val="FirstParagraph"/>
      </w:pPr>
      <w:r>
        <w:t xml:space="preserve">A well-framed question can still hide several inquiries inside one sentence. Each noun may contain a dispute. Each verb may imply a mechanism. Each boundary may conceal variation. Decomposition makes those parts visible before the search engine makes its own choices for the researcher.</w:t>
      </w:r>
    </w:p>
    <w:bookmarkEnd w:id="45"/>
    <w:bookmarkStart w:id="46" w:name="learn-1"/>
    <w:p>
      <w:pPr>
        <w:pStyle w:val="Heading2"/>
      </w:pPr>
      <w:r>
        <w:t xml:space="preserve">5.2 Learn</w:t>
      </w:r>
    </w:p>
    <w:p>
      <w:pPr>
        <w:pStyle w:val="FirstParagraph"/>
      </w:pPr>
      <w:r>
        <w:t xml:space="preserve">Begin with concepts. A project on radicalization, trust, resilience, or state capacity cannot search effectively until it records how the term is being used. The task is not to produce a final definition. It is to identify neighboring terms, competing definitions, observable expressions, and words used by the actors themselves.</w:t>
      </w:r>
    </w:p>
    <w:p>
      <w:pPr>
        <w:pStyle w:val="BodyText"/>
      </w:pPr>
      <w:r>
        <w:t xml:space="preserve">Then identify context. Time changes institutions and vocabulary. Place changes jurisdiction and source access. Actors occupy positions that shape what they can observe and what they have reason to record. Events create documentary traces, but those traces differ according to the organizations present.</w:t>
      </w:r>
    </w:p>
    <w:p>
      <w:pPr>
        <w:pStyle w:val="BodyText"/>
      </w:pPr>
      <w:r>
        <w:t xml:space="preserve">Finally, identify rival explanations and negative cases. A question about technological change may need to consider organizational reform, political pressure, or altered reporting rules. A project that collects evidence only for its favored explanation will produce a dense archive and a weak inference.</w:t>
      </w:r>
    </w:p>
    <w:p>
      <w:pPr>
        <w:pStyle w:val="BodyText"/>
      </w:pPr>
      <w:r>
        <w:t xml:space="preserve">Decomposition works through a grid. Rows represent dimensions of the question. Columns record working definitions, synonyms, actor language, likely evidence, rivals, and exclusions. The cells need not be filled before searching. Empty cells are useful. They show where the project is reasoning from habit rather than evidence.</w:t>
      </w:r>
    </w:p>
    <w:bookmarkEnd w:id="46"/>
    <w:bookmarkStart w:id="48" w:name="worked-example-1"/>
    <w:p>
      <w:pPr>
        <w:pStyle w:val="Heading2"/>
      </w:pPr>
      <w:r>
        <w:t xml:space="preserve">5.3 Worked Example</w:t>
      </w:r>
    </w:p>
    <w:p>
      <w:pPr>
        <w:pStyle w:val="FirstParagraph"/>
      </w:pPr>
      <w:r>
        <w:t xml:space="preserve">The worked question contains several terms that require separation. “Terrorism” is a contested category. “Domestic” and “transnational” may refer to the location of an attack, the identity of perpetrators, the nationality of victims, organizational ties, or movement across borders. “Divergent accounts” may mean different event totals, different classifications, or different interpretations of the same underlying record.</w:t>
      </w:r>
    </w:p>
    <w:p>
      <w:pPr>
        <w:pStyle w:val="BodyText"/>
      </w:pPr>
      <w:r>
        <w:t xml:space="preserve">The decomposition also reveals institutional actors. Database designers define variables. Coders interpret reports. News organizations decide which events merit coverage. Governments classify incidents for administrative, legal, and political purposes. Researchers transform published data through exclusions, recoding, and aggregation.</w:t>
      </w:r>
    </w:p>
    <w:p>
      <w:pPr>
        <w:pStyle w:val="BodyText"/>
      </w:pPr>
      <w:r>
        <w:t xml:space="preserve">Research has shown why separating domestic and transnational incidents can change the question being answered.</w:t>
      </w:r>
      <w:r>
        <w:rPr>
          <w:rStyle w:val="FootnoteReference"/>
        </w:rPr>
        <w:footnoteReference w:id="47"/>
      </w:r>
      <w:r>
        <w:t xml:space="preserve"> </w:t>
      </w:r>
      <w:r>
        <w:t xml:space="preserve">The value of the example lies less in the resulting series than in the conceptual work required to produce it.</w:t>
      </w:r>
    </w:p>
    <w:p>
      <w:pPr>
        <w:pStyle w:val="BodyText"/>
      </w:pPr>
      <w:r>
        <w:t xml:space="preserve">A fragment of the grid shows the 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Working definition</w:t>
            </w:r>
          </w:p>
        </w:tc>
        <w:tc>
          <w:tcPr/>
          <w:p>
            <w:pPr>
              <w:pStyle w:val="Compact"/>
            </w:pPr>
            <w:r>
              <w:t xml:space="preserve">Actor language</w:t>
            </w:r>
          </w:p>
        </w:tc>
        <w:tc>
          <w:tcPr/>
          <w:p>
            <w:pPr>
              <w:pStyle w:val="Compact"/>
            </w:pPr>
            <w:r>
              <w:t xml:space="preserve">Likely evidence</w:t>
            </w:r>
          </w:p>
        </w:tc>
        <w:tc>
          <w:tcPr/>
          <w:p>
            <w:pPr>
              <w:pStyle w:val="Compact"/>
            </w:pPr>
            <w:r>
              <w:t xml:space="preserve">Rival or exclusion</w:t>
            </w:r>
          </w:p>
        </w:tc>
      </w:tr>
      <w:tr>
        <w:tc>
          <w:tcPr/>
          <w:p>
            <w:pPr>
              <w:pStyle w:val="Compact"/>
            </w:pPr>
            <w:r>
              <w:t xml:space="preserve">Terrorism</w:t>
            </w:r>
          </w:p>
        </w:tc>
        <w:tc>
          <w:tcPr/>
          <w:p>
            <w:pPr>
              <w:pStyle w:val="Compact"/>
            </w:pPr>
            <w:r>
              <w:t xml:space="preserve">Violence by non-state actors for political aims</w:t>
            </w:r>
          </w:p>
        </w:tc>
        <w:tc>
          <w:tcPr/>
          <w:p>
            <w:pPr>
              <w:pStyle w:val="Compact"/>
            </w:pPr>
            <w:r>
              <w:t xml:space="preserve">terrorism, extremism, insurgency, armed struggle</w:t>
            </w:r>
          </w:p>
        </w:tc>
        <w:tc>
          <w:tcPr/>
          <w:p>
            <w:pPr>
              <w:pStyle w:val="Compact"/>
            </w:pPr>
            <w:r>
              <w:t xml:space="preserve">Inclusion criteria; codebooks; incident reports</w:t>
            </w:r>
          </w:p>
        </w:tc>
        <w:tc>
          <w:tcPr/>
          <w:p>
            <w:pPr>
              <w:pStyle w:val="Compact"/>
            </w:pPr>
            <w:r>
              <w:t xml:space="preserve">Excludes state violence; rival: ordinary crime miscoded</w:t>
            </w:r>
          </w:p>
        </w:tc>
      </w:tr>
      <w:tr>
        <w:tc>
          <w:tcPr/>
          <w:p>
            <w:pPr>
              <w:pStyle w:val="Compact"/>
            </w:pPr>
            <w:r>
              <w:t xml:space="preserve">Domestic vs. transnational</w:t>
            </w:r>
          </w:p>
        </w:tc>
        <w:tc>
          <w:tcPr/>
          <w:p>
            <w:pPr>
              <w:pStyle w:val="Compact"/>
            </w:pPr>
            <w:r>
              <w:t xml:space="preserve">Whether actors, victims, or targets cross a border</w:t>
            </w:r>
          </w:p>
        </w:tc>
        <w:tc>
          <w:tcPr/>
          <w:p>
            <w:pPr>
              <w:pStyle w:val="Compact"/>
            </w:pPr>
            <w:r>
              <w:t xml:space="preserve">domestic, international, home-grown</w:t>
            </w:r>
          </w:p>
        </w:tc>
        <w:tc>
          <w:tcPr/>
          <w:p>
            <w:pPr>
              <w:pStyle w:val="Compact"/>
            </w:pPr>
            <w:r>
              <w:t xml:space="preserve">Coding of perpetrator and target nationality</w:t>
            </w:r>
          </w:p>
        </w:tc>
        <w:tc>
          <w:tcPr/>
          <w:p>
            <w:pPr>
              <w:pStyle w:val="Compact"/>
            </w:pPr>
            <w:r>
              <w:t xml:space="preserve">Rival: reporting capacity, not real incidence, drives the gap</w:t>
            </w:r>
          </w:p>
        </w:tc>
      </w:tr>
      <w:tr>
        <w:tc>
          <w:tcPr/>
          <w:p>
            <w:pPr>
              <w:pStyle w:val="Compact"/>
            </w:pPr>
            <w:r>
              <w:t xml:space="preserve">Divergent accounts</w:t>
            </w:r>
          </w:p>
        </w:tc>
        <w:tc>
          <w:tcPr/>
          <w:p>
            <w:pPr>
              <w:pStyle w:val="Compact"/>
            </w:pPr>
            <w:r>
              <w:t xml:space="preserve">Differences in counts, classification, or interpretation</w:t>
            </w:r>
          </w:p>
        </w:tc>
        <w:tc>
          <w:tcPr/>
          <w:p>
            <w:pPr>
              <w:pStyle w:val="Compact"/>
            </w:pPr>
            <w:r>
              <w:t xml:space="preserve">discrepancy, undercount, coding change</w:t>
            </w:r>
          </w:p>
        </w:tc>
        <w:tc>
          <w:tcPr/>
          <w:p>
            <w:pPr>
              <w:pStyle w:val="Compact"/>
            </w:pPr>
            <w:r>
              <w:t xml:space="preserve">Cross-database comparison; codebook revisions</w:t>
            </w:r>
          </w:p>
        </w:tc>
        <w:tc>
          <w:tcPr/>
          <w:p>
            <w:pPr>
              <w:pStyle w:val="Compact"/>
            </w:pPr>
            <w:r>
              <w:t xml:space="preserve">Excludes simple data-entry error</w:t>
            </w:r>
          </w:p>
        </w:tc>
      </w:tr>
    </w:tbl>
    <w:p>
      <w:pPr>
        <w:pStyle w:val="BodyText"/>
      </w:pPr>
      <w:r>
        <w:t xml:space="preserve">The empty cells would matter as much as the filled ones.</w:t>
      </w:r>
    </w:p>
    <w:bookmarkEnd w:id="48"/>
    <w:bookmarkStart w:id="49" w:name="try-it-1"/>
    <w:p>
      <w:pPr>
        <w:pStyle w:val="Heading2"/>
      </w:pPr>
      <w:r>
        <w:t xml:space="preserve">5.4 Try It</w:t>
      </w:r>
    </w:p>
    <w:p>
      <w:pPr>
        <w:pStyle w:val="FirstParagraph"/>
      </w:pPr>
      <w:r>
        <w:t xml:space="preserve">Underline every substantive noun and verb in the question. For each term, write a working meaning, two alternatives, and one observable trace. Then identify actors who would use different language for the same phenomenon.</w:t>
      </w:r>
    </w:p>
    <w:p>
      <w:pPr>
        <w:pStyle w:val="BodyText"/>
      </w:pPr>
      <w:r>
        <w:t xml:space="preserve">Add at least one rival explanation. If the project expects a rise in recorded events, ask whether reporting capacity changed. If it expects a shift in public attitudes, ask whether the survey instrument or sampling frame changed. If it expects institutional learning, ask whether staff replacement or external coercion could produce the same observation.</w:t>
      </w:r>
    </w:p>
    <w:p>
      <w:pPr>
        <w:pStyle w:val="BodyText"/>
      </w:pPr>
      <w:r>
        <w:t xml:space="preserve">The exercise is complete when each important term has a research use rather than a dictionary definition. The grid should tell the researcher where a term would appear, who would use it, and what could make its apparent presence misleading.</w:t>
      </w:r>
    </w:p>
    <w:bookmarkEnd w:id="49"/>
    <w:bookmarkStart w:id="50" w:name="guided-ai-workflow-1"/>
    <w:p>
      <w:pPr>
        <w:pStyle w:val="Heading2"/>
      </w:pPr>
      <w:r>
        <w:t xml:space="preserve">5.5 Guided AI Workflow</w:t>
      </w:r>
    </w:p>
    <w:p>
      <w:pPr>
        <w:pStyle w:val="FirstParagraph"/>
      </w:pPr>
      <w:r>
        <w:t xml:space="preserve">Provide the framed question and the research purpose. Ask the model to separate concepts, contexts, actors, mechanisms, rival explanations, and negative cases. Require it to label each suggestion as a candidate rather than a fact. A usable prompt: “Separate this question into concepts, contexts, actors, mechanisms, and rival explanations. Label each as a candidate, and name one observable trace for each.”</w:t>
      </w:r>
    </w:p>
    <w:p>
      <w:pPr>
        <w:pStyle w:val="BodyText"/>
      </w:pPr>
      <w:r>
        <w:rPr>
          <w:b/>
          <w:bCs/>
        </w:rPr>
        <w:t xml:space="preserve">Permitted input:</w:t>
      </w:r>
      <w:r>
        <w:t xml:space="preserve"> </w:t>
      </w:r>
      <w:r>
        <w:t xml:space="preserve">The framed question, the research purpose, and the boundary statement, with no confidential or participant-identifying material.</w:t>
      </w:r>
      <w:r>
        <w:br/>
      </w:r>
      <w:r>
        <w:rPr>
          <w:b/>
          <w:bCs/>
        </w:rPr>
        <w:t xml:space="preserve">Do not provide:</w:t>
      </w:r>
      <w:r>
        <w:t xml:space="preserve"> </w:t>
      </w:r>
      <w:r>
        <w:t xml:space="preserve">Restricted archival detail, participant identities, or partner-owned data.</w:t>
      </w:r>
      <w:r>
        <w:br/>
      </w:r>
      <w:r>
        <w:rPr>
          <w:b/>
          <w:bCs/>
        </w:rPr>
        <w:t xml:space="preserve">Verify:</w:t>
      </w:r>
      <w:r>
        <w:t xml:space="preserve"> </w:t>
      </w:r>
      <w:r>
        <w:t xml:space="preserve">Check that each candidate follows from the question and can guide evidence collection. A broad category with no plausible evidentiary route does not enter the grid merely because it sounds inclusive.</w:t>
      </w:r>
      <w:r>
        <w:br/>
      </w:r>
      <w:r>
        <w:rPr>
          <w:b/>
          <w:bCs/>
        </w:rPr>
        <w:t xml:space="preserve">Record:</w:t>
      </w:r>
      <w:r>
        <w:t xml:space="preserve"> </w:t>
      </w:r>
      <w:r>
        <w:t xml:space="preserve">Log accepted and rejected candidates, the reason for each, and the model and date.</w:t>
      </w:r>
    </w:p>
    <w:p>
      <w:pPr>
        <w:pStyle w:val="BodyText"/>
      </w:pPr>
      <w:r>
        <w:t xml:space="preserve">Run a second prompt that assigns the model an adversarial task: identify dimensions omitted by the first decomposition. A third prompt can ask how the decomposition might differ from the standpoint of an actor poorly represented in official records.</w:t>
      </w:r>
    </w:p>
    <w:bookmarkEnd w:id="50"/>
    <w:bookmarkStart w:id="51" w:name="integrity-checkpoint-1"/>
    <w:p>
      <w:pPr>
        <w:pStyle w:val="Heading2"/>
      </w:pPr>
      <w:r>
        <w:t xml:space="preserve">5.6 Integrity Checkpoint</w:t>
      </w:r>
    </w:p>
    <w:p>
      <w:pPr>
        <w:pStyle w:val="FirstParagraph"/>
      </w:pPr>
      <w:r>
        <w:t xml:space="preserve">Concepts can reproduce official categories that the study should examine. They can also impose academic language that participants would reject. Confirm before saving:</w:t>
      </w:r>
    </w:p>
    <w:p>
      <w:pPr>
        <w:pStyle w:val="BodyText"/>
      </w:pPr>
      <w:r>
        <w:rPr>
          <w:b/>
          <w:bCs/>
        </w:rPr>
        <w:t xml:space="preserve">Whose vocabulary:</w:t>
      </w:r>
      <w:r>
        <w:t xml:space="preserve"> </w:t>
      </w:r>
      <w:r>
        <w:t xml:space="preserve">each term records whose language it represents.</w:t>
      </w:r>
      <w:r>
        <w:br/>
      </w:r>
      <w:r>
        <w:rPr>
          <w:b/>
          <w:bCs/>
        </w:rPr>
        <w:t xml:space="preserve">No smuggled category:</w:t>
      </w:r>
      <w:r>
        <w:t xml:space="preserve"> </w:t>
      </w:r>
      <w:r>
        <w:t xml:space="preserve">no official or academic label has become the study’s own without examination.</w:t>
      </w:r>
      <w:r>
        <w:br/>
      </w:r>
      <w:r>
        <w:rPr>
          <w:b/>
          <w:bCs/>
        </w:rPr>
        <w:t xml:space="preserve">Translation preserved:</w:t>
      </w:r>
      <w:r>
        <w:t xml:space="preserve"> </w:t>
      </w:r>
      <w:r>
        <w:t xml:space="preserve">every translated term keeps its original expression and the reason for the English gloss.</w:t>
      </w:r>
    </w:p>
    <w:bookmarkEnd w:id="51"/>
    <w:bookmarkStart w:id="52" w:name="save-the-artifact-1"/>
    <w:p>
      <w:pPr>
        <w:pStyle w:val="Heading2"/>
      </w:pPr>
      <w:r>
        <w:t xml:space="preserve">5.7 Save the Artifact</w:t>
      </w:r>
    </w:p>
    <w:p>
      <w:pPr>
        <w:pStyle w:val="FirstParagraph"/>
      </w:pPr>
      <w:r>
        <w:t xml:space="preserve">Save</w:t>
      </w:r>
      <w:r>
        <w:t xml:space="preserve"> </w:t>
      </w:r>
      <w:r>
        <w:rPr>
          <w:rStyle w:val="VerbatimChar"/>
        </w:rPr>
        <w:t xml:space="preserve">concept-context-grid-v0.1.xlsx</w:t>
      </w:r>
      <w:r>
        <w:t xml:space="preserve">. Give each row a stable identifier. Required columns are dimension, working definition, synonyms, actor language, likely evidence, rival explanations, and exclusions. These identifiers will connect later search terms, source families, and evidence records to the dimension they serve.</w:t>
      </w:r>
    </w:p>
    <w:bookmarkEnd w:id="52"/>
    <w:bookmarkStart w:id="53" w:name="advanced-practice-1"/>
    <w:p>
      <w:pPr>
        <w:pStyle w:val="Heading2"/>
      </w:pPr>
      <w:r>
        <w:t xml:space="preserve">5.8 Advanced Practice</w:t>
      </w:r>
    </w:p>
    <w:p>
      <w:pPr>
        <w:pStyle w:val="FirstParagraph"/>
      </w:pPr>
      <w:r>
        <w:t xml:space="preserve">Team projects should decompose the question independently before reconciling their grids. Early agreement can conceal shared assumptions. Independent drafts expose differences in training, language, and field knowledge. The reconciliation record should preserve disagreements that affect collection, even when the team adopts one operational definition.</w:t>
      </w:r>
    </w:p>
    <w:bookmarkEnd w:id="53"/>
    <w:bookmarkEnd w:id="54"/>
    <w:bookmarkStart w:id="64" w:name="stage-3-map-source-families"/>
    <w:p>
      <w:pPr>
        <w:pStyle w:val="Heading1"/>
      </w:pPr>
      <w:r>
        <w:t xml:space="preserve">6. Stage 3: Map Source Families</w:t>
      </w:r>
    </w:p>
    <w:bookmarkStart w:id="55" w:name="orientation-2"/>
    <w:p>
      <w:pPr>
        <w:pStyle w:val="Heading2"/>
      </w:pPr>
      <w:r>
        <w:t xml:space="preserve">6.1 Orientation</w:t>
      </w:r>
    </w:p>
    <w:p>
      <w:pPr>
        <w:pStyle w:val="FirstParagraph"/>
      </w:pPr>
      <w:r>
        <w:t xml:space="preserve">Researchers often begin with the source they know how to find. Political scientists search articles and datasets. Historians enter catalogues. Sociologists recruit participants. Journalists search news archives. Expertise creates access. It also creates blind spots.</w:t>
      </w:r>
    </w:p>
    <w:p>
      <w:pPr>
        <w:pStyle w:val="BodyText"/>
      </w:pPr>
      <w:r>
        <w:t xml:space="preserve">Source-family mapping asks a prior question: who could have observed, recorded, preserved, or later reconstructed each part of the inquiry?</w:t>
      </w:r>
    </w:p>
    <w:bookmarkEnd w:id="55"/>
    <w:bookmarkStart w:id="56" w:name="learn-2"/>
    <w:p>
      <w:pPr>
        <w:pStyle w:val="Heading2"/>
      </w:pPr>
      <w:r>
        <w:t xml:space="preserve">6.2 Learn</w:t>
      </w:r>
    </w:p>
    <w:p>
      <w:pPr>
        <w:pStyle w:val="FirstParagraph"/>
      </w:pPr>
      <w:r>
        <w:t xml:space="preserve">A source family is a group of records produced through a related institutional process. Cabinet minutes form one family. Local newspapers form another. Oral histories, police files, organizational newsletters, court records, satellite images, social media posts, and scholarly databases each carry a production logic.</w:t>
      </w:r>
    </w:p>
    <w:p>
      <w:pPr>
        <w:pStyle w:val="BodyText"/>
      </w:pPr>
      <w:r>
        <w:t xml:space="preserve">The family matters because records are not independent merely because they appear in different files. Ten articles may repeat one press release. Two databases may derive from the same news archive. A memoir and an oral-history interview may preserve the same retrospective narrative. Counting files can exaggerate corroboration.</w:t>
      </w:r>
    </w:p>
    <w:p>
      <w:pPr>
        <w:pStyle w:val="BodyText"/>
      </w:pPr>
      <w:r>
        <w:t xml:space="preserve">For each dimension in the concept grid, identify prospective source families and the institutions that created them. Record what each family was designed to do, who could enter it, what it tended to omit, where it may be held, and what conditions govern access.</w:t>
      </w:r>
    </w:p>
    <w:p>
      <w:pPr>
        <w:pStyle w:val="BodyText"/>
      </w:pPr>
      <w:r>
        <w:t xml:space="preserve">Mapping should include sources that challenge the project’s institutional center. Official records preserve the state well because the state creates records at scale. Marginalized actors may appear through legal proceedings, advocacy collections, private papers, community media, or testimony assembled after the event. Their relative scarcity is not evidence of lesser importance.</w:t>
      </w:r>
    </w:p>
    <w:bookmarkEnd w:id="56"/>
    <w:bookmarkStart w:id="58" w:name="worked-example-2"/>
    <w:p>
      <w:pPr>
        <w:pStyle w:val="Heading2"/>
      </w:pPr>
      <w:r>
        <w:t xml:space="preserve">6.3 Worked Example</w:t>
      </w:r>
    </w:p>
    <w:p>
      <w:pPr>
        <w:pStyle w:val="FirstParagraph"/>
      </w:pPr>
      <w:r>
        <w:t xml:space="preserve">An incident of political violence can leave several traces. Local reporters may describe the event. Police may open a file. Hospitals may record casualties. A government may classify the incident. An organization may claim or deny responsibility. A database team may later code the event from published accounts. Researchers may then download the record and reorganize it for a new analysis.</w:t>
      </w:r>
    </w:p>
    <w:p>
      <w:pPr>
        <w:pStyle w:val="BodyText"/>
      </w:pPr>
      <w:r>
        <w:t xml:space="preserve">Each trace answers a different question. A database can standardize events across time. It may be poorly suited to recovering local meaning. A court file may establish procedural facts while reflecting the categories of prosecution. A claim of responsibility may reveal strategic communication without proving operational control.</w:t>
      </w:r>
    </w:p>
    <w:p>
      <w:pPr>
        <w:pStyle w:val="BodyText"/>
      </w:pPr>
      <w:r>
        <w:t xml:space="preserve">The official GTD documentation makes its inclusion criteria and data collection rules available to users.</w:t>
      </w:r>
      <w:r>
        <w:rPr>
          <w:rStyle w:val="FootnoteReference"/>
        </w:rPr>
        <w:footnoteReference w:id="57"/>
      </w:r>
      <w:r>
        <w:t xml:space="preserve"> </w:t>
      </w:r>
      <w:r>
        <w:t xml:space="preserve">That transparency permits a researcher to map the system as a source family rather than treat each row as an unmediated event.</w:t>
      </w:r>
    </w:p>
    <w:bookmarkEnd w:id="58"/>
    <w:bookmarkStart w:id="59" w:name="try-it-2"/>
    <w:p>
      <w:pPr>
        <w:pStyle w:val="Heading2"/>
      </w:pPr>
      <w:r>
        <w:t xml:space="preserve">6.4 Try It</w:t>
      </w:r>
    </w:p>
    <w:p>
      <w:pPr>
        <w:pStyle w:val="FirstParagraph"/>
      </w:pPr>
      <w:r>
        <w:t xml:space="preserve">Take one row from the concept-and-context grid. Write the names of institutions and people who could have recorded it at the time. Then write who might have reconstructed it later. Separate contemporary from retrospective sources.</w:t>
      </w:r>
    </w:p>
    <w:p>
      <w:pPr>
        <w:pStyle w:val="BodyText"/>
      </w:pPr>
      <w:r>
        <w:t xml:space="preserve">For each family, record five judgments in prose: what it can observe, why it creates records, who is absent, how records survive, and how access could distort the sample. Repeat the exercise until every important row has more than one plausible evidentiary route or an explicit explanation for why only one exists.</w:t>
      </w:r>
    </w:p>
    <w:bookmarkEnd w:id="59"/>
    <w:bookmarkStart w:id="60" w:name="guided-ai-workflow-2"/>
    <w:p>
      <w:pPr>
        <w:pStyle w:val="Heading2"/>
      </w:pPr>
      <w:r>
        <w:t xml:space="preserve">6.5 Guided AI Workflow</w:t>
      </w:r>
    </w:p>
    <w:p>
      <w:pPr>
        <w:pStyle w:val="FirstParagraph"/>
      </w:pPr>
      <w:r>
        <w:t xml:space="preserve">AI can generate candidate source families when the researcher supplies a concept, period, place, and actor set. Ask for institutional record types, vernacular sources, retrospective accounts, and material or visual traces. Require the model to state why each family might exist and why it might not. A usable prompt: “For this concept, period, and place, list candidate source families, including vernacular and retrospective ones. For each, state why it might exist, why it might not, and how to verify it.”</w:t>
      </w:r>
    </w:p>
    <w:p>
      <w:pPr>
        <w:pStyle w:val="BodyText"/>
      </w:pPr>
      <w:r>
        <w:rPr>
          <w:b/>
          <w:bCs/>
        </w:rPr>
        <w:t xml:space="preserve">Permitted input:</w:t>
      </w:r>
      <w:r>
        <w:t xml:space="preserve"> </w:t>
      </w:r>
      <w:r>
        <w:t xml:space="preserve">The concept, period, place, and actor set, with no sensitive source locations or participant identities.</w:t>
      </w:r>
      <w:r>
        <w:br/>
      </w:r>
      <w:r>
        <w:rPr>
          <w:b/>
          <w:bCs/>
        </w:rPr>
        <w:t xml:space="preserve">Do not provide:</w:t>
      </w:r>
      <w:r>
        <w:t xml:space="preserve"> </w:t>
      </w:r>
      <w:r>
        <w:t xml:space="preserve">Restricted collection details, protected repository locations, or participant-identifying material.</w:t>
      </w:r>
      <w:r>
        <w:br/>
      </w:r>
      <w:r>
        <w:rPr>
          <w:b/>
          <w:bCs/>
        </w:rPr>
        <w:t xml:space="preserve">Verify:</w:t>
      </w:r>
      <w:r>
        <w:t xml:space="preserve"> </w:t>
      </w:r>
      <w:r>
        <w:t xml:space="preserve">Confirm every named archive, collection, database, or repository through an official catalogue or institutional source. Fabricated repository names are a predictable failure.</w:t>
      </w:r>
      <w:r>
        <w:br/>
      </w:r>
      <w:r>
        <w:rPr>
          <w:b/>
          <w:bCs/>
        </w:rPr>
        <w:t xml:space="preserve">Record:</w:t>
      </w:r>
      <w:r>
        <w:t xml:space="preserve"> </w:t>
      </w:r>
      <w:r>
        <w:t xml:space="preserve">Log candidate families accepted and rejected, the verification source, and the model and date. Keep fabricated suggestions as rejected rather than deleting them from the audit trail.</w:t>
      </w:r>
    </w:p>
    <w:bookmarkEnd w:id="60"/>
    <w:bookmarkStart w:id="61" w:name="integrity-checkpoint-2"/>
    <w:p>
      <w:pPr>
        <w:pStyle w:val="Heading2"/>
      </w:pPr>
      <w:r>
        <w:t xml:space="preserve">6.6 Integrity Checkpoint</w:t>
      </w:r>
    </w:p>
    <w:p>
      <w:pPr>
        <w:pStyle w:val="FirstParagraph"/>
      </w:pPr>
      <w:r>
        <w:t xml:space="preserve">Access conditions are part of the evidence map, but public disclosure can harm people and violate agreements. Confirm before saving:</w:t>
      </w:r>
    </w:p>
    <w:p>
      <w:pPr>
        <w:pStyle w:val="BodyText"/>
      </w:pPr>
      <w:r>
        <w:rPr>
          <w:b/>
          <w:bCs/>
        </w:rPr>
        <w:t xml:space="preserve">No sensitive detail exposed:</w:t>
      </w:r>
      <w:r>
        <w:t xml:space="preserve"> </w:t>
      </w:r>
      <w:r>
        <w:t xml:space="preserve">no source location, participant identity, or restricted collection detail entered an external model.</w:t>
      </w:r>
      <w:r>
        <w:br/>
      </w:r>
      <w:r>
        <w:rPr>
          <w:b/>
          <w:bCs/>
        </w:rPr>
        <w:t xml:space="preserve">Abstraction where protected:</w:t>
      </w:r>
      <w:r>
        <w:t xml:space="preserve"> </w:t>
      </w:r>
      <w:r>
        <w:t xml:space="preserve">protected operational detail appears only in abstract description.</w:t>
      </w:r>
      <w:r>
        <w:br/>
      </w:r>
      <w:r>
        <w:rPr>
          <w:b/>
          <w:bCs/>
        </w:rPr>
        <w:t xml:space="preserve">Access recorded:</w:t>
      </w:r>
      <w:r>
        <w:t xml:space="preserve"> </w:t>
      </w:r>
      <w:r>
        <w:t xml:space="preserve">each family’s access status and governing conditions are noted.</w:t>
      </w:r>
    </w:p>
    <w:bookmarkEnd w:id="61"/>
    <w:bookmarkStart w:id="62" w:name="save-the-artifact-2"/>
    <w:p>
      <w:pPr>
        <w:pStyle w:val="Heading2"/>
      </w:pPr>
      <w:r>
        <w:t xml:space="preserve">6.7 Save the Artifact</w:t>
      </w:r>
    </w:p>
    <w:p>
      <w:pPr>
        <w:pStyle w:val="FirstParagraph"/>
      </w:pPr>
      <w:r>
        <w:t xml:space="preserve">Save</w:t>
      </w:r>
      <w:r>
        <w:t xml:space="preserve"> </w:t>
      </w:r>
      <w:r>
        <w:rPr>
          <w:rStyle w:val="VerbatimChar"/>
        </w:rPr>
        <w:t xml:space="preserve">source-family-inventory-v0.1.xlsx</w:t>
      </w:r>
      <w:r>
        <w:t xml:space="preserve"> </w:t>
      </w:r>
      <w:r>
        <w:t xml:space="preserve">with one row per family and links to the concept identifiers it may serve. Required fields are family, producing institution, repository, access status, language, temporal coverage, likely dependence on other families, and known silences.</w:t>
      </w:r>
    </w:p>
    <w:bookmarkEnd w:id="62"/>
    <w:bookmarkStart w:id="63" w:name="advanced-practice-2"/>
    <w:p>
      <w:pPr>
        <w:pStyle w:val="Heading2"/>
      </w:pPr>
      <w:r>
        <w:t xml:space="preserve">6.8 Advanced Practice</w:t>
      </w:r>
    </w:p>
    <w:p>
      <w:pPr>
        <w:pStyle w:val="FirstParagraph"/>
      </w:pPr>
      <w:r>
        <w:t xml:space="preserve">Source families can change over time. A newspaper’s ownership, a ministry’s filing system, or a database’s collection vendor may shift within the study period. Treat a family as stable only after checking the institutions that produced it. Where the process changed, create separate records for each phase and mark the transition as part of the evidence.</w:t>
      </w:r>
    </w:p>
    <w:bookmarkEnd w:id="63"/>
    <w:bookmarkEnd w:id="64"/>
    <w:bookmarkStart w:id="74" w:name="stage-4-search-iteratively"/>
    <w:p>
      <w:pPr>
        <w:pStyle w:val="Heading1"/>
      </w:pPr>
      <w:r>
        <w:t xml:space="preserve">7. Stage 4: Search Iteratively</w:t>
      </w:r>
    </w:p>
    <w:bookmarkStart w:id="65" w:name="orientation-3"/>
    <w:p>
      <w:pPr>
        <w:pStyle w:val="Heading2"/>
      </w:pPr>
      <w:r>
        <w:t xml:space="preserve">7.1 Orientation</w:t>
      </w:r>
    </w:p>
    <w:p>
      <w:pPr>
        <w:pStyle w:val="FirstParagraph"/>
      </w:pPr>
      <w:r>
        <w:t xml:space="preserve">A search is not a box into which a finished question is typed. It is a sequence of encounters with the vocabulary and organization of a field. The first results teach the researcher how other actors named the subject. Those names alter the next search.</w:t>
      </w:r>
    </w:p>
    <w:bookmarkEnd w:id="65"/>
    <w:bookmarkStart w:id="67" w:name="learn-3"/>
    <w:p>
      <w:pPr>
        <w:pStyle w:val="Heading2"/>
      </w:pPr>
      <w:r>
        <w:t xml:space="preserve">7.2 Learn</w:t>
      </w:r>
    </w:p>
    <w:p>
      <w:pPr>
        <w:pStyle w:val="FirstParagraph"/>
      </w:pPr>
      <w:r>
        <w:t xml:space="preserve">Begin with a search cycle rather than a master query. A cycle has a purpose, a route, a date, a set of terms, and a result. It ends with a decision: continue, revise, follow a lead, or stop using that route.</w:t>
      </w:r>
    </w:p>
    <w:p>
      <w:pPr>
        <w:pStyle w:val="BodyText"/>
      </w:pPr>
      <w:r>
        <w:t xml:space="preserve">Search across systems because each system orders the world differently. Scholarly indexes privilege publications and citation relations. Archive catalogues describe collections through institutional finding aids. General search engines rank pages through opaque and changing systems. Library catalogues preserve controlled vocabularies. Human experts reveal sources that no public index exposes.</w:t>
      </w:r>
    </w:p>
    <w:p>
      <w:pPr>
        <w:pStyle w:val="BodyText"/>
      </w:pPr>
      <w:r>
        <w:t xml:space="preserve">Record failures. A query that returns nothing may show that the vocabulary is wrong, the source is not digitized, the archive uses another name, or the record never existed. These possibilities have different consequences. “No results” is not yet “no evidence.”</w:t>
      </w:r>
    </w:p>
    <w:p>
      <w:pPr>
        <w:pStyle w:val="BodyText"/>
      </w:pPr>
      <w:r>
        <w:t xml:space="preserve">Search reporting standards developed for systematic reviews offer a useful discipline: name the information source, preserve the search strategy, record dates, and explain how retrieved records were managed.</w:t>
      </w:r>
      <w:r>
        <w:rPr>
          <w:rStyle w:val="FootnoteReference"/>
        </w:rPr>
        <w:footnoteReference w:id="66"/>
      </w:r>
      <w:r>
        <w:t xml:space="preserve"> </w:t>
      </w:r>
      <w:r>
        <w:t xml:space="preserve">Qualitative projects can adapt this discipline without claiming that every search can be reproduced exactly.</w:t>
      </w:r>
    </w:p>
    <w:bookmarkEnd w:id="67"/>
    <w:bookmarkStart w:id="68" w:name="worked-example-3"/>
    <w:p>
      <w:pPr>
        <w:pStyle w:val="Heading2"/>
      </w:pPr>
      <w:r>
        <w:t xml:space="preserve">7.3 Worked Example</w:t>
      </w:r>
    </w:p>
    <w:p>
      <w:pPr>
        <w:pStyle w:val="FirstParagraph"/>
      </w:pPr>
      <w:r>
        <w:t xml:space="preserve">The terrorism example begins with official database documentation and the scholarship that has tested its classifications. It then moves backward toward originating sources and sideways toward competing databases, government records, and local reporting. Citation chaining identifies studies that transformed the data. Name and event searches reveal changes in terminology.</w:t>
      </w:r>
    </w:p>
    <w:p>
      <w:pPr>
        <w:pStyle w:val="BodyText"/>
      </w:pPr>
      <w:r>
        <w:t xml:space="preserve">The log distinguishes a result derived from the database from a result that independently documents the event. This prevents a chain of later publications from being mistaken for multiple sources.</w:t>
      </w:r>
    </w:p>
    <w:p>
      <w:pPr>
        <w:pStyle w:val="BodyText"/>
      </w:pPr>
      <w:r>
        <w:t xml:space="preserve">A fragment of the log shows three cycles for the database source family.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Cycle</w:t>
            </w:r>
          </w:p>
        </w:tc>
        <w:tc>
          <w:tcPr/>
          <w:p>
            <w:pPr>
              <w:pStyle w:val="Compact"/>
            </w:pPr>
            <w:r>
              <w:t xml:space="preserve">System</w:t>
            </w:r>
          </w:p>
        </w:tc>
        <w:tc>
          <w:tcPr/>
          <w:p>
            <w:pPr>
              <w:pStyle w:val="Compact"/>
            </w:pPr>
            <w:r>
              <w:t xml:space="preserve">Terms</w:t>
            </w:r>
          </w:p>
        </w:tc>
        <w:tc>
          <w:tcPr/>
          <w:p>
            <w:pPr>
              <w:pStyle w:val="Compact"/>
            </w:pPr>
            <w:r>
              <w:t xml:space="preserve">Result</w:t>
            </w:r>
          </w:p>
        </w:tc>
        <w:tc>
          <w:tcPr/>
          <w:p>
            <w:pPr>
              <w:pStyle w:val="Compact"/>
            </w:pPr>
            <w:r>
              <w:t xml:space="preserve">Decision</w:t>
            </w:r>
          </w:p>
        </w:tc>
      </w:tr>
      <w:tr>
        <w:tc>
          <w:tcPr/>
          <w:p>
            <w:pPr>
              <w:pStyle w:val="Compact"/>
            </w:pPr>
            <w:r>
              <w:t xml:space="preserve">1</w:t>
            </w:r>
          </w:p>
        </w:tc>
        <w:tc>
          <w:tcPr/>
          <w:p>
            <w:pPr>
              <w:pStyle w:val="Compact"/>
            </w:pPr>
            <w:r>
              <w:t xml:space="preserve">GTD codebook and START site</w:t>
            </w:r>
          </w:p>
        </w:tc>
        <w:tc>
          <w:tcPr/>
          <w:p>
            <w:pPr>
              <w:pStyle w:val="Compact"/>
            </w:pPr>
            <w:r>
              <w:t xml:space="preserve">inclusion criteria, domestic, transnational</w:t>
            </w:r>
          </w:p>
        </w:tc>
        <w:tc>
          <w:tcPr/>
          <w:p>
            <w:pPr>
              <w:pStyle w:val="Compact"/>
            </w:pPr>
            <w:r>
              <w:t xml:space="preserve">Definitional thresholds and collection history located</w:t>
            </w:r>
          </w:p>
        </w:tc>
        <w:tc>
          <w:tcPr/>
          <w:p>
            <w:pPr>
              <w:pStyle w:val="Compact"/>
            </w:pPr>
            <w:r>
              <w:t xml:space="preserve">Continue; extract coding rules</w:t>
            </w:r>
          </w:p>
        </w:tc>
      </w:tr>
      <w:tr>
        <w:tc>
          <w:tcPr/>
          <w:p>
            <w:pPr>
              <w:pStyle w:val="Compact"/>
            </w:pPr>
            <w:r>
              <w:t xml:space="preserve">2</w:t>
            </w:r>
          </w:p>
        </w:tc>
        <w:tc>
          <w:tcPr/>
          <w:p>
            <w:pPr>
              <w:pStyle w:val="Compact"/>
            </w:pPr>
            <w:r>
              <w:t xml:space="preserve">Scholarly index</w:t>
            </w:r>
          </w:p>
        </w:tc>
        <w:tc>
          <w:tcPr/>
          <w:p>
            <w:pPr>
              <w:pStyle w:val="Compact"/>
            </w:pPr>
            <w:r>
              <w:t xml:space="preserve">GTD, coding change, undercount</w:t>
            </w:r>
          </w:p>
        </w:tc>
        <w:tc>
          <w:tcPr/>
          <w:p>
            <w:pPr>
              <w:pStyle w:val="Compact"/>
            </w:pPr>
            <w:r>
              <w:t xml:space="preserve">Studies testing the classification retrieved</w:t>
            </w:r>
          </w:p>
        </w:tc>
        <w:tc>
          <w:tcPr/>
          <w:p>
            <w:pPr>
              <w:pStyle w:val="Compact"/>
            </w:pPr>
            <w:r>
              <w:t xml:space="preserve">Follow citations backward</w:t>
            </w:r>
          </w:p>
        </w:tc>
      </w:tr>
      <w:tr>
        <w:tc>
          <w:tcPr/>
          <w:p>
            <w:pPr>
              <w:pStyle w:val="Compact"/>
            </w:pPr>
            <w:r>
              <w:t xml:space="preserve">3</w:t>
            </w:r>
          </w:p>
        </w:tc>
        <w:tc>
          <w:tcPr/>
          <w:p>
            <w:pPr>
              <w:pStyle w:val="Compact"/>
            </w:pPr>
            <w:r>
              <w:t xml:space="preserve">News archive</w:t>
            </w:r>
          </w:p>
        </w:tc>
        <w:tc>
          <w:tcPr/>
          <w:p>
            <w:pPr>
              <w:pStyle w:val="Compact"/>
            </w:pPr>
            <w:r>
              <w:t xml:space="preserve">event name, place, date range</w:t>
            </w:r>
          </w:p>
        </w:tc>
        <w:tc>
          <w:tcPr/>
          <w:p>
            <w:pPr>
              <w:pStyle w:val="Compact"/>
            </w:pPr>
            <w:r>
              <w:t xml:space="preserve">Contemporary report of a coded event</w:t>
            </w:r>
          </w:p>
        </w:tc>
        <w:tc>
          <w:tcPr/>
          <w:p>
            <w:pPr>
              <w:pStyle w:val="Compact"/>
            </w:pPr>
            <w:r>
              <w:t xml:space="preserve">Retain as independent trace, not database-derived</w:t>
            </w:r>
          </w:p>
        </w:tc>
      </w:tr>
    </w:tbl>
    <w:p>
      <w:pPr>
        <w:pStyle w:val="BodyText"/>
      </w:pPr>
      <w:r>
        <w:t xml:space="preserve">Each row records whether a result independently documents an event or derives from the database.</w:t>
      </w:r>
    </w:p>
    <w:bookmarkEnd w:id="68"/>
    <w:bookmarkStart w:id="69" w:name="try-it-3"/>
    <w:p>
      <w:pPr>
        <w:pStyle w:val="Heading2"/>
      </w:pPr>
      <w:r>
        <w:t xml:space="preserve">7.4 Try It</w:t>
      </w:r>
    </w:p>
    <w:p>
      <w:pPr>
        <w:pStyle w:val="FirstParagraph"/>
      </w:pPr>
      <w:r>
        <w:t xml:space="preserve">Run three short cycles for one source family. The first uses the researcher’s terms. The second uses language found in the first results. The third uses the vocabulary of an actor with a different institutional position. Write a short decision note after each cycle. Each note states one of four choices, with a reason: continue, revise the terms, follow a lead, or stop using the route.</w:t>
      </w:r>
    </w:p>
    <w:bookmarkEnd w:id="69"/>
    <w:bookmarkStart w:id="70" w:name="guided-ai-workflow-3"/>
    <w:p>
      <w:pPr>
        <w:pStyle w:val="Heading2"/>
      </w:pPr>
      <w:r>
        <w:t xml:space="preserve">7.5 Guided AI Workflow</w:t>
      </w:r>
    </w:p>
    <w:p>
      <w:pPr>
        <w:pStyle w:val="FirstParagraph"/>
      </w:pPr>
      <w:r>
        <w:t xml:space="preserve">Ask a model to expand candidate terms across historical names, acronyms, translations, institutional titles, and opposing actor vocabularies. The model can expand a query set. It cannot report what an index contains unless it has inspected the current index. A usable prompt: “Expand these search terms across historical names, acronyms, translations, and opposing actors’ vocabulary. Mark any proper noun I must verify.”</w:t>
      </w:r>
    </w:p>
    <w:p>
      <w:pPr>
        <w:pStyle w:val="BodyText"/>
      </w:pPr>
      <w:r>
        <w:rPr>
          <w:b/>
          <w:bCs/>
        </w:rPr>
        <w:t xml:space="preserve">Permitted input:</w:t>
      </w:r>
      <w:r>
        <w:t xml:space="preserve"> </w:t>
      </w:r>
      <w:r>
        <w:t xml:space="preserve">Concepts, existing search terms, and source-family names, with no protected information.</w:t>
      </w:r>
      <w:r>
        <w:br/>
      </w:r>
      <w:r>
        <w:rPr>
          <w:b/>
          <w:bCs/>
        </w:rPr>
        <w:t xml:space="preserve">Do not provide:</w:t>
      </w:r>
      <w:r>
        <w:t xml:space="preserve"> </w:t>
      </w:r>
      <w:r>
        <w:t xml:space="preserve">Restricted archival detail, participant identities, or partner-owned data.</w:t>
      </w:r>
      <w:r>
        <w:br/>
      </w:r>
      <w:r>
        <w:rPr>
          <w:b/>
          <w:bCs/>
        </w:rPr>
        <w:t xml:space="preserve">Verify:</w:t>
      </w:r>
      <w:r>
        <w:t xml:space="preserve"> </w:t>
      </w:r>
      <w:r>
        <w:t xml:space="preserve">Confirm every proposed proper noun before use, and test each term in an appropriate system.</w:t>
      </w:r>
      <w:r>
        <w:br/>
      </w:r>
      <w:r>
        <w:rPr>
          <w:b/>
          <w:bCs/>
        </w:rPr>
        <w:t xml:space="preserve">Record:</w:t>
      </w:r>
      <w:r>
        <w:t xml:space="preserve"> </w:t>
      </w:r>
      <w:r>
        <w:t xml:space="preserve">Log terms that entered or left the query set, the query effect, and the model and date.</w:t>
      </w:r>
    </w:p>
    <w:bookmarkEnd w:id="70"/>
    <w:bookmarkStart w:id="71" w:name="integrity-checkpoint-3"/>
    <w:p>
      <w:pPr>
        <w:pStyle w:val="Heading2"/>
      </w:pPr>
      <w:r>
        <w:t xml:space="preserve">7.6 Integrity Checkpoint</w:t>
      </w:r>
    </w:p>
    <w:p>
      <w:pPr>
        <w:pStyle w:val="FirstParagraph"/>
      </w:pPr>
      <w:r>
        <w:t xml:space="preserve">Searches may reveal personal data, allegations, and material obtained outside its intended context. Discovery does not establish ethical permission to collect, analyze, or publish. Confirm before saving:</w:t>
      </w:r>
    </w:p>
    <w:p>
      <w:pPr>
        <w:pStyle w:val="BodyText"/>
      </w:pPr>
      <w:r>
        <w:rPr>
          <w:b/>
          <w:bCs/>
        </w:rPr>
        <w:t xml:space="preserve">Permission separate from discovery:</w:t>
      </w:r>
      <w:r>
        <w:t xml:space="preserve"> </w:t>
      </w:r>
      <w:r>
        <w:t xml:space="preserve">finding material is not treated as permission to collect or publish it.</w:t>
      </w:r>
      <w:r>
        <w:br/>
      </w:r>
      <w:r>
        <w:rPr>
          <w:b/>
          <w:bCs/>
        </w:rPr>
        <w:t xml:space="preserve">Restrictions recorded at discovery:</w:t>
      </w:r>
      <w:r>
        <w:t xml:space="preserve"> </w:t>
      </w:r>
      <w:r>
        <w:t xml:space="preserve">any access or use restriction is noted at the moment the record is found.</w:t>
      </w:r>
      <w:r>
        <w:br/>
      </w:r>
      <w:r>
        <w:rPr>
          <w:b/>
          <w:bCs/>
        </w:rPr>
        <w:t xml:space="preserve">Sensitive material quarantined:</w:t>
      </w:r>
      <w:r>
        <w:t xml:space="preserve"> </w:t>
      </w:r>
      <w:r>
        <w:t xml:space="preserve">personal data or allegations found in passing are set aside, not folded into the corpus without review.</w:t>
      </w:r>
    </w:p>
    <w:bookmarkEnd w:id="71"/>
    <w:bookmarkStart w:id="72" w:name="save-the-artifact-3"/>
    <w:p>
      <w:pPr>
        <w:pStyle w:val="Heading2"/>
      </w:pPr>
      <w:r>
        <w:t xml:space="preserve">7.7 Save the Artifact</w:t>
      </w:r>
    </w:p>
    <w:p>
      <w:pPr>
        <w:pStyle w:val="FirstParagraph"/>
      </w:pPr>
      <w:r>
        <w:t xml:space="preserve">Save</w:t>
      </w:r>
      <w:r>
        <w:t xml:space="preserve"> </w:t>
      </w:r>
      <w:r>
        <w:rPr>
          <w:rStyle w:val="VerbatimChar"/>
        </w:rPr>
        <w:t xml:space="preserve">search-ai-audit-log-v0.1.xlsx</w:t>
      </w:r>
      <w:r>
        <w:t xml:space="preserve">. Required fields for each cycle are date, system, purpose, exact terms, filters, result count when meaningful, records retained, new vocabulary, and next decision. Preserve exports when licensing permits.</w:t>
      </w:r>
    </w:p>
    <w:bookmarkEnd w:id="72"/>
    <w:bookmarkStart w:id="73" w:name="advanced-practice-3"/>
    <w:p>
      <w:pPr>
        <w:pStyle w:val="Heading2"/>
      </w:pPr>
      <w:r>
        <w:t xml:space="preserve">7.8 Advanced Practice</w:t>
      </w:r>
    </w:p>
    <w:p>
      <w:pPr>
        <w:pStyle w:val="FirstParagraph"/>
      </w:pPr>
      <w:r>
        <w:t xml:space="preserve">Search ranking changes. Personalized systems may return different results to different users. Researchers working in teams should compare selected queries across accounts, locations, languages, and systems when ranking itself could shape the corpus.</w:t>
      </w:r>
    </w:p>
    <w:bookmarkEnd w:id="73"/>
    <w:bookmarkEnd w:id="74"/>
    <w:bookmarkStart w:id="85" w:name="stage-5-evaluate-evidence"/>
    <w:p>
      <w:pPr>
        <w:pStyle w:val="Heading1"/>
      </w:pPr>
      <w:r>
        <w:t xml:space="preserve">8. Stage 5: Evaluate Evidence</w:t>
      </w:r>
    </w:p>
    <w:bookmarkStart w:id="75" w:name="orientation-4"/>
    <w:p>
      <w:pPr>
        <w:pStyle w:val="Heading2"/>
      </w:pPr>
      <w:r>
        <w:t xml:space="preserve">8.1 Orientation</w:t>
      </w:r>
    </w:p>
    <w:p>
      <w:pPr>
        <w:pStyle w:val="FirstParagraph"/>
      </w:pPr>
      <w:r>
        <w:t xml:space="preserve">Collection answers “What did we find?” Evaluation asks “What can this record support?” The two questions should not collapse into one. A source can be relevant and unreliable for a specific claim. It can be accurate and still unrepresentative. It can be biased and indispensable.</w:t>
      </w:r>
    </w:p>
    <w:bookmarkEnd w:id="75"/>
    <w:bookmarkStart w:id="76" w:name="learn-4"/>
    <w:p>
      <w:pPr>
        <w:pStyle w:val="Heading2"/>
      </w:pPr>
      <w:r>
        <w:t xml:space="preserve">8.2 Learn</w:t>
      </w:r>
    </w:p>
    <w:p>
      <w:pPr>
        <w:pStyle w:val="FirstParagraph"/>
      </w:pPr>
      <w:r>
        <w:t xml:space="preserve">Evaluate the record in relation to a claim. Authority alone is insufficient. A ministry may be authoritative about its own procedure and self-interested about its success. A participant may recall experience with precision and reconstruct chronology poorly. A database may standardize variables carefully while inheriting uneven news coverage.</w:t>
      </w:r>
    </w:p>
    <w:p>
      <w:pPr>
        <w:pStyle w:val="BodyText"/>
      </w:pPr>
      <w:r>
        <w:t xml:space="preserve">Seven judgments belong in the evidence register. Relevance connects the source to a dimension of the question. Proximity describes its relation to the event or process. Provenance records who created and transformed it. Authority concerns competence and institutional position. Dependence identifies shared underlying sources. Representation asks whose experience enters the record. Preservation risk concerns whether the record can be checked later.</w:t>
      </w:r>
    </w:p>
    <w:p>
      <w:pPr>
        <w:pStyle w:val="BodyText"/>
      </w:pPr>
      <w:r>
        <w:t xml:space="preserve">These judgments should remain separate. Combining them into one quality score hides the reason a source matters.</w:t>
      </w:r>
    </w:p>
    <w:bookmarkEnd w:id="76"/>
    <w:bookmarkStart w:id="79" w:name="worked-example-4"/>
    <w:p>
      <w:pPr>
        <w:pStyle w:val="Heading2"/>
      </w:pPr>
      <w:r>
        <w:t xml:space="preserve">8.3 Worked Example</w:t>
      </w:r>
    </w:p>
    <w:p>
      <w:pPr>
        <w:pStyle w:val="FirstParagraph"/>
      </w:pPr>
      <w:r>
        <w:t xml:space="preserve">The Global Terrorism Database documents its methodology, inclusion criteria, and variables.</w:t>
      </w:r>
      <w:r>
        <w:rPr>
          <w:rStyle w:val="FootnoteReference"/>
        </w:rPr>
        <w:footnoteReference w:id="77"/>
      </w:r>
      <w:r>
        <w:t xml:space="preserve"> </w:t>
      </w:r>
      <w:r>
        <w:t xml:space="preserve">That documentation makes evaluation possible. It does not make each observation equally certain. Event records depend on available sources, definitions, collection periods, and coding judgments.</w:t>
      </w:r>
    </w:p>
    <w:p>
      <w:pPr>
        <w:pStyle w:val="BodyText"/>
      </w:pPr>
      <w:r>
        <w:t xml:space="preserve">Research that separates domestic and transnational incidents shows how analytical purpose can require transforming a published event universe.</w:t>
      </w:r>
      <w:r>
        <w:rPr>
          <w:rStyle w:val="FootnoteReference"/>
        </w:rPr>
        <w:footnoteReference w:id="78"/>
      </w:r>
      <w:r>
        <w:t xml:space="preserve"> </w:t>
      </w:r>
      <w:r>
        <w:t xml:space="preserve">The transformed data may answer a new question. The transformation must remain visible.</w:t>
      </w:r>
    </w:p>
    <w:p>
      <w:pPr>
        <w:pStyle w:val="BodyText"/>
      </w:pPr>
      <w:r>
        <w:t xml:space="preserve">One evidence-register entry for a single GTD event record shows the seven judgments.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Judgment</w:t>
            </w:r>
          </w:p>
        </w:tc>
        <w:tc>
          <w:tcPr/>
          <w:p>
            <w:pPr>
              <w:pStyle w:val="Compact"/>
            </w:pPr>
            <w:r>
              <w:t xml:space="preserve">Assessment for one GTD event record</w:t>
            </w:r>
          </w:p>
        </w:tc>
      </w:tr>
      <w:tr>
        <w:tc>
          <w:tcPr/>
          <w:p>
            <w:pPr>
              <w:pStyle w:val="Compact"/>
            </w:pPr>
            <w:r>
              <w:t xml:space="preserve">Relevance</w:t>
            </w:r>
          </w:p>
        </w:tc>
        <w:tc>
          <w:tcPr/>
          <w:p>
            <w:pPr>
              <w:pStyle w:val="Compact"/>
            </w:pPr>
            <w:r>
              <w:t xml:space="preserve">Bears on the divergent-accounts dimension: shows how one event is coded</w:t>
            </w:r>
          </w:p>
        </w:tc>
      </w:tr>
      <w:tr>
        <w:tc>
          <w:tcPr/>
          <w:p>
            <w:pPr>
              <w:pStyle w:val="Compact"/>
            </w:pPr>
            <w:r>
              <w:t xml:space="preserve">Proximity</w:t>
            </w:r>
          </w:p>
        </w:tc>
        <w:tc>
          <w:tcPr/>
          <w:p>
            <w:pPr>
              <w:pStyle w:val="Compact"/>
            </w:pPr>
            <w:r>
              <w:t xml:space="preserve">Retrospective; coded from published reports, not observed directly</w:t>
            </w:r>
          </w:p>
        </w:tc>
      </w:tr>
      <w:tr>
        <w:tc>
          <w:tcPr/>
          <w:p>
            <w:pPr>
              <w:pStyle w:val="Compact"/>
            </w:pPr>
            <w:r>
              <w:t xml:space="preserve">Provenance</w:t>
            </w:r>
          </w:p>
        </w:tc>
        <w:tc>
          <w:tcPr/>
          <w:p>
            <w:pPr>
              <w:pStyle w:val="Compact"/>
            </w:pPr>
            <w:r>
              <w:t xml:space="preserve">Created by GTD coders from news sources; transformed through the codebook</w:t>
            </w:r>
          </w:p>
        </w:tc>
      </w:tr>
      <w:tr>
        <w:tc>
          <w:tcPr/>
          <w:p>
            <w:pPr>
              <w:pStyle w:val="Compact"/>
            </w:pPr>
            <w:r>
              <w:t xml:space="preserve">Authority</w:t>
            </w:r>
          </w:p>
        </w:tc>
        <w:tc>
          <w:tcPr/>
          <w:p>
            <w:pPr>
              <w:pStyle w:val="Compact"/>
            </w:pPr>
            <w:r>
              <w:t xml:space="preserve">Authoritative on GTD coding rules, not on the ground truth of the event</w:t>
            </w:r>
          </w:p>
        </w:tc>
      </w:tr>
      <w:tr>
        <w:tc>
          <w:tcPr/>
          <w:p>
            <w:pPr>
              <w:pStyle w:val="Compact"/>
            </w:pPr>
            <w:r>
              <w:t xml:space="preserve">Dependence</w:t>
            </w:r>
          </w:p>
        </w:tc>
        <w:tc>
          <w:tcPr/>
          <w:p>
            <w:pPr>
              <w:pStyle w:val="Compact"/>
            </w:pPr>
            <w:r>
              <w:t xml:space="preserve">May share an originating wire report with database and news entries</w:t>
            </w:r>
          </w:p>
        </w:tc>
      </w:tr>
      <w:tr>
        <w:tc>
          <w:tcPr/>
          <w:p>
            <w:pPr>
              <w:pStyle w:val="Compact"/>
            </w:pPr>
            <w:r>
              <w:t xml:space="preserve">Representation</w:t>
            </w:r>
          </w:p>
        </w:tc>
        <w:tc>
          <w:tcPr/>
          <w:p>
            <w:pPr>
              <w:pStyle w:val="Compact"/>
            </w:pPr>
            <w:r>
              <w:t xml:space="preserve">Reflects events that reached English-language reporting; local silences likely</w:t>
            </w:r>
          </w:p>
        </w:tc>
      </w:tr>
      <w:tr>
        <w:tc>
          <w:tcPr/>
          <w:p>
            <w:pPr>
              <w:pStyle w:val="Compact"/>
            </w:pPr>
            <w:r>
              <w:t xml:space="preserve">Preservation risk</w:t>
            </w:r>
          </w:p>
        </w:tc>
        <w:tc>
          <w:tcPr/>
          <w:p>
            <w:pPr>
              <w:pStyle w:val="Compact"/>
            </w:pPr>
            <w:r>
              <w:t xml:space="preserve">Stable while START hosts the release; version and access date recorded</w:t>
            </w:r>
          </w:p>
        </w:tc>
      </w:tr>
    </w:tbl>
    <w:p>
      <w:pPr>
        <w:pStyle w:val="BodyText"/>
      </w:pPr>
      <w:r>
        <w:t xml:space="preserve">The entry keeps the judgments separate rather than collapsing them into one score.</w:t>
      </w:r>
    </w:p>
    <w:bookmarkEnd w:id="79"/>
    <w:bookmarkStart w:id="80" w:name="try-it-4"/>
    <w:p>
      <w:pPr>
        <w:pStyle w:val="Heading2"/>
      </w:pPr>
      <w:r>
        <w:t xml:space="preserve">8.4 Try It</w:t>
      </w:r>
    </w:p>
    <w:p>
      <w:pPr>
        <w:pStyle w:val="FirstParagraph"/>
      </w:pPr>
      <w:r>
        <w:t xml:space="preserve">Select one source that appears strong and one that appears weak. Write what each can establish, what it cannot establish, and which other source family could test it. Then identify whether the two sources depend on the same originating report.</w:t>
      </w:r>
    </w:p>
    <w:bookmarkEnd w:id="80"/>
    <w:bookmarkStart w:id="81" w:name="guided-ai-workflow-4"/>
    <w:p>
      <w:pPr>
        <w:pStyle w:val="Heading2"/>
      </w:pPr>
      <w:r>
        <w:t xml:space="preserve">8.5 Guided AI Workflow</w:t>
      </w:r>
    </w:p>
    <w:p>
      <w:pPr>
        <w:pStyle w:val="FirstParagraph"/>
      </w:pPr>
      <w:r>
        <w:t xml:space="preserve">Provide a source description and the intended claim, not confidential full text. Ask the model for questions about provenance, dependence, missing actors, and temporal distance. Treat the output as an evaluation checklist. Do not ask for a verdict on credibility. A usable prompt: “Given this source description and the claim I want to make, list questions about provenance, dependence, missing actors, and temporal distance. Do not judge credibility.”</w:t>
      </w:r>
    </w:p>
    <w:p>
      <w:pPr>
        <w:pStyle w:val="BodyText"/>
      </w:pPr>
      <w:r>
        <w:rPr>
          <w:b/>
          <w:bCs/>
        </w:rPr>
        <w:t xml:space="preserve">Permitted input:</w:t>
      </w:r>
      <w:r>
        <w:t xml:space="preserve"> </w:t>
      </w:r>
      <w:r>
        <w:t xml:space="preserve">A source description and the intended claim, with no confidential full text or participant identities.</w:t>
      </w:r>
      <w:r>
        <w:br/>
      </w:r>
      <w:r>
        <w:rPr>
          <w:b/>
          <w:bCs/>
        </w:rPr>
        <w:t xml:space="preserve">Do not provide:</w:t>
      </w:r>
      <w:r>
        <w:t xml:space="preserve"> </w:t>
      </w:r>
      <w:r>
        <w:t xml:space="preserve">Restricted full text, participant-identifying material, or protected collection details.</w:t>
      </w:r>
      <w:r>
        <w:br/>
      </w:r>
      <w:r>
        <w:rPr>
          <w:b/>
          <w:bCs/>
        </w:rPr>
        <w:t xml:space="preserve">Verify:</w:t>
      </w:r>
      <w:r>
        <w:t xml:space="preserve"> </w:t>
      </w:r>
      <w:r>
        <w:t xml:space="preserve">Answer each question against the source itself and the source-family inventory. The model raises questions; it does not rate credibility.</w:t>
      </w:r>
      <w:r>
        <w:br/>
      </w:r>
      <w:r>
        <w:rPr>
          <w:b/>
          <w:bCs/>
        </w:rPr>
        <w:t xml:space="preserve">Record:</w:t>
      </w:r>
      <w:r>
        <w:t xml:space="preserve"> </w:t>
      </w:r>
      <w:r>
        <w:t xml:space="preserve">Log which questions changed the evaluation, and the model and date.</w:t>
      </w:r>
    </w:p>
    <w:bookmarkEnd w:id="81"/>
    <w:bookmarkStart w:id="82" w:name="integrity-checkpoint-4"/>
    <w:p>
      <w:pPr>
        <w:pStyle w:val="Heading2"/>
      </w:pPr>
      <w:r>
        <w:t xml:space="preserve">8.6 Integrity Checkpoint</w:t>
      </w:r>
    </w:p>
    <w:p>
      <w:pPr>
        <w:pStyle w:val="FirstParagraph"/>
      </w:pPr>
      <w:r>
        <w:t xml:space="preserve">Evaluation can reproduce status hierarchies. Official sources should not receive an automatic presumption of truth, and participant testimony should not be romanticized as unmediated access. Confirm before saving:</w:t>
      </w:r>
    </w:p>
    <w:p>
      <w:pPr>
        <w:pStyle w:val="BodyText"/>
      </w:pPr>
      <w:r>
        <w:rPr>
          <w:b/>
          <w:bCs/>
        </w:rPr>
        <w:t xml:space="preserve">No automatic authority:</w:t>
      </w:r>
      <w:r>
        <w:t xml:space="preserve"> </w:t>
      </w:r>
      <w:r>
        <w:t xml:space="preserve">no source is trusted by rank alone; each is tied to a claim.</w:t>
      </w:r>
      <w:r>
        <w:br/>
      </w:r>
      <w:r>
        <w:rPr>
          <w:b/>
          <w:bCs/>
        </w:rPr>
        <w:t xml:space="preserve">Position stated:</w:t>
      </w:r>
      <w:r>
        <w:t xml:space="preserve"> </w:t>
      </w:r>
      <w:r>
        <w:t xml:space="preserve">the source’s institutional position is recorded beside the use made of it.</w:t>
      </w:r>
      <w:r>
        <w:br/>
      </w:r>
      <w:r>
        <w:rPr>
          <w:b/>
          <w:bCs/>
        </w:rPr>
        <w:t xml:space="preserve">Judgments kept separate:</w:t>
      </w:r>
      <w:r>
        <w:t xml:space="preserve"> </w:t>
      </w:r>
      <w:r>
        <w:t xml:space="preserve">the seven judgments are not collapsed into a single quality score.</w:t>
      </w:r>
    </w:p>
    <w:bookmarkEnd w:id="82"/>
    <w:bookmarkStart w:id="83" w:name="save-the-artifact-4"/>
    <w:p>
      <w:pPr>
        <w:pStyle w:val="Heading2"/>
      </w:pPr>
      <w:r>
        <w:t xml:space="preserve">8.7 Save the Artifact</w:t>
      </w:r>
    </w:p>
    <w:p>
      <w:pPr>
        <w:pStyle w:val="FirstParagraph"/>
      </w:pPr>
      <w:r>
        <w:t xml:space="preserve">Save</w:t>
      </w:r>
      <w:r>
        <w:t xml:space="preserve"> </w:t>
      </w:r>
      <w:r>
        <w:rPr>
          <w:rStyle w:val="VerbatimChar"/>
        </w:rPr>
        <w:t xml:space="preserve">evidence-register-v0.1.xlsx</w:t>
      </w:r>
      <w:r>
        <w:t xml:space="preserve"> </w:t>
      </w:r>
      <w:r>
        <w:t xml:space="preserve">with one entry per record or coherent collection. Required fields are the seven judgments (relevance, proximity, provenance, authority, dependence, representation, preservation risk), plus links to the source-family inventory, the search cycle, the relevant concept, and any restriction on use.</w:t>
      </w:r>
    </w:p>
    <w:bookmarkEnd w:id="83"/>
    <w:bookmarkStart w:id="84" w:name="advanced-practice-4"/>
    <w:p>
      <w:pPr>
        <w:pStyle w:val="Heading2"/>
      </w:pPr>
      <w:r>
        <w:t xml:space="preserve">8.8 Advanced Practice</w:t>
      </w:r>
    </w:p>
    <w:p>
      <w:pPr>
        <w:pStyle w:val="FirstParagraph"/>
      </w:pPr>
      <w:r>
        <w:t xml:space="preserve">Teams should calibrate judgments through difficult examples rather than pursue artificial agreement on every record. Preserve reasoned disagreement when it affects interpretation. Consensus can erase uncertainty that belongs in the final analysis.</w:t>
      </w:r>
    </w:p>
    <w:bookmarkEnd w:id="84"/>
    <w:bookmarkEnd w:id="85"/>
    <w:bookmarkStart w:id="99" w:name="stage-6-test-coverage"/>
    <w:p>
      <w:pPr>
        <w:pStyle w:val="Heading1"/>
      </w:pPr>
      <w:r>
        <w:t xml:space="preserve">9. Stage 6: Test Coverage</w:t>
      </w:r>
    </w:p>
    <w:bookmarkStart w:id="86" w:name="orientation-5"/>
    <w:p>
      <w:pPr>
        <w:pStyle w:val="Heading2"/>
      </w:pPr>
      <w:r>
        <w:t xml:space="preserve">9.1 Orientation</w:t>
      </w:r>
    </w:p>
    <w:p>
      <w:pPr>
        <w:pStyle w:val="FirstParagraph"/>
      </w:pPr>
      <w:r>
        <w:t xml:space="preserve">Researchers stop collecting for many reasons. A deadline arrives. Access closes. New searches repeat old results. The corpus seems sufficient. These reasons should not be disguised as one claim that the evidence is complete.</w:t>
      </w:r>
    </w:p>
    <w:bookmarkEnd w:id="86"/>
    <w:bookmarkStart w:id="92" w:name="learn-5"/>
    <w:p>
      <w:pPr>
        <w:pStyle w:val="Heading2"/>
      </w:pPr>
      <w:r>
        <w:t xml:space="preserve">9.2 Learn</w:t>
      </w:r>
    </w:p>
    <w:p>
      <w:pPr>
        <w:pStyle w:val="FirstParagraph"/>
      </w:pPr>
      <w:r>
        <w:t xml:space="preserve">Coverage testing compares the developing corpus with the dimensions and source families on the map. Look for empty cells, thin cells, dependent cells, contradictory cells, and cells filled by one institutional perspective. A large number of records can conceal weak coverage when they repeat one source stream.</w:t>
      </w:r>
    </w:p>
    <w:p>
      <w:pPr>
        <w:pStyle w:val="BodyText"/>
      </w:pPr>
      <w:r>
        <w:t xml:space="preserve">The language of saturation has several meanings and does not fit every qualitative tradition.</w:t>
      </w:r>
      <w:r>
        <w:rPr>
          <w:rStyle w:val="FootnoteReference"/>
        </w:rPr>
        <w:footnoteReference w:id="87"/>
      </w:r>
      <w:r>
        <w:t xml:space="preserve"> </w:t>
      </w:r>
      <w:r>
        <w:t xml:space="preserve">Information power offers another way to reason about adequacy: a focused aim, specific material, strong dialogue with the evidence, theoretical support, and an intensive analytic strategy can reduce the amount required.</w:t>
      </w:r>
      <w:r>
        <w:rPr>
          <w:rStyle w:val="FootnoteReference"/>
        </w:rPr>
        <w:footnoteReference w:id="90"/>
      </w:r>
      <w:r>
        <w:t xml:space="preserve"> </w:t>
      </w:r>
      <w:r>
        <w:t xml:space="preserve">These ideas concern sampling and analysis. An evidence map adapts them cautiously to documentary collection.</w:t>
      </w:r>
    </w:p>
    <w:p>
      <w:pPr>
        <w:pStyle w:val="BodyText"/>
      </w:pPr>
      <w:r>
        <w:t xml:space="preserve">Track information yield. A search cycle has high yield when it adds a new source family, changes a definition, reveals a rival explanation, fills an important gap, or alters the interpretation of existing evidence. Yield declines when new records repeat known information from the same underlying sources.</w:t>
      </w:r>
    </w:p>
    <w:bookmarkEnd w:id="92"/>
    <w:bookmarkStart w:id="93" w:name="worked-example-5"/>
    <w:p>
      <w:pPr>
        <w:pStyle w:val="Heading2"/>
      </w:pPr>
      <w:r>
        <w:t xml:space="preserve">9.3 Worked Example</w:t>
      </w:r>
    </w:p>
    <w:p>
      <w:pPr>
        <w:pStyle w:val="FirstParagraph"/>
      </w:pPr>
      <w:r>
        <w:t xml:space="preserve">A terrorism corpus may contain thousands of event records while remaining thin on coding changes, local reporting gaps, or the institutional reasons that one event entered the database and another did not. Coverage testing shifts attention from event totals to the process that produced them.</w:t>
      </w:r>
    </w:p>
    <w:p>
      <w:pPr>
        <w:pStyle w:val="BodyText"/>
      </w:pPr>
      <w:r>
        <w:t xml:space="preserve">A fragment of the coverage matrix marks dimensions against source families.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 (row) / family (column)</w:t>
            </w:r>
          </w:p>
        </w:tc>
        <w:tc>
          <w:tcPr/>
          <w:p>
            <w:pPr>
              <w:pStyle w:val="Compact"/>
            </w:pPr>
            <w:r>
              <w:t xml:space="preserve">Scholarly database</w:t>
            </w:r>
          </w:p>
        </w:tc>
        <w:tc>
          <w:tcPr/>
          <w:p>
            <w:pPr>
              <w:pStyle w:val="Compact"/>
            </w:pPr>
            <w:r>
              <w:t xml:space="preserve">Local reporting</w:t>
            </w:r>
          </w:p>
        </w:tc>
        <w:tc>
          <w:tcPr/>
          <w:p>
            <w:pPr>
              <w:pStyle w:val="Compact"/>
            </w:pPr>
            <w:r>
              <w:t xml:space="preserve">Government records</w:t>
            </w:r>
          </w:p>
        </w:tc>
      </w:tr>
      <w:tr>
        <w:tc>
          <w:tcPr/>
          <w:p>
            <w:pPr>
              <w:pStyle w:val="Compact"/>
            </w:pPr>
            <w:r>
              <w:t xml:space="preserve">Event counts</w:t>
            </w:r>
          </w:p>
        </w:tc>
        <w:tc>
          <w:tcPr/>
          <w:p>
            <w:pPr>
              <w:pStyle w:val="Compact"/>
            </w:pPr>
            <w:r>
              <w:t xml:space="preserve">Adequate</w:t>
            </w:r>
          </w:p>
        </w:tc>
        <w:tc>
          <w:tcPr/>
          <w:p>
            <w:pPr>
              <w:pStyle w:val="Compact"/>
            </w:pPr>
            <w:r>
              <w:t xml:space="preserve">Thin</w:t>
            </w:r>
          </w:p>
        </w:tc>
        <w:tc>
          <w:tcPr/>
          <w:p>
            <w:pPr>
              <w:pStyle w:val="Compact"/>
            </w:pPr>
            <w:r>
              <w:t xml:space="preserve">Dependent on database</w:t>
            </w:r>
          </w:p>
        </w:tc>
      </w:tr>
      <w:tr>
        <w:tc>
          <w:tcPr/>
          <w:p>
            <w:pPr>
              <w:pStyle w:val="Compact"/>
            </w:pPr>
            <w:r>
              <w:t xml:space="preserve">Coding changes</w:t>
            </w:r>
          </w:p>
        </w:tc>
        <w:tc>
          <w:tcPr/>
          <w:p>
            <w:pPr>
              <w:pStyle w:val="Compact"/>
            </w:pPr>
            <w:r>
              <w:t xml:space="preserve">Thin</w:t>
            </w:r>
          </w:p>
        </w:tc>
        <w:tc>
          <w:tcPr/>
          <w:p>
            <w:pPr>
              <w:pStyle w:val="Compact"/>
            </w:pPr>
            <w:r>
              <w:t xml:space="preserve">Empty</w:t>
            </w:r>
          </w:p>
        </w:tc>
        <w:tc>
          <w:tcPr/>
          <w:p>
            <w:pPr>
              <w:pStyle w:val="Compact"/>
            </w:pPr>
            <w:r>
              <w:t xml:space="preserve">Empty</w:t>
            </w:r>
          </w:p>
        </w:tc>
      </w:tr>
      <w:tr>
        <w:tc>
          <w:tcPr/>
          <w:p>
            <w:pPr>
              <w:pStyle w:val="Compact"/>
            </w:pPr>
            <w:r>
              <w:t xml:space="preserve">Local meaning</w:t>
            </w:r>
          </w:p>
        </w:tc>
        <w:tc>
          <w:tcPr/>
          <w:p>
            <w:pPr>
              <w:pStyle w:val="Compact"/>
            </w:pPr>
            <w:r>
              <w:t xml:space="preserve">Empty</w:t>
            </w:r>
          </w:p>
        </w:tc>
        <w:tc>
          <w:tcPr/>
          <w:p>
            <w:pPr>
              <w:pStyle w:val="Compact"/>
            </w:pPr>
            <w:r>
              <w:t xml:space="preserve">Thin</w:t>
            </w:r>
          </w:p>
        </w:tc>
        <w:tc>
          <w:tcPr/>
          <w:p>
            <w:pPr>
              <w:pStyle w:val="Compact"/>
            </w:pPr>
            <w:r>
              <w:t xml:space="preserve">Contradictory</w:t>
            </w:r>
          </w:p>
        </w:tc>
      </w:tr>
    </w:tbl>
    <w:p>
      <w:pPr>
        <w:pStyle w:val="BodyText"/>
      </w:pPr>
      <w:r>
        <w:t xml:space="preserve">Thousands of records can leave whole rows empty. A dependent cell repeats a source already counted elsewhere.</w:t>
      </w:r>
    </w:p>
    <w:bookmarkEnd w:id="93"/>
    <w:bookmarkStart w:id="94" w:name="try-it-5"/>
    <w:p>
      <w:pPr>
        <w:pStyle w:val="Heading2"/>
      </w:pPr>
      <w:r>
        <w:t xml:space="preserve">9.4 Try It</w:t>
      </w:r>
    </w:p>
    <w:p>
      <w:pPr>
        <w:pStyle w:val="FirstParagraph"/>
      </w:pPr>
      <w:r>
        <w:t xml:space="preserve">Mark each evidence-map cell as empty, thin, adequate for the present claim, contradictory, or inaccessible. Write one sentence defending every “adequate” judgment. Then rank the unresolved cells by their likely effect on the argument.</w:t>
      </w:r>
    </w:p>
    <w:bookmarkEnd w:id="94"/>
    <w:bookmarkStart w:id="95" w:name="guided-ai-workflow-5"/>
    <w:p>
      <w:pPr>
        <w:pStyle w:val="Heading2"/>
      </w:pPr>
      <w:r>
        <w:t xml:space="preserve">9.5 Guided AI Workflow</w:t>
      </w:r>
    </w:p>
    <w:p>
      <w:pPr>
        <w:pStyle w:val="FirstParagraph"/>
      </w:pPr>
      <w:r>
        <w:t xml:space="preserve">Provide a redacted summary of the map. Ask the model to identify repeated dependence, absent actor perspectives, unsupported comparisons, and claims resting on one source family. A usable prompt: “From this summary of an evidence map, identify repeated dependence, absent perspectives, and claims resting on a single source family.”</w:t>
      </w:r>
    </w:p>
    <w:p>
      <w:pPr>
        <w:pStyle w:val="BodyText"/>
      </w:pPr>
      <w:r>
        <w:rPr>
          <w:b/>
          <w:bCs/>
        </w:rPr>
        <w:t xml:space="preserve">Permitted input:</w:t>
      </w:r>
      <w:r>
        <w:t xml:space="preserve"> </w:t>
      </w:r>
      <w:r>
        <w:t xml:space="preserve">A redacted summary of the map, with no participant identities or protected locations.</w:t>
      </w:r>
      <w:r>
        <w:br/>
      </w:r>
      <w:r>
        <w:rPr>
          <w:b/>
          <w:bCs/>
        </w:rPr>
        <w:t xml:space="preserve">Do not provide:</w:t>
      </w:r>
      <w:r>
        <w:t xml:space="preserve"> </w:t>
      </w:r>
      <w:r>
        <w:t xml:space="preserve">The evidence itself, restricted records, or protected collection detail.</w:t>
      </w:r>
      <w:r>
        <w:br/>
      </w:r>
      <w:r>
        <w:rPr>
          <w:b/>
          <w:bCs/>
        </w:rPr>
        <w:t xml:space="preserve">Verify:</w:t>
      </w:r>
      <w:r>
        <w:t xml:space="preserve"> </w:t>
      </w:r>
      <w:r>
        <w:t xml:space="preserve">Check each observation against the actual register. A model with web or retrieval access may consult sources you cannot see; treat its inputs as unverified.</w:t>
      </w:r>
      <w:r>
        <w:br/>
      </w:r>
      <w:r>
        <w:rPr>
          <w:b/>
          <w:bCs/>
        </w:rPr>
        <w:t xml:space="preserve">Record:</w:t>
      </w:r>
      <w:r>
        <w:t xml:space="preserve"> </w:t>
      </w:r>
      <w:r>
        <w:t xml:space="preserve">Log which observations changed the gap analysis, and the model and date.</w:t>
      </w:r>
    </w:p>
    <w:p>
      <w:pPr>
        <w:pStyle w:val="BodyText"/>
      </w:pPr>
      <w:r>
        <w:t xml:space="preserve">The model sees the summary supplied to it, not the evidence, unless the tool has retrieval access. When the map cannot be summarized without exposing protected material, run this stage without the model.</w:t>
      </w:r>
    </w:p>
    <w:bookmarkEnd w:id="95"/>
    <w:bookmarkStart w:id="96" w:name="integrity-checkpoint-5"/>
    <w:p>
      <w:pPr>
        <w:pStyle w:val="Heading2"/>
      </w:pPr>
      <w:r>
        <w:t xml:space="preserve">9.6 Integrity Checkpoint</w:t>
      </w:r>
    </w:p>
    <w:p>
      <w:pPr>
        <w:pStyle w:val="FirstParagraph"/>
      </w:pPr>
      <w:r>
        <w:t xml:space="preserve">Some gaps should remain. Ethical restrictions, participant safety, legal obligations, and community agreements can make collection improper. Confirm before saving:</w:t>
      </w:r>
    </w:p>
    <w:p>
      <w:pPr>
        <w:pStyle w:val="BodyText"/>
      </w:pPr>
      <w:r>
        <w:rPr>
          <w:b/>
          <w:bCs/>
        </w:rPr>
        <w:t xml:space="preserve">Protected gaps marked:</w:t>
      </w:r>
      <w:r>
        <w:t xml:space="preserve"> </w:t>
      </w:r>
      <w:r>
        <w:t xml:space="preserve">gaps that ethics or agreements require are recorded as protected, not as failures.</w:t>
      </w:r>
      <w:r>
        <w:br/>
      </w:r>
      <w:r>
        <w:rPr>
          <w:b/>
          <w:bCs/>
        </w:rPr>
        <w:t xml:space="preserve">Overlooked gaps separated:</w:t>
      </w:r>
      <w:r>
        <w:t xml:space="preserve"> </w:t>
      </w:r>
      <w:r>
        <w:t xml:space="preserve">a gap left by oversight is distinguished from one left by principle.</w:t>
      </w:r>
      <w:r>
        <w:br/>
      </w:r>
      <w:r>
        <w:rPr>
          <w:b/>
          <w:bCs/>
        </w:rPr>
        <w:t xml:space="preserve">No pressure to fill:</w:t>
      </w:r>
      <w:r>
        <w:t xml:space="preserve"> </w:t>
      </w:r>
      <w:r>
        <w:t xml:space="preserve">no protected gap is filled to improve apparent coverage.</w:t>
      </w:r>
    </w:p>
    <w:bookmarkEnd w:id="96"/>
    <w:bookmarkStart w:id="97" w:name="save-the-artifact-5"/>
    <w:p>
      <w:pPr>
        <w:pStyle w:val="Heading2"/>
      </w:pPr>
      <w:r>
        <w:t xml:space="preserve">9.7 Save the Artifact</w:t>
      </w:r>
    </w:p>
    <w:p>
      <w:pPr>
        <w:pStyle w:val="FirstParagraph"/>
      </w:pPr>
      <w:r>
        <w:t xml:space="preserve">Save</w:t>
      </w:r>
      <w:r>
        <w:t xml:space="preserve"> </w:t>
      </w:r>
      <w:r>
        <w:rPr>
          <w:rStyle w:val="VerbatimChar"/>
        </w:rPr>
        <w:t xml:space="preserve">gap-analysis-v0.1.xlsx</w:t>
      </w:r>
      <w:r>
        <w:t xml:space="preserve">. Required fields are the cell (dimension and source family), status (empty, thin, adequate, dependent, contradictory, or inaccessible), priority, consequence, proposed action, access constraint, and decision date. A later researcher should be able to distinguish an overlooked gap from a known limit.</w:t>
      </w:r>
    </w:p>
    <w:bookmarkEnd w:id="97"/>
    <w:bookmarkStart w:id="98" w:name="advanced-practice-5"/>
    <w:p>
      <w:pPr>
        <w:pStyle w:val="Heading2"/>
      </w:pPr>
      <w:r>
        <w:t xml:space="preserve">9.8 Advanced Practice</w:t>
      </w:r>
    </w:p>
    <w:p>
      <w:pPr>
        <w:pStyle w:val="FirstParagraph"/>
      </w:pPr>
      <w:r>
        <w:t xml:space="preserve">Contradiction is not a defect to eliminate. It may reveal distinct institutional views, temporal change, strategic deception, or differences in measurement. The map should preserve disagreement until the analysis explains why it exists.</w:t>
      </w:r>
    </w:p>
    <w:bookmarkEnd w:id="98"/>
    <w:bookmarkEnd w:id="99"/>
    <w:bookmarkStart w:id="108" w:name="stage-7-produce-the-evidence-map"/>
    <w:p>
      <w:pPr>
        <w:pStyle w:val="Heading1"/>
      </w:pPr>
      <w:r>
        <w:t xml:space="preserve">10. Stage 7: Produce the Evidence Map</w:t>
      </w:r>
    </w:p>
    <w:bookmarkStart w:id="100" w:name="orientation-6"/>
    <w:p>
      <w:pPr>
        <w:pStyle w:val="Heading2"/>
      </w:pPr>
      <w:r>
        <w:t xml:space="preserve">10.1 Orientation</w:t>
      </w:r>
    </w:p>
    <w:p>
      <w:pPr>
        <w:pStyle w:val="FirstParagraph"/>
      </w:pPr>
      <w:r>
        <w:t xml:space="preserve">The final stage does not end research. It converts collection from accumulation into a reasoned plan. The map now shows what the project asks, what evidence bears on it, where the corpus is weak, and what further work is worth its cost.</w:t>
      </w:r>
    </w:p>
    <w:bookmarkEnd w:id="100"/>
    <w:bookmarkStart w:id="101" w:name="learn-6"/>
    <w:p>
      <w:pPr>
        <w:pStyle w:val="Heading2"/>
      </w:pPr>
      <w:r>
        <w:t xml:space="preserve">10.2 Learn</w:t>
      </w:r>
    </w:p>
    <w:p>
      <w:pPr>
        <w:pStyle w:val="FirstParagraph"/>
      </w:pPr>
      <w:r>
        <w:t xml:space="preserve">Assemble the six prior artifacts without flattening them into one table. The question frame supplies boundaries. The concept grid supplies dimensions. The source inventory supplies possible record-producing institutions. The search log supplies routes and revisions. The evidence register supplies claim-specific judgments. The gap analysis supplies uncertainty and priority.</w:t>
      </w:r>
    </w:p>
    <w:p>
      <w:pPr>
        <w:pStyle w:val="BodyText"/>
      </w:pPr>
      <w:r>
        <w:t xml:space="preserve">The collection plan assigns the next action to each important gap. Search further, seek access, consult an expert, add language competence, triangulate, narrow the claim, or accept the limit. Every action has a reason and a review date.</w:t>
      </w:r>
    </w:p>
    <w:p>
      <w:pPr>
        <w:pStyle w:val="BodyText"/>
      </w:pPr>
      <w:r>
        <w:t xml:space="preserve">The stopping rule states when active collection ends for the present phase. It should refer to coverage of important dimensions, diversity of source families, declining information yield, treatment of rivals and negative cases, unresolved contradictions, and practical or ethical constraints. It should also state what new evidence would reopen collection.</w:t>
      </w:r>
    </w:p>
    <w:bookmarkEnd w:id="101"/>
    <w:bookmarkStart w:id="102" w:name="worked-example-6"/>
    <w:p>
      <w:pPr>
        <w:pStyle w:val="Heading2"/>
      </w:pPr>
      <w:r>
        <w:t xml:space="preserve">10.3 Worked Example</w:t>
      </w:r>
    </w:p>
    <w:p>
      <w:pPr>
        <w:pStyle w:val="FirstParagraph"/>
      </w:pPr>
      <w:r>
        <w:t xml:space="preserve">The terrorism map may support a claim about how database procedures create divergent accounts while remaining unable to adjudicate the true global number of events. That is an acceptable result. The map narrows the claim to what the evidence can bear.</w:t>
      </w:r>
    </w:p>
    <w:p>
      <w:pPr>
        <w:pStyle w:val="BodyText"/>
      </w:pPr>
      <w:r>
        <w:t xml:space="preserve">The stopping rule might close active collection after the main methodological periods are documented, competing classification systems are represented, important transformations are traced, and new searches yield only dependent repetition. It would reopen if a new codebook, originating archive, or independent event series became available.</w:t>
      </w:r>
    </w:p>
    <w:bookmarkEnd w:id="102"/>
    <w:bookmarkStart w:id="103" w:name="try-it-6"/>
    <w:p>
      <w:pPr>
        <w:pStyle w:val="Heading2"/>
      </w:pPr>
      <w:r>
        <w:t xml:space="preserve">10.4 Try It</w:t>
      </w:r>
    </w:p>
    <w:p>
      <w:pPr>
        <w:pStyle w:val="FirstParagraph"/>
      </w:pPr>
      <w:r>
        <w:t xml:space="preserve">Write the strongest claim the present corpus can support. Write the strongest claim it cannot support. Then draft the stopping rule in one paragraph that names both evidence and limits.</w:t>
      </w:r>
    </w:p>
    <w:bookmarkEnd w:id="103"/>
    <w:bookmarkStart w:id="104" w:name="guided-ai-workflow-6"/>
    <w:p>
      <w:pPr>
        <w:pStyle w:val="Heading2"/>
      </w:pPr>
      <w:r>
        <w:t xml:space="preserve">10.5 Guided AI Workflow</w:t>
      </w:r>
    </w:p>
    <w:p>
      <w:pPr>
        <w:pStyle w:val="FirstParagraph"/>
      </w:pPr>
      <w:r>
        <w:t xml:space="preserve">Ask the model to attack the stopping rule. Require it to identify unsupported confidence, neglected rivals, circular dependence, and vague language. Revise only after checking the critique against the map. A usable prompt: “Attack this stopping rule. Identify unsupported confidence, neglected rivals, circular dependence, and vague language.”</w:t>
      </w:r>
    </w:p>
    <w:p>
      <w:pPr>
        <w:pStyle w:val="BodyText"/>
      </w:pPr>
      <w:r>
        <w:rPr>
          <w:b/>
          <w:bCs/>
        </w:rPr>
        <w:t xml:space="preserve">Permitted input:</w:t>
      </w:r>
      <w:r>
        <w:t xml:space="preserve"> </w:t>
      </w:r>
      <w:r>
        <w:t xml:space="preserve">The stopping rule and a redacted summary of coverage, with no protected records.</w:t>
      </w:r>
      <w:r>
        <w:br/>
      </w:r>
      <w:r>
        <w:rPr>
          <w:b/>
          <w:bCs/>
        </w:rPr>
        <w:t xml:space="preserve">Do not provide:</w:t>
      </w:r>
      <w:r>
        <w:t xml:space="preserve"> </w:t>
      </w:r>
      <w:r>
        <w:t xml:space="preserve">The evidence itself, restricted records, or protected collection detail.</w:t>
      </w:r>
      <w:r>
        <w:br/>
      </w:r>
      <w:r>
        <w:rPr>
          <w:b/>
          <w:bCs/>
        </w:rPr>
        <w:t xml:space="preserve">Verify:</w:t>
      </w:r>
      <w:r>
        <w:t xml:space="preserve"> </w:t>
      </w:r>
      <w:r>
        <w:t xml:space="preserve">Check each objection against the map before revising. An objection is a prompt to reexamine, not a verdict.</w:t>
      </w:r>
      <w:r>
        <w:br/>
      </w:r>
      <w:r>
        <w:rPr>
          <w:b/>
          <w:bCs/>
        </w:rPr>
        <w:t xml:space="preserve">Record:</w:t>
      </w:r>
      <w:r>
        <w:t xml:space="preserve"> </w:t>
      </w:r>
      <w:r>
        <w:t xml:space="preserve">Log which objections changed the stopping rule, and the model and date.</w:t>
      </w:r>
    </w:p>
    <w:bookmarkEnd w:id="104"/>
    <w:bookmarkStart w:id="105" w:name="integrity-checkpoint-6"/>
    <w:p>
      <w:pPr>
        <w:pStyle w:val="Heading2"/>
      </w:pPr>
      <w:r>
        <w:t xml:space="preserve">10.6 Integrity Checkpoint</w:t>
      </w:r>
    </w:p>
    <w:p>
      <w:pPr>
        <w:pStyle w:val="FirstParagraph"/>
      </w:pPr>
      <w:r>
        <w:t xml:space="preserve">Do not convert inaccessible evidence into presumed support. Do not treat silence as absence without examining the record-producing institution. Do not present a practical deadline as methodological sufficiency. Confirm before saving:</w:t>
      </w:r>
    </w:p>
    <w:p>
      <w:pPr>
        <w:pStyle w:val="BodyText"/>
      </w:pPr>
      <w:r>
        <w:rPr>
          <w:b/>
          <w:bCs/>
        </w:rPr>
        <w:t xml:space="preserve">No presumed support:</w:t>
      </w:r>
      <w:r>
        <w:t xml:space="preserve"> </w:t>
      </w:r>
      <w:r>
        <w:t xml:space="preserve">inaccessible evidence is not counted as if it agreed.</w:t>
      </w:r>
      <w:r>
        <w:br/>
      </w:r>
      <w:r>
        <w:rPr>
          <w:b/>
          <w:bCs/>
        </w:rPr>
        <w:t xml:space="preserve">Silence examined:</w:t>
      </w:r>
      <w:r>
        <w:t xml:space="preserve"> </w:t>
      </w:r>
      <w:r>
        <w:t xml:space="preserve">an absence is traced to the record-producing institution before it is read as evidence.</w:t>
      </w:r>
      <w:r>
        <w:br/>
      </w:r>
      <w:r>
        <w:rPr>
          <w:b/>
          <w:bCs/>
        </w:rPr>
        <w:t xml:space="preserve">Constraint named:</w:t>
      </w:r>
      <w:r>
        <w:t xml:space="preserve"> </w:t>
      </w:r>
      <w:r>
        <w:t xml:space="preserve">a deadline or access limit is stated as itself, not as sufficiency.</w:t>
      </w:r>
    </w:p>
    <w:bookmarkEnd w:id="105"/>
    <w:bookmarkStart w:id="106" w:name="save-the-artifact-6"/>
    <w:p>
      <w:pPr>
        <w:pStyle w:val="Heading2"/>
      </w:pPr>
      <w:r>
        <w:t xml:space="preserve">10.7 Save the Artifact</w:t>
      </w:r>
    </w:p>
    <w:p>
      <w:pPr>
        <w:pStyle w:val="FirstParagraph"/>
      </w:pPr>
      <w:r>
        <w:t xml:space="preserve">Save</w:t>
      </w:r>
      <w:r>
        <w:t xml:space="preserve"> </w:t>
      </w:r>
      <w:r>
        <w:rPr>
          <w:rStyle w:val="VerbatimChar"/>
        </w:rPr>
        <w:t xml:space="preserve">evidence-map-stopping-rule-v1.0.xlsx</w:t>
      </w:r>
      <w:r>
        <w:t xml:space="preserve">, a dated release that links the six prior artifacts rather than flattening them: the question frame, concept grid, source-family inventory, search log, evidence register, and gap analysis, together with the collection plan and stopping rule. Preserve editable working files and a stable review copy. Link the release to the question version it answers.</w:t>
      </w:r>
    </w:p>
    <w:bookmarkEnd w:id="106"/>
    <w:bookmarkStart w:id="107" w:name="advanced-practice-6"/>
    <w:p>
      <w:pPr>
        <w:pStyle w:val="Heading2"/>
      </w:pPr>
      <w:r>
        <w:t xml:space="preserve">10.8 Advanced Practice</w:t>
      </w:r>
    </w:p>
    <w:p>
      <w:pPr>
        <w:pStyle w:val="FirstParagraph"/>
      </w:pPr>
      <w:r>
        <w:t xml:space="preserve">In team projects, the map becomes an instrument of governance. It assigns responsibility, records disagreements, and makes handoffs possible. The map should not become a surveillance device for counting activity. Its unit is a research decision, not an hour worked.</w:t>
      </w:r>
    </w:p>
    <w:bookmarkEnd w:id="107"/>
    <w:bookmarkEnd w:id="108"/>
    <w:bookmarkStart w:id="120" w:name="literature-as-evidence"/>
    <w:p>
      <w:pPr>
        <w:pStyle w:val="Heading1"/>
      </w:pPr>
      <w:r>
        <w:t xml:space="preserve">11. Literature as Evidence</w:t>
      </w:r>
    </w:p>
    <w:bookmarkStart w:id="112" w:name="the-review-problem"/>
    <w:p>
      <w:pPr>
        <w:pStyle w:val="Heading2"/>
      </w:pPr>
      <w:r>
        <w:t xml:space="preserve">11.1 The Review Problem</w:t>
      </w:r>
    </w:p>
    <w:p>
      <w:pPr>
        <w:pStyle w:val="FirstParagraph"/>
      </w:pPr>
      <w:r>
        <w:t xml:space="preserve">A literature review can contain hundreds of summaries and still fail as research.</w:t>
      </w:r>
      <w:r>
        <w:rPr>
          <w:rStyle w:val="FootnoteReference"/>
        </w:rPr>
        <w:footnoteReference w:id="109"/>
      </w:r>
      <w:r>
        <w:t xml:space="preserve"> </w:t>
      </w:r>
      <w:r>
        <w:t xml:space="preserve">The failure occurs when selection, purpose, relationships, and exclusions remain unexplained. Accumulation is not synthesis. A long bibliography proves that material was found; it does not show that the material was assembled into an argument.</w:t>
      </w:r>
    </w:p>
    <w:p>
      <w:pPr>
        <w:pStyle w:val="BodyText"/>
      </w:pPr>
      <w:r>
        <w:t xml:space="preserve">Discovery now returns more publications and citation paths than one person can follow. Generative systems add fluent accounts without necessarily revealing their basis. Abundance lowers the cost of finding</w:t>
      </w:r>
      <w:r>
        <w:t xml:space="preserve"> </w:t>
      </w:r>
      <w:r>
        <w:rPr>
          <w:i/>
          <w:iCs/>
        </w:rPr>
        <w:t xml:space="preserve">something</w:t>
      </w:r>
      <w:r>
        <w:t xml:space="preserve"> </w:t>
      </w:r>
      <w:r>
        <w:t xml:space="preserve">and raises the cost of explaining why the selected literature is adequate.</w:t>
      </w:r>
    </w:p>
    <w:p>
      <w:pPr>
        <w:pStyle w:val="BodyText"/>
      </w:pPr>
      <w:r>
        <w:t xml:space="preserve">This module treats scholarly literature as evidence. A publication can provide evidence of a concept’s history, a theoretical dispute, an empirical pattern, a methodological choice, or the way a community has organized a problem. It can also repeat an unsupported claim, inherit a classification from an earlier source, exclude cases through its research design, or become influential for reasons that have little to do with evidentiary strength. Reading literature as evidence means asking of a publication many of the questions we ask of an interview, archival record, or dataset: Who produced it? For what purpose? From which materials? Through which transformations? What can it support, and what remains beyond its reach?</w:t>
      </w:r>
    </w:p>
    <w:p>
      <w:pPr>
        <w:pStyle w:val="BodyText"/>
      </w:pPr>
      <w:r>
        <w:t xml:space="preserve">The aim is not suspicion for its own sake. It is to make the relation between a review and its claims inspectable.</w:t>
      </w:r>
    </w:p>
    <w:bookmarkEnd w:id="112"/>
    <w:bookmarkStart w:id="113" w:name="from-evidence-map-to-literature-corpus"/>
    <w:p>
      <w:pPr>
        <w:pStyle w:val="Heading2"/>
      </w:pPr>
      <w:r>
        <w:t xml:space="preserve">11.2 From Evidence Map to Literature Corpus</w:t>
      </w:r>
    </w:p>
    <w:p>
      <w:pPr>
        <w:pStyle w:val="FirstParagraph"/>
      </w:pPr>
      <w:r>
        <w:t xml:space="preserve">The evidence map identifies scholarship as one source family. This module turns that family into a literature corpus whose composition and limits the researcher can explain.</w:t>
      </w:r>
    </w:p>
    <w:p>
      <w:pPr>
        <w:pStyle w:val="BodyText"/>
      </w:pPr>
      <w:r>
        <w:t xml:space="preserve">Scholarly literature performs several jobs at once. It supplies concepts, explanations, methods, cases, and source leads. A work may define a concept, establish a historical baseline, provide a method, or matter because later authors repeatedly cite it. Treating all four as generically “relevant” obscures the work each performs.</w:t>
      </w:r>
    </w:p>
    <w:p>
      <w:pPr>
        <w:pStyle w:val="BodyText"/>
      </w:pPr>
      <w:r>
        <w:t xml:space="preserve">The module uses four distinctions:</w:t>
      </w:r>
    </w:p>
    <w:p>
      <w:pPr>
        <w:pStyle w:val="Compact"/>
        <w:numPr>
          <w:ilvl w:val="0"/>
          <w:numId w:val="1001"/>
        </w:numPr>
      </w:pPr>
      <w:r>
        <w:t xml:space="preserve">A</w:t>
      </w:r>
      <w:r>
        <w:t xml:space="preserve"> </w:t>
      </w:r>
      <w:r>
        <w:rPr>
          <w:b/>
          <w:bCs/>
        </w:rPr>
        <w:t xml:space="preserve">bibliography</w:t>
      </w:r>
      <w:r>
        <w:t xml:space="preserve"> </w:t>
      </w:r>
      <w:r>
        <w:t xml:space="preserve">records publications and the information needed to retrieve them.</w:t>
      </w:r>
    </w:p>
    <w:p>
      <w:pPr>
        <w:pStyle w:val="Compact"/>
        <w:numPr>
          <w:ilvl w:val="0"/>
          <w:numId w:val="1001"/>
        </w:numPr>
      </w:pPr>
      <w:r>
        <w:t xml:space="preserve">A</w:t>
      </w:r>
      <w:r>
        <w:t xml:space="preserve"> </w:t>
      </w:r>
      <w:r>
        <w:rPr>
          <w:b/>
          <w:bCs/>
        </w:rPr>
        <w:t xml:space="preserve">reading list</w:t>
      </w:r>
      <w:r>
        <w:t xml:space="preserve"> </w:t>
      </w:r>
      <w:r>
        <w:t xml:space="preserve">orders publications for learning or teaching.</w:t>
      </w:r>
    </w:p>
    <w:p>
      <w:pPr>
        <w:pStyle w:val="Compact"/>
        <w:numPr>
          <w:ilvl w:val="0"/>
          <w:numId w:val="1001"/>
        </w:numPr>
      </w:pPr>
      <w:r>
        <w:t xml:space="preserve">A</w:t>
      </w:r>
      <w:r>
        <w:t xml:space="preserve"> </w:t>
      </w:r>
      <w:r>
        <w:rPr>
          <w:b/>
          <w:bCs/>
        </w:rPr>
        <w:t xml:space="preserve">literature corpus</w:t>
      </w:r>
      <w:r>
        <w:t xml:space="preserve"> </w:t>
      </w:r>
      <w:r>
        <w:t xml:space="preserve">is the bounded set of works selected for a stated research purpose.</w:t>
      </w:r>
    </w:p>
    <w:p>
      <w:pPr>
        <w:pStyle w:val="Compact"/>
        <w:numPr>
          <w:ilvl w:val="0"/>
          <w:numId w:val="1001"/>
        </w:numPr>
      </w:pPr>
      <w:r>
        <w:t xml:space="preserve">A</w:t>
      </w:r>
      <w:r>
        <w:t xml:space="preserve"> </w:t>
      </w:r>
      <w:r>
        <w:rPr>
          <w:b/>
          <w:bCs/>
        </w:rPr>
        <w:t xml:space="preserve">synthesis</w:t>
      </w:r>
      <w:r>
        <w:t xml:space="preserve"> </w:t>
      </w:r>
      <w:r>
        <w:t xml:space="preserve">explains patterns, disputes, lineages, methods, and absences across that corpus.</w:t>
      </w:r>
    </w:p>
    <w:p>
      <w:pPr>
        <w:pStyle w:val="FirstParagraph"/>
      </w:pPr>
      <w:r>
        <w:t xml:space="preserve">These objects overlap but are not interchangeable. The protocol and search log explain how the corpus was assembled; the matrix and memo show how it became an account of the field.</w:t>
      </w:r>
    </w:p>
    <w:bookmarkEnd w:id="113"/>
    <w:bookmarkStart w:id="116" w:name="the-six-stages"/>
    <w:p>
      <w:pPr>
        <w:pStyle w:val="Heading2"/>
      </w:pPr>
      <w:r>
        <w:t xml:space="preserve">11.3 The Six Stages</w:t>
      </w:r>
    </w:p>
    <w:p>
      <w:pPr>
        <w:pStyle w:val="FirstParagraph"/>
      </w:pPr>
      <w:r>
        <w:t xml:space="preserve">The first stage defines the review.</w:t>
      </w:r>
      <w:r>
        <w:rPr>
          <w:rStyle w:val="FootnoteReference"/>
        </w:rPr>
        <w:footnoteReference w:id="114"/>
      </w:r>
      <w:r>
        <w:t xml:space="preserve"> </w:t>
      </w:r>
      <w:r>
        <w:t xml:space="preserve">It states what the review must accomplish, which question it answers, which boundaries guide inclusion, and which exclusions remain provisional. A review designed to clarify a concept will not collect or read in exactly the same way as one designed to identify a causal explanation or compare methods.</w:t>
      </w:r>
    </w:p>
    <w:p>
      <w:pPr>
        <w:pStyle w:val="BodyText"/>
      </w:pPr>
      <w:r>
        <w:t xml:space="preserve">The second stage maps concepts and vocabulary. Search systems retrieve strings, while researchers care about meanings. The same phenomenon may travel under different names across periods, languages, and disciplines. The same term may refer to incompatible concepts. A vocabulary map does not resolve those disputes in advance. It makes them searchable.</w:t>
      </w:r>
    </w:p>
    <w:p>
      <w:pPr>
        <w:pStyle w:val="BodyText"/>
      </w:pPr>
      <w:r>
        <w:t xml:space="preserve">The third stage discovers publications through multiple routes. Database queries provide one route. Backward and forward citation chaining provide others. Author, institution, journal, handbook, review-article, and targeted web searches reveal work that an initial query can miss. Each route has a different selection mechanism. Recording the route helps distinguish a diverse search from repeated dependence on the same index.</w:t>
      </w:r>
    </w:p>
    <w:p>
      <w:pPr>
        <w:pStyle w:val="BodyText"/>
      </w:pPr>
      <w:r>
        <w:t xml:space="preserve">The fourth stage evaluates sources and claims. Evaluation asks whether a work bears on the review question, what evidence supports its claims, how its methods shape what it can see, what lineage it inherits, and what role it should play in the eventual synthesis. Venue and citation counts can provide context. They cannot substitute for reading.</w:t>
      </w:r>
    </w:p>
    <w:p>
      <w:pPr>
        <w:pStyle w:val="BodyText"/>
      </w:pPr>
      <w:r>
        <w:t xml:space="preserve">The fifth stage reads, annotates, and compares. Notes preserve the difference between an author’s claim, the material offered in support, and the reviewer’s interpretation. A synthesis matrix then reorganizes those notes across works. The unit of thought shifts from “What does this article say?” to “What do these works reveal about this concept, mechanism, case, or dispute?”</w:t>
      </w:r>
    </w:p>
    <w:p>
      <w:pPr>
        <w:pStyle w:val="BodyText"/>
      </w:pPr>
      <w:r>
        <w:t xml:space="preserve">The sixth stage synthesizes, audits, and stops. Synthesis builds an account across sources. Audit looks for disciplinary, linguistic, geographical, methodological, and citation-network distortions. The stopping rule explains why active searching can end for the present task, what remains missing, and what would cause the review to reopen.</w:t>
      </w:r>
    </w:p>
    <w:p>
      <w:pPr>
        <w:pStyle w:val="BodyText"/>
      </w:pPr>
      <w:r>
        <w:t xml:space="preserve">The sequence is recursive. New vocabulary, a shared citation lineage, or an empty matrix cell can reopen an earlier stage. Preserve earlier versions because they show how the review learned.</w:t>
      </w:r>
    </w:p>
    <w:bookmarkEnd w:id="116"/>
    <w:bookmarkStart w:id="117" w:name="two-worked-examples"/>
    <w:p>
      <w:pPr>
        <w:pStyle w:val="Heading2"/>
      </w:pPr>
      <w:r>
        <w:t xml:space="preserve">11.4 Two Worked Examples</w:t>
      </w:r>
    </w:p>
    <w:p>
      <w:pPr>
        <w:pStyle w:val="FirstParagraph"/>
      </w:pPr>
      <w:r>
        <w:t xml:space="preserve">The primary example continues our inquiry into terrorism databases. Scholars define categories, select data, transform events, and cite earlier decisions. A review that records conclusions without tracing those choices risks treating constructed categories as found facts.</w:t>
      </w:r>
    </w:p>
    <w:p>
      <w:pPr>
        <w:pStyle w:val="BodyText"/>
      </w:pPr>
      <w:r>
        <w:t xml:space="preserve">The secondary example follows a researcher studying how a municipal housing agency changed its treatment of informal settlements between the 1970s and the 1990s. The relevant scholarship is dispersed across urban history, public administration, planning, law, and local-language publications. Terminology changes across the period: the people, places, and administrative practices are not described consistently. Digitization is uneven. The example shows why absence from a database is not evidence of absence from scholarship, and why a review can become narrower than its question without the researcher noticing.</w:t>
      </w:r>
    </w:p>
    <w:bookmarkEnd w:id="117"/>
    <w:bookmarkStart w:id="118" w:name="the-artifact-chain"/>
    <w:p>
      <w:pPr>
        <w:pStyle w:val="Heading2"/>
      </w:pPr>
      <w:r>
        <w:t xml:space="preserve">11.5 The Artifact Chain</w:t>
      </w:r>
    </w:p>
    <w:p>
      <w:pPr>
        <w:pStyle w:val="FirstParagraph"/>
      </w:pPr>
      <w:r>
        <w:t xml:space="preserve">Five resources connect the workflow: review protocol, concept-and-vocabulary map, search-and-AI log, source-evaluation register, and synthesis-and-stopping workbook.</w:t>
      </w:r>
    </w:p>
    <w:p>
      <w:pPr>
        <w:pStyle w:val="BodyText"/>
      </w:pPr>
      <w:r>
        <w:t xml:space="preserve">Stable identifiers connect concepts, searches, sources, claims, and synthesis cells. They prevent the prose from becoming detached from the record that produced it.</w:t>
      </w:r>
    </w:p>
    <w:bookmarkEnd w:id="118"/>
    <w:bookmarkStart w:id="119" w:name="the-role-of-ai-1"/>
    <w:p>
      <w:pPr>
        <w:pStyle w:val="Heading2"/>
      </w:pPr>
      <w:r>
        <w:t xml:space="preserve">11.6 The Role of AI</w:t>
      </w:r>
    </w:p>
    <w:p>
      <w:pPr>
        <w:pStyle w:val="FirstParagraph"/>
      </w:pPr>
      <w:r>
        <w:t xml:space="preserve">AI can generate vocabulary, transform researcher-written notes into a provisional table, compare entries across a matrix, and audit the review for missing perspectives. It can do these tasks quickly because the researcher supplies a bounded object and a defined operation. It becomes less reliable when asked to “review the literature” without a corpus, a purpose, or a verification rule.</w:t>
      </w:r>
    </w:p>
    <w:p>
      <w:pPr>
        <w:pStyle w:val="BodyText"/>
      </w:pPr>
      <w:r>
        <w:t xml:space="preserve">The division of labor is simple. The system may propose. It may reorganize. It may point to possible inconsistencies. The researcher decides which publications enter the corpus, reads the works that carry argumentative weight, verifies every citation and quotation, and writes the synthesis. A model output is a lead or transformation record, not a scholarly source unless the model itself is the object of study.</w:t>
      </w:r>
    </w:p>
    <w:p>
      <w:pPr>
        <w:pStyle w:val="BodyText"/>
      </w:pPr>
      <w:r>
        <w:t xml:space="preserve">The audit log records consequential assistance rather than every keystroke. Document AI actions that could change the corpus or the claims drawn from it.</w:t>
      </w:r>
    </w:p>
    <w:bookmarkEnd w:id="119"/>
    <w:bookmarkEnd w:id="120"/>
    <w:bookmarkStart w:id="130" w:name="stage-1-define-the-review"/>
    <w:p>
      <w:pPr>
        <w:pStyle w:val="Heading1"/>
      </w:pPr>
      <w:r>
        <w:t xml:space="preserve">12. Stage 1: Define the Review</w:t>
      </w:r>
    </w:p>
    <w:bookmarkStart w:id="121" w:name="orientation-7"/>
    <w:p>
      <w:pPr>
        <w:pStyle w:val="Heading2"/>
      </w:pPr>
      <w:r>
        <w:t xml:space="preserve">12.1 Orientation</w:t>
      </w:r>
    </w:p>
    <w:p>
      <w:pPr>
        <w:pStyle w:val="FirstParagraph"/>
      </w:pPr>
      <w:r>
        <w:t xml:space="preserve">A review begins to drift when its purpose remains implicit. “I need to know the literature” sounds responsible but supplies no rule for deciding what to find, read, compare, or leave outside. The researcher alternates between fear of missing a canonical work and fascination with whatever appeared most recently. Every reference opens another branch. Because the task has no defined answer, it has no defensible stopping point.</w:t>
      </w:r>
    </w:p>
    <w:p>
      <w:pPr>
        <w:pStyle w:val="BodyText"/>
      </w:pPr>
      <w:r>
        <w:t xml:space="preserve">Define the review before searching. The definition is provisional, just as the research question is provisional, but it should state what the review must enable the researcher to do. It converts reading from an aspiration into an inquiry.</w:t>
      </w:r>
    </w:p>
    <w:bookmarkEnd w:id="121"/>
    <w:bookmarkStart w:id="123" w:name="learn-7"/>
    <w:p>
      <w:pPr>
        <w:pStyle w:val="Heading2"/>
      </w:pPr>
      <w:r>
        <w:t xml:space="preserve">12.2 Learn</w:t>
      </w:r>
    </w:p>
    <w:p>
      <w:pPr>
        <w:pStyle w:val="FirstParagraph"/>
      </w:pPr>
      <w:r>
        <w:t xml:space="preserve">Begin by naming the review’s function.</w:t>
      </w:r>
      <w:r>
        <w:rPr>
          <w:rStyle w:val="FootnoteReference"/>
        </w:rPr>
        <w:footnoteReference w:id="122"/>
      </w:r>
      <w:r>
        <w:t xml:space="preserve"> </w:t>
      </w:r>
      <w:r>
        <w:t xml:space="preserve">Most reviews supporting empirical projects combine several functions, but one should lead.</w:t>
      </w:r>
    </w:p>
    <w:p>
      <w:pPr>
        <w:pStyle w:val="BodyText"/>
      </w:pPr>
      <w:r>
        <w:t xml:space="preserve">A</w:t>
      </w:r>
      <w:r>
        <w:t xml:space="preserve"> </w:t>
      </w:r>
      <w:r>
        <w:rPr>
          <w:b/>
          <w:bCs/>
        </w:rPr>
        <w:t xml:space="preserve">conceptual review</w:t>
      </w:r>
      <w:r>
        <w:t xml:space="preserve"> </w:t>
      </w:r>
      <w:r>
        <w:t xml:space="preserve">clarifies how a term has been defined, contested, measured, or used in practice. A</w:t>
      </w:r>
      <w:r>
        <w:t xml:space="preserve"> </w:t>
      </w:r>
      <w:r>
        <w:rPr>
          <w:b/>
          <w:bCs/>
        </w:rPr>
        <w:t xml:space="preserve">theoretical review</w:t>
      </w:r>
      <w:r>
        <w:t xml:space="preserve"> </w:t>
      </w:r>
      <w:r>
        <w:t xml:space="preserve">compares explanations, mechanisms, or expectations. An</w:t>
      </w:r>
      <w:r>
        <w:t xml:space="preserve"> </w:t>
      </w:r>
      <w:r>
        <w:rPr>
          <w:b/>
          <w:bCs/>
        </w:rPr>
        <w:t xml:space="preserve">empirical review</w:t>
      </w:r>
      <w:r>
        <w:t xml:space="preserve"> </w:t>
      </w:r>
      <w:r>
        <w:t xml:space="preserve">establishes what is known about a phenomenon, population, case, period, or relationship. A</w:t>
      </w:r>
      <w:r>
        <w:t xml:space="preserve"> </w:t>
      </w:r>
      <w:r>
        <w:rPr>
          <w:b/>
          <w:bCs/>
        </w:rPr>
        <w:t xml:space="preserve">methodological review</w:t>
      </w:r>
      <w:r>
        <w:t xml:space="preserve"> </w:t>
      </w:r>
      <w:r>
        <w:t xml:space="preserve">examines how research designs, sources, instruments, or analytical procedures shape findings. An</w:t>
      </w:r>
      <w:r>
        <w:t xml:space="preserve"> </w:t>
      </w:r>
      <w:r>
        <w:rPr>
          <w:b/>
          <w:bCs/>
        </w:rPr>
        <w:t xml:space="preserve">orienting review</w:t>
      </w:r>
      <w:r>
        <w:t xml:space="preserve"> </w:t>
      </w:r>
      <w:r>
        <w:t xml:space="preserve">helps a researcher enter an unfamiliar field and learn its central questions, lineages, and vocabulary. A review may also justify a new study by showing a consequential limitation or unanswered question. “Finding a gap,” however, is too weak as a purpose on its own. A gap matters only when filling it could change understanding.</w:t>
      </w:r>
    </w:p>
    <w:p>
      <w:pPr>
        <w:pStyle w:val="BodyText"/>
      </w:pPr>
      <w:r>
        <w:t xml:space="preserve">Turn the function into a review question. “The literature on terrorism databases” names a collection. “How have scholars explained divergence among terrorism databases, and what roles do definitions, source systems, and coding procedures play in those explanations?” names an analytical task. The review question should be narrower than the book or dissertation question because literature is only one source family. It should also state what kind of answer the review will produce: a taxonomy, a comparison, a causal account of intellectual change, an assessment of evidence, or a set of propositions to test.</w:t>
      </w:r>
    </w:p>
    <w:p>
      <w:pPr>
        <w:pStyle w:val="BodyText"/>
      </w:pPr>
      <w:r>
        <w:t xml:space="preserve">Next define boundaries. Relevant dimensions include period of publication, period studied, geography, language, discipline, publication type, population, method, and evidentiary threshold. These are not filters to apply mechanically. They are decisions to justify. A review of contemporary municipal governance might include historical studies because present administrative categories emerged earlier. A review conducted in English may need local-language search routes if the institutions under study operate elsewhere. A dissertation chapter may include unpublished doctoral work when it contains the only close examination of a particular archive, while treating its status explicitly.</w:t>
      </w:r>
    </w:p>
    <w:p>
      <w:pPr>
        <w:pStyle w:val="BodyText"/>
      </w:pPr>
      <w:r>
        <w:t xml:space="preserve">Write inclusion and exclusion logic as sentences, not only as filter settings. “Include publications that compare at least two event datasets or examine how terrorism events are defined, sourced, or coded” tells a reader why a work belongs. “Exclude works that use a single dataset without discussing its construction” identifies a defensible limit. The excluded work may remain important to the larger project; it simply does not answer this review question.</w:t>
      </w:r>
    </w:p>
    <w:p>
      <w:pPr>
        <w:pStyle w:val="BodyText"/>
      </w:pPr>
      <w:r>
        <w:t xml:space="preserve">Separate substantive exclusions from practical constraints. Being outside scope differs from remaining unread because of access, language, or time. The first defines the corpus; the second may bias it.</w:t>
      </w:r>
    </w:p>
    <w:p>
      <w:pPr>
        <w:pStyle w:val="BodyText"/>
      </w:pPr>
      <w:r>
        <w:t xml:space="preserve">State the anticipated product, audience, deadline, collaborators, and threshold for full-text reading. A dissertation section and a review article require different depth. The protocol makes later changes visible.</w:t>
      </w:r>
    </w:p>
    <w:bookmarkEnd w:id="123"/>
    <w:bookmarkStart w:id="124" w:name="worked-example-7"/>
    <w:p>
      <w:pPr>
        <w:pStyle w:val="Heading2"/>
      </w:pPr>
      <w:r>
        <w:t xml:space="preserve">12.3 Worked Example</w:t>
      </w:r>
    </w:p>
    <w:p>
      <w:pPr>
        <w:pStyle w:val="FirstParagraph"/>
      </w:pPr>
      <w:r>
        <w:t xml:space="preserve">For the terrorism-database inquiry, the initial purpose combines conceptual, methodological, and empirical functions. We want to understand how scholars define divergence, what explanations they offer, and how their own data choices affect the patterns they report. We are not attempting a complete review of terrorism research or a ranking of every database.</w:t>
      </w:r>
    </w:p>
    <w:p>
      <w:pPr>
        <w:pStyle w:val="BodyText"/>
      </w:pPr>
      <w:r>
        <w:t xml:space="preserve">The review question becomes: “How has research since the expansion of event-based terrorism datasets explained divergent counts and patterns, and what evidence supports claims about the effects of definitions, sources, and coding?” We include comparative database studies, methodological articles on event-data construction, validation studies, codebook analyses, and empirical articles that demonstrate a consequential change caused by database choice. We exclude studies that merely name a database in the methods section. They may later enter the project as evidence of usage, but they cannot answer the present review question.</w:t>
      </w:r>
    </w:p>
    <w:p>
      <w:pPr>
        <w:pStyle w:val="BodyText"/>
      </w:pPr>
      <w:r>
        <w:t xml:space="preserve">Both protocols record language and access constraints and assign reopening triggers.</w:t>
      </w:r>
    </w:p>
    <w:bookmarkEnd w:id="124"/>
    <w:bookmarkStart w:id="125" w:name="try-it-7"/>
    <w:p>
      <w:pPr>
        <w:pStyle w:val="Heading2"/>
      </w:pPr>
      <w:r>
        <w:t xml:space="preserve">12.4 Try It</w:t>
      </w:r>
    </w:p>
    <w:p>
      <w:pPr>
        <w:pStyle w:val="FirstParagraph"/>
      </w:pPr>
      <w:r>
        <w:t xml:space="preserve">Write a one-sentence review question. Under it, complete four prompts:</w:t>
      </w:r>
    </w:p>
    <w:p>
      <w:pPr>
        <w:pStyle w:val="Compact"/>
        <w:numPr>
          <w:ilvl w:val="0"/>
          <w:numId w:val="1002"/>
        </w:numPr>
      </w:pPr>
      <w:r>
        <w:t xml:space="preserve">“This review will enable me to…”</w:t>
      </w:r>
    </w:p>
    <w:p>
      <w:pPr>
        <w:pStyle w:val="Compact"/>
        <w:numPr>
          <w:ilvl w:val="0"/>
          <w:numId w:val="1002"/>
        </w:numPr>
      </w:pPr>
      <w:r>
        <w:t xml:space="preserve">“A work belongs when…”</w:t>
      </w:r>
    </w:p>
    <w:p>
      <w:pPr>
        <w:pStyle w:val="Compact"/>
        <w:numPr>
          <w:ilvl w:val="0"/>
          <w:numId w:val="1002"/>
        </w:numPr>
      </w:pPr>
      <w:r>
        <w:t xml:space="preserve">“A work remains outside when…”</w:t>
      </w:r>
    </w:p>
    <w:p>
      <w:pPr>
        <w:pStyle w:val="Compact"/>
        <w:numPr>
          <w:ilvl w:val="0"/>
          <w:numId w:val="1002"/>
        </w:numPr>
      </w:pPr>
      <w:r>
        <w:t xml:space="preserve">“The review will be adequate for its purpose when…”</w:t>
      </w:r>
    </w:p>
    <w:p>
      <w:pPr>
        <w:pStyle w:val="FirstParagraph"/>
      </w:pPr>
      <w:r>
        <w:t xml:space="preserve">Then list the boundaries you expect to use and label each one</w:t>
      </w:r>
      <w:r>
        <w:t xml:space="preserve"> </w:t>
      </w:r>
      <w:r>
        <w:rPr>
          <w:b/>
          <w:bCs/>
        </w:rPr>
        <w:t xml:space="preserve">substantive</w:t>
      </w:r>
      <w:r>
        <w:t xml:space="preserve">,</w:t>
      </w:r>
      <w:r>
        <w:t xml:space="preserve"> </w:t>
      </w:r>
      <w:r>
        <w:rPr>
          <w:b/>
          <w:bCs/>
        </w:rPr>
        <w:t xml:space="preserve">ethical</w:t>
      </w:r>
      <w:r>
        <w:t xml:space="preserve">, or</w:t>
      </w:r>
      <w:r>
        <w:t xml:space="preserve"> </w:t>
      </w:r>
      <w:r>
        <w:rPr>
          <w:b/>
          <w:bCs/>
        </w:rPr>
        <w:t xml:space="preserve">practical</w:t>
      </w:r>
      <w:r>
        <w:t xml:space="preserve">. A substantive boundary follows from the question. An ethical boundary protects people or restricted information. A practical boundary reflects time, access, language, or resources. Do not hide the third category inside the first.</w:t>
      </w:r>
    </w:p>
    <w:p>
      <w:pPr>
        <w:pStyle w:val="BodyText"/>
      </w:pPr>
      <w:r>
        <w:t xml:space="preserve">Write what would change the protocol, such as a new historical term, revised period, or added language capacity. These are version triggers.</w:t>
      </w:r>
    </w:p>
    <w:p>
      <w:pPr>
        <w:pStyle w:val="BodyText"/>
      </w:pPr>
      <w:r>
        <w:t xml:space="preserve">The exercise is complete when another researcher can apply the inclusion logic to three sample publications and explain their decisions. Agreement is not required. If the protocol cannot support a reasoned disagreement, it remains too vague.</w:t>
      </w:r>
    </w:p>
    <w:bookmarkEnd w:id="125"/>
    <w:bookmarkStart w:id="126" w:name="guided-ai-workflow-7"/>
    <w:p>
      <w:pPr>
        <w:pStyle w:val="Heading2"/>
      </w:pPr>
      <w:r>
        <w:t xml:space="preserve">12.5 Guided AI Workflow</w:t>
      </w:r>
    </w:p>
    <w:p>
      <w:pPr>
        <w:pStyle w:val="FirstParagraph"/>
      </w:pPr>
      <w:r>
        <w:t xml:space="preserve">Use AI as a protocol critic, not as an authority on the field. Give the system the review question, purpose, boundaries, and inclusion/exclusion statements. Ask it to identify hidden assumptions, ambiguous terms, boundary conflicts, and types of scholarship that the protocol may systematically miss. Request alternative formulations and require an explanation of how each would change the corpus.</w:t>
      </w:r>
    </w:p>
    <w:p>
      <w:pPr>
        <w:pStyle w:val="BodyText"/>
      </w:pPr>
      <w:r>
        <w:rPr>
          <w:b/>
          <w:bCs/>
        </w:rPr>
        <w:t xml:space="preserve">Permitted input:</w:t>
      </w:r>
      <w:r>
        <w:t xml:space="preserve"> </w:t>
      </w:r>
      <w:r>
        <w:t xml:space="preserve">The review protocol, public project description, and invented examples.</w:t>
      </w:r>
      <w:r>
        <w:br/>
      </w:r>
      <w:r>
        <w:rPr>
          <w:b/>
          <w:bCs/>
        </w:rPr>
        <w:t xml:space="preserve">Do not provide:</w:t>
      </w:r>
      <w:r>
        <w:t xml:space="preserve"> </w:t>
      </w:r>
      <w:r>
        <w:t xml:space="preserve">Confidential peer-review material, restricted research plans, participant information, or unpublished allegations.</w:t>
      </w:r>
      <w:r>
        <w:br/>
      </w:r>
      <w:r>
        <w:rPr>
          <w:b/>
          <w:bCs/>
        </w:rPr>
        <w:t xml:space="preserve">Verify:</w:t>
      </w:r>
      <w:r>
        <w:t xml:space="preserve"> </w:t>
      </w:r>
      <w:r>
        <w:t xml:space="preserve">Test every suggested boundary or publication type against the research purpose and an independently verified example. The model’s claim that a field uses a term is not evidence that it does.</w:t>
      </w:r>
      <w:r>
        <w:br/>
      </w:r>
      <w:r>
        <w:rPr>
          <w:b/>
          <w:bCs/>
        </w:rPr>
        <w:t xml:space="preserve">Record:</w:t>
      </w:r>
      <w:r>
        <w:t xml:space="preserve"> </w:t>
      </w:r>
      <w:r>
        <w:t xml:space="preserve">Save suggestions that change scope, inclusion logic, language coverage, or the anticipated product. Record rejected consequential suggestions and the reason for rejection.</w:t>
      </w:r>
    </w:p>
    <w:p>
      <w:pPr>
        <w:pStyle w:val="BodyText"/>
      </w:pPr>
      <w:r>
        <w:t xml:space="preserve">A useful prompt ends with a required table: assumption; why it matters; possible revision; effect on evidence required; verification action. The structure makes proposals easier to inspect. Do not ask the model to select the “best” protocol. That choice depends on the project’s intellectual commitments and constraints.</w:t>
      </w:r>
    </w:p>
    <w:bookmarkEnd w:id="126"/>
    <w:bookmarkStart w:id="127" w:name="integrity-checkpoint-7"/>
    <w:p>
      <w:pPr>
        <w:pStyle w:val="Heading2"/>
      </w:pPr>
      <w:r>
        <w:t xml:space="preserve">12.6 Integrity Checkpoint</w:t>
      </w:r>
    </w:p>
    <w:p>
      <w:pPr>
        <w:pStyle w:val="FirstParagraph"/>
      </w:pPr>
      <w:r>
        <w:t xml:space="preserve">Scope can encode bias while appearing neutral. Language limits may remove scholarship produced by the communities being studied. Date limits may privilege contemporary terminology. Journal-only rules may exclude books in fields where books carry central arguments, or reports in fields where institutions produce the relevant evidence. Citation thresholds can exclude new work and scholarship outside dominant networks.</w:t>
      </w:r>
    </w:p>
    <w:p>
      <w:pPr>
        <w:pStyle w:val="BodyText"/>
      </w:pPr>
      <w:r>
        <w:t xml:space="preserve">Review protocols also create strategic temptations. A researcher may define inclusion after seeing which works support the preferred argument. Versioning does not prohibit change; it distinguishes learning from retrospective tailoring. Date the initial protocol, state why it changed, and preserve both versions.</w:t>
      </w:r>
    </w:p>
    <w:p>
      <w:pPr>
        <w:pStyle w:val="BodyText"/>
      </w:pPr>
      <w:r>
        <w:t xml:space="preserve">Copyright and access deserve separate attention. A paywall is not evidence of low relevance. An illegally obtained copy does not become safe to redistribute because it supports open scholarship. Record access barriers and seek lawful routes through libraries, authors, repositories, or interlibrary services.</w:t>
      </w:r>
    </w:p>
    <w:bookmarkEnd w:id="127"/>
    <w:bookmarkStart w:id="128" w:name="save-the-artifact-7"/>
    <w:p>
      <w:pPr>
        <w:pStyle w:val="Heading2"/>
      </w:pPr>
      <w:r>
        <w:t xml:space="preserve">12.7 Save the Artifact</w:t>
      </w:r>
    </w:p>
    <w:p>
      <w:pPr>
        <w:pStyle w:val="FirstParagraph"/>
      </w:pPr>
      <w:r>
        <w:t xml:space="preserve">Save</w:t>
      </w:r>
      <w:r>
        <w:t xml:space="preserve"> </w:t>
      </w:r>
      <w:r>
        <w:rPr>
          <w:rStyle w:val="VerbatimChar"/>
        </w:rPr>
        <w:t xml:space="preserve">literature-review-protocol-v0.1.docx</w:t>
      </w:r>
      <w:r>
        <w:t xml:space="preserve">. Required fields are project ID, review question, leading function, secondary functions, anticipated product, audience, boundaries, inclusion logic, exclusion logic, languages, publication types, discovery routes to be attempted, full-text threshold, AI/data restrictions, practical constraints, initial stopping rule, reopening triggers, date, author, and reviewer.</w:t>
      </w:r>
    </w:p>
    <w:p>
      <w:pPr>
        <w:pStyle w:val="BodyText"/>
      </w:pPr>
      <w:r>
        <w:t xml:space="preserve">Link the protocol to the evidence map and project log. When it changes, create version 0.2 and add a short change note. Do not overwrite the reasoning that governed earlier searches.</w:t>
      </w:r>
    </w:p>
    <w:bookmarkEnd w:id="128"/>
    <w:bookmarkStart w:id="129" w:name="advanced-practice-7"/>
    <w:p>
      <w:pPr>
        <w:pStyle w:val="Heading2"/>
      </w:pPr>
      <w:r>
        <w:t xml:space="preserve">12.8 Advanced Practice</w:t>
      </w:r>
    </w:p>
    <w:p>
      <w:pPr>
        <w:pStyle w:val="FirstParagraph"/>
      </w:pPr>
      <w:r>
        <w:t xml:space="preserve">Some reviews cannot specify all inclusion criteria in advance. An interpretive review may discover that the field’s categories are part of the phenomenon under study. A critical review may deliberately trace how a dominant vocabulary excluded alternative traditions. A realist synthesis may refine its program theory while searching. In these cases, the protocol should define the process of adaptation rather than pretend that the final boundaries existed at the start.</w:t>
      </w:r>
    </w:p>
    <w:p>
      <w:pPr>
        <w:pStyle w:val="BodyText"/>
      </w:pPr>
      <w:r>
        <w:t xml:space="preserve">Team reviews should calibrate inclusion rules on a shared small set before scaling. Living reviews also require monitoring routes, maintenance ownership, and conditions for a new synthesis.</w:t>
      </w:r>
    </w:p>
    <w:bookmarkEnd w:id="129"/>
    <w:bookmarkEnd w:id="130"/>
    <w:bookmarkStart w:id="140" w:name="stage-2-map-concepts-and-vocabulary"/>
    <w:p>
      <w:pPr>
        <w:pStyle w:val="Heading1"/>
      </w:pPr>
      <w:r>
        <w:t xml:space="preserve">13. Stage 2: Map Concepts and Vocabulary</w:t>
      </w:r>
    </w:p>
    <w:bookmarkStart w:id="131" w:name="orientation-8"/>
    <w:p>
      <w:pPr>
        <w:pStyle w:val="Heading2"/>
      </w:pPr>
      <w:r>
        <w:t xml:space="preserve">13.1 Orientation</w:t>
      </w:r>
    </w:p>
    <w:p>
      <w:pPr>
        <w:pStyle w:val="FirstParagraph"/>
      </w:pPr>
      <w:r>
        <w:t xml:space="preserve">Researchers ask questions in concepts; search systems retrieve representations of words. Between the two sits a translation problem. A well-framed review can still retrieve a distorted literature if the query uses only the researcher’s preferred term. Older scholarship may use a discarded label. Another discipline may study the same process under a different name. A local-language literature may divide one English concept into several terms. Conversely, a familiar word may collect incompatible meanings and flood the search with false matches.</w:t>
      </w:r>
    </w:p>
    <w:p>
      <w:pPr>
        <w:pStyle w:val="BodyText"/>
      </w:pPr>
      <w:r>
        <w:t xml:space="preserve">The concept-and-vocabulary map turns this problem into an explicit research task. It links what the researcher means to the terms that different authors, institutions, periods, and systems may use.</w:t>
      </w:r>
    </w:p>
    <w:bookmarkEnd w:id="131"/>
    <w:bookmarkStart w:id="133" w:name="learn-8"/>
    <w:p>
      <w:pPr>
        <w:pStyle w:val="Heading2"/>
      </w:pPr>
      <w:r>
        <w:t xml:space="preserve">13.2 Learn</w:t>
      </w:r>
    </w:p>
    <w:p>
      <w:pPr>
        <w:pStyle w:val="FirstParagraph"/>
      </w:pPr>
      <w:r>
        <w:t xml:space="preserve">Start with the concepts in the review question, but do not treat them as settled.</w:t>
      </w:r>
      <w:r>
        <w:rPr>
          <w:rStyle w:val="FootnoteReference"/>
        </w:rPr>
        <w:footnoteReference w:id="132"/>
      </w:r>
      <w:r>
        <w:t xml:space="preserve"> </w:t>
      </w:r>
      <w:r>
        <w:t xml:space="preserve">For each concept, record a working meaning, rival meanings, observable implications, and exclusions. The working meaning is a provisional guide, not a definition imposed on every source. A literature review often needs to discover how the concept has changed.</w:t>
      </w:r>
    </w:p>
    <w:p>
      <w:pPr>
        <w:pStyle w:val="BodyText"/>
      </w:pPr>
      <w:r>
        <w:t xml:space="preserve">Build several vocabulary families around each concept:</w:t>
      </w:r>
    </w:p>
    <w:p>
      <w:pPr>
        <w:pStyle w:val="Compact"/>
        <w:numPr>
          <w:ilvl w:val="0"/>
          <w:numId w:val="1003"/>
        </w:numPr>
      </w:pPr>
      <w:r>
        <w:rPr>
          <w:b/>
          <w:bCs/>
        </w:rPr>
        <w:t xml:space="preserve">Preferred terms</w:t>
      </w:r>
      <w:r>
        <w:t xml:space="preserve"> </w:t>
      </w:r>
      <w:r>
        <w:t xml:space="preserve">are the labels used in the current review.</w:t>
      </w:r>
    </w:p>
    <w:p>
      <w:pPr>
        <w:pStyle w:val="Compact"/>
        <w:numPr>
          <w:ilvl w:val="0"/>
          <w:numId w:val="1003"/>
        </w:numPr>
      </w:pPr>
      <w:r>
        <w:rPr>
          <w:b/>
          <w:bCs/>
        </w:rPr>
        <w:t xml:space="preserve">Synonyms and near-synonyms</w:t>
      </w:r>
      <w:r>
        <w:t xml:space="preserve"> </w:t>
      </w:r>
      <w:r>
        <w:t xml:space="preserve">identify alternative labels while noting differences in meaning.</w:t>
      </w:r>
    </w:p>
    <w:p>
      <w:pPr>
        <w:pStyle w:val="Compact"/>
        <w:numPr>
          <w:ilvl w:val="0"/>
          <w:numId w:val="1003"/>
        </w:numPr>
      </w:pPr>
      <w:r>
        <w:rPr>
          <w:b/>
          <w:bCs/>
        </w:rPr>
        <w:t xml:space="preserve">Broader and narrower terms</w:t>
      </w:r>
      <w:r>
        <w:t xml:space="preserve"> </w:t>
      </w:r>
      <w:r>
        <w:t xml:space="preserve">connect the concept to categories above and below it.</w:t>
      </w:r>
    </w:p>
    <w:p>
      <w:pPr>
        <w:pStyle w:val="Compact"/>
        <w:numPr>
          <w:ilvl w:val="0"/>
          <w:numId w:val="1003"/>
        </w:numPr>
      </w:pPr>
      <w:r>
        <w:rPr>
          <w:b/>
          <w:bCs/>
        </w:rPr>
        <w:t xml:space="preserve">Historical terms</w:t>
      </w:r>
      <w:r>
        <w:t xml:space="preserve"> </w:t>
      </w:r>
      <w:r>
        <w:t xml:space="preserve">capture labels used during earlier periods, including terms now considered inaccurate or offensive.</w:t>
      </w:r>
    </w:p>
    <w:p>
      <w:pPr>
        <w:pStyle w:val="Compact"/>
        <w:numPr>
          <w:ilvl w:val="0"/>
          <w:numId w:val="1003"/>
        </w:numPr>
      </w:pPr>
      <w:r>
        <w:rPr>
          <w:b/>
          <w:bCs/>
        </w:rPr>
        <w:t xml:space="preserve">Disciplinary terms</w:t>
      </w:r>
      <w:r>
        <w:t xml:space="preserve"> </w:t>
      </w:r>
      <w:r>
        <w:t xml:space="preserve">record how neighboring fields formulate the issue.</w:t>
      </w:r>
    </w:p>
    <w:p>
      <w:pPr>
        <w:pStyle w:val="Compact"/>
        <w:numPr>
          <w:ilvl w:val="0"/>
          <w:numId w:val="1003"/>
        </w:numPr>
      </w:pPr>
      <w:r>
        <w:rPr>
          <w:b/>
          <w:bCs/>
        </w:rPr>
        <w:t xml:space="preserve">Actor terms</w:t>
      </w:r>
      <w:r>
        <w:t xml:space="preserve"> </w:t>
      </w:r>
      <w:r>
        <w:t xml:space="preserve">preserve the vocabulary used by institutions, participants, or communities.</w:t>
      </w:r>
    </w:p>
    <w:p>
      <w:pPr>
        <w:pStyle w:val="Compact"/>
        <w:numPr>
          <w:ilvl w:val="0"/>
          <w:numId w:val="1003"/>
        </w:numPr>
      </w:pPr>
      <w:r>
        <w:rPr>
          <w:b/>
          <w:bCs/>
        </w:rPr>
        <w:t xml:space="preserve">Translations and transliterations</w:t>
      </w:r>
      <w:r>
        <w:t xml:space="preserve"> </w:t>
      </w:r>
      <w:r>
        <w:t xml:space="preserve">record language variants, scripts, spelling systems, and false equivalents.</w:t>
      </w:r>
    </w:p>
    <w:p>
      <w:pPr>
        <w:pStyle w:val="Compact"/>
        <w:numPr>
          <w:ilvl w:val="0"/>
          <w:numId w:val="1003"/>
        </w:numPr>
      </w:pPr>
      <w:r>
        <w:rPr>
          <w:b/>
          <w:bCs/>
        </w:rPr>
        <w:t xml:space="preserve">Acronyms, abbreviations, and names</w:t>
      </w:r>
      <w:r>
        <w:t xml:space="preserve"> </w:t>
      </w:r>
      <w:r>
        <w:t xml:space="preserve">capture institutional and technical shorthand.</w:t>
      </w:r>
    </w:p>
    <w:p>
      <w:pPr>
        <w:pStyle w:val="Compact"/>
        <w:numPr>
          <w:ilvl w:val="0"/>
          <w:numId w:val="1003"/>
        </w:numPr>
      </w:pPr>
      <w:r>
        <w:rPr>
          <w:b/>
          <w:bCs/>
        </w:rPr>
        <w:t xml:space="preserve">Exclusion terms</w:t>
      </w:r>
      <w:r>
        <w:t xml:space="preserve"> </w:t>
      </w:r>
      <w:r>
        <w:t xml:space="preserve">reduce recurring irrelevant results without erasing genuinely ambiguous uses.</w:t>
      </w:r>
    </w:p>
    <w:p>
      <w:pPr>
        <w:pStyle w:val="FirstParagraph"/>
      </w:pPr>
      <w:r>
        <w:t xml:space="preserve">Do not collapse these entries into one undifferentiated synonym list. A historical administrative label is not equivalent to a community’s self-description. A legal category may resemble a social-scientific concept while carrying a different threshold. Those differences belong in the map because they may later explain disagreements in the literature.</w:t>
      </w:r>
    </w:p>
    <w:p>
      <w:pPr>
        <w:pStyle w:val="BodyText"/>
      </w:pPr>
      <w:r>
        <w:t xml:space="preserve">Vocabulary comes from several places. Begin with the research question and a small orientation set: a recent handbook chapter, authoritative review, known foundational work, codebook, glossary, or policy document. Extract terms from titles, abstracts, keywords, subject headings, indexes, and the vocabulary authors use when disagreeing. Search promising terms and inspect what they retrieve. New results supply new vocabulary. The map and the search therefore develop together.</w:t>
      </w:r>
    </w:p>
    <w:p>
      <w:pPr>
        <w:pStyle w:val="BodyText"/>
      </w:pPr>
      <w:r>
        <w:t xml:space="preserve">Controlled vocabulary can connect inconsistent language but represents a cataloguing system whose coverage varies. Record the heading and system. Treat names as concepts when institutions, programs, places, or authors have consequential variants.</w:t>
      </w:r>
    </w:p>
    <w:p>
      <w:pPr>
        <w:pStyle w:val="BodyText"/>
      </w:pPr>
      <w:r>
        <w:t xml:space="preserve">The map should also preserve relationships. Mark terms as equivalent, overlapping, nested, opposed, historically successive, actor-specific, or contested. These relations help construct queries and later interpret results. If two terms are only partially overlapping, searching them with</w:t>
      </w:r>
      <w:r>
        <w:t xml:space="preserve"> </w:t>
      </w:r>
      <w:r>
        <w:rPr>
          <w:rStyle w:val="VerbatimChar"/>
        </w:rPr>
        <w:t xml:space="preserve">OR</w:t>
      </w:r>
      <w:r>
        <w:t xml:space="preserve"> </w:t>
      </w:r>
      <w:r>
        <w:t xml:space="preserve">broadens retrieval but does not make them conceptually identical.</w:t>
      </w:r>
    </w:p>
    <w:bookmarkEnd w:id="133"/>
    <w:bookmarkStart w:id="134" w:name="worked-example-8"/>
    <w:p>
      <w:pPr>
        <w:pStyle w:val="Heading2"/>
      </w:pPr>
      <w:r>
        <w:t xml:space="preserve">13.3 Worked Example</w:t>
      </w:r>
    </w:p>
    <w:p>
      <w:pPr>
        <w:pStyle w:val="FirstParagraph"/>
      </w:pPr>
      <w:r>
        <w:t xml:space="preserve">The terrorism review begins with apparently stable terms:</w:t>
      </w:r>
      <w:r>
        <w:t xml:space="preserve"> </w:t>
      </w:r>
      <w:r>
        <w:rPr>
          <w:i/>
          <w:iCs/>
        </w:rPr>
        <w:t xml:space="preserve">terrorism</w:t>
      </w:r>
      <w:r>
        <w:t xml:space="preserve">,</w:t>
      </w:r>
      <w:r>
        <w:t xml:space="preserve"> </w:t>
      </w:r>
      <w:r>
        <w:rPr>
          <w:i/>
          <w:iCs/>
        </w:rPr>
        <w:t xml:space="preserve">event data</w:t>
      </w:r>
      <w:r>
        <w:t xml:space="preserve">,</w:t>
      </w:r>
      <w:r>
        <w:t xml:space="preserve"> </w:t>
      </w:r>
      <w:r>
        <w:rPr>
          <w:i/>
          <w:iCs/>
        </w:rPr>
        <w:t xml:space="preserve">domestic</w:t>
      </w:r>
      <w:r>
        <w:t xml:space="preserve">,</w:t>
      </w:r>
      <w:r>
        <w:t xml:space="preserve"> </w:t>
      </w:r>
      <w:r>
        <w:rPr>
          <w:i/>
          <w:iCs/>
        </w:rPr>
        <w:t xml:space="preserve">transnational</w:t>
      </w:r>
      <w:r>
        <w:t xml:space="preserve">,</w:t>
      </w:r>
      <w:r>
        <w:t xml:space="preserve"> </w:t>
      </w:r>
      <w:r>
        <w:rPr>
          <w:i/>
          <w:iCs/>
        </w:rPr>
        <w:t xml:space="preserve">database</w:t>
      </w:r>
      <w:r>
        <w:t xml:space="preserve">,</w:t>
      </w:r>
      <w:r>
        <w:t xml:space="preserve"> </w:t>
      </w:r>
      <w:r>
        <w:rPr>
          <w:i/>
          <w:iCs/>
        </w:rPr>
        <w:t xml:space="preserve">dataset</w:t>
      </w:r>
      <w:r>
        <w:t xml:space="preserve">,</w:t>
      </w:r>
      <w:r>
        <w:t xml:space="preserve"> </w:t>
      </w:r>
      <w:r>
        <w:rPr>
          <w:i/>
          <w:iCs/>
        </w:rPr>
        <w:t xml:space="preserve">coding</w:t>
      </w:r>
      <w:r>
        <w:t xml:space="preserve">, and</w:t>
      </w:r>
      <w:r>
        <w:t xml:space="preserve"> </w:t>
      </w:r>
      <w:r>
        <w:rPr>
          <w:i/>
          <w:iCs/>
        </w:rPr>
        <w:t xml:space="preserve">validation</w:t>
      </w:r>
      <w:r>
        <w:t xml:space="preserve">. Each quickly divides.</w:t>
      </w:r>
    </w:p>
    <w:p>
      <w:pPr>
        <w:pStyle w:val="BodyText"/>
      </w:pPr>
      <w:r>
        <w:t xml:space="preserve">Research may distinguish terrorism from insurgency, guerrilla violence, hate crime, state repression, or armed conflict, while particular datasets include or exclude boundary cases differently.</w:t>
      </w:r>
      <w:r>
        <w:t xml:space="preserve"> </w:t>
      </w:r>
      <w:r>
        <w:rPr>
          <w:i/>
          <w:iCs/>
        </w:rPr>
        <w:t xml:space="preserve">Domestic</w:t>
      </w:r>
      <w:r>
        <w:t xml:space="preserve"> </w:t>
      </w:r>
      <w:r>
        <w:t xml:space="preserve">may describe the nationality of perpetrators and victims, the location of an event, the target’s identity, or the absence of foreign involvement.</w:t>
      </w:r>
      <w:r>
        <w:t xml:space="preserve"> </w:t>
      </w:r>
      <w:r>
        <w:rPr>
          <w:i/>
          <w:iCs/>
        </w:rPr>
        <w:t xml:space="preserve">Event data</w:t>
      </w:r>
      <w:r>
        <w:t xml:space="preserve"> </w:t>
      </w:r>
      <w:r>
        <w:t xml:space="preserve">appears alongside incident data, conflict events, political violence data, and machine-coded events. Validation may mean checking events against sources, comparing datasets, measuring coding reliability, or assessing whether a variable captures a theoretical construct.</w:t>
      </w:r>
    </w:p>
    <w:p>
      <w:pPr>
        <w:pStyle w:val="BodyText"/>
      </w:pPr>
      <w:r>
        <w:t xml:space="preserve">The vocabulary map records these as contested relations rather than interchangeable strings. A query cycle might join</w:t>
      </w:r>
      <w:r>
        <w:t xml:space="preserve"> </w:t>
      </w:r>
      <w:r>
        <w:rPr>
          <w:rStyle w:val="VerbatimChar"/>
        </w:rPr>
        <w:t xml:space="preserve">(terror* OR political violence)</w:t>
      </w:r>
      <w:r>
        <w:t xml:space="preserve"> </w:t>
      </w:r>
      <w:r>
        <w:t xml:space="preserve">with</w:t>
      </w:r>
      <w:r>
        <w:t xml:space="preserve"> </w:t>
      </w:r>
      <w:r>
        <w:rPr>
          <w:rStyle w:val="VerbatimChar"/>
        </w:rPr>
        <w:t xml:space="preserve">(database* OR dataset* OR event data)</w:t>
      </w:r>
      <w:r>
        <w:t xml:space="preserve"> </w:t>
      </w:r>
      <w:r>
        <w:t xml:space="preserve">and</w:t>
      </w:r>
      <w:r>
        <w:t xml:space="preserve"> </w:t>
      </w:r>
      <w:r>
        <w:rPr>
          <w:rStyle w:val="VerbatimChar"/>
        </w:rPr>
        <w:t xml:space="preserve">(valid* OR compar* OR coverage OR coding)</w:t>
      </w:r>
      <w:r>
        <w:t xml:space="preserve">, then test narrower terms learned from relevant works. The researcher records which additions improve retrieval and which create noise. A model’s suggestion to add</w:t>
      </w:r>
      <w:r>
        <w:t xml:space="preserve"> </w:t>
      </w:r>
      <w:r>
        <w:rPr>
          <w:i/>
          <w:iCs/>
        </w:rPr>
        <w:t xml:space="preserve">benchmark</w:t>
      </w:r>
      <w:r>
        <w:t xml:space="preserve"> </w:t>
      </w:r>
      <w:r>
        <w:t xml:space="preserve">may be useful in computational work but less so in historical validation; the map keeps that decision visible.</w:t>
      </w:r>
    </w:p>
    <w:p>
      <w:pPr>
        <w:pStyle w:val="BodyText"/>
      </w:pPr>
      <w:r>
        <w:t xml:space="preserve">In the municipal case, agency names and settlement labels change across periods and actors. The map connects terms to period, actor, language, and evidentiary risk so historical vocabulary can support retrieval without becoming the researcher’s unmarked description.</w:t>
      </w:r>
    </w:p>
    <w:bookmarkEnd w:id="134"/>
    <w:bookmarkStart w:id="135" w:name="try-it-8"/>
    <w:p>
      <w:pPr>
        <w:pStyle w:val="Heading2"/>
      </w:pPr>
      <w:r>
        <w:t xml:space="preserve">13.4 Try It</w:t>
      </w:r>
    </w:p>
    <w:p>
      <w:pPr>
        <w:pStyle w:val="FirstParagraph"/>
      </w:pPr>
      <w:r>
        <w:t xml:space="preserve">Choose three concepts central to the review. For each, create entries for working meaning, at least two rival meanings, one broader term, one narrower term, two disciplinary or actor terms, relevant historical terms, translations, and exclusions. If a category does not apply, record why rather than leaving an unexplained blank.</w:t>
      </w:r>
    </w:p>
    <w:p>
      <w:pPr>
        <w:pStyle w:val="BodyText"/>
      </w:pPr>
      <w:r>
        <w:t xml:space="preserve">Select one orientation source and trace its vocabulary. Highlight the terms used in the title and abstract, the keywords supplied by the author, subject headings supplied by an index, and alternative terms used in the body. Mark who supplied each term. This small exercise shows how a publication receives several layers of description.</w:t>
      </w:r>
    </w:p>
    <w:p>
      <w:pPr>
        <w:pStyle w:val="BodyText"/>
      </w:pPr>
      <w:r>
        <w:t xml:space="preserve">Construct three query variants from the map:</w:t>
      </w:r>
    </w:p>
    <w:p>
      <w:pPr>
        <w:pStyle w:val="Compact"/>
        <w:numPr>
          <w:ilvl w:val="0"/>
          <w:numId w:val="1004"/>
        </w:numPr>
      </w:pPr>
      <w:r>
        <w:t xml:space="preserve">a precise query using the preferred term and one methodological term;</w:t>
      </w:r>
    </w:p>
    <w:p>
      <w:pPr>
        <w:pStyle w:val="Compact"/>
        <w:numPr>
          <w:ilvl w:val="0"/>
          <w:numId w:val="1004"/>
        </w:numPr>
      </w:pPr>
      <w:r>
        <w:t xml:space="preserve">a broad query using synonyms, historical terms, or disciplinary variants;</w:t>
      </w:r>
    </w:p>
    <w:p>
      <w:pPr>
        <w:pStyle w:val="Compact"/>
        <w:numPr>
          <w:ilvl w:val="0"/>
          <w:numId w:val="1004"/>
        </w:numPr>
      </w:pPr>
      <w:r>
        <w:t xml:space="preserve">a boundary query designed to find neighboring concepts that may challenge the review’s definition.</w:t>
      </w:r>
    </w:p>
    <w:p>
      <w:pPr>
        <w:pStyle w:val="FirstParagraph"/>
      </w:pPr>
      <w:r>
        <w:t xml:space="preserve">Run the queries in one appropriate system. Sample the results rather than collecting everything. Record which kinds of work each query reveals, which irrelevant literatures appear, and which new terms deserve another cycle. Revise the map, retaining the earlier version.</w:t>
      </w:r>
    </w:p>
    <w:bookmarkEnd w:id="135"/>
    <w:bookmarkStart w:id="136" w:name="guided-ai-workflow-8"/>
    <w:p>
      <w:pPr>
        <w:pStyle w:val="Heading2"/>
      </w:pPr>
      <w:r>
        <w:t xml:space="preserve">13.5 Guided AI Workflow</w:t>
      </w:r>
    </w:p>
    <w:p>
      <w:pPr>
        <w:pStyle w:val="FirstParagraph"/>
      </w:pPr>
      <w:r>
        <w:t xml:space="preserve">AI can accelerate vocabulary expansion when it is given a defined concept and asked to separate kinds of terms. Provide the working meaning, period, setting, disciplines, and languages. Ask for candidate historical labels, disciplinary variants, actor vocabulary, translations, acronyms, and neighboring concepts. Require a reason for each candidate and a proposed way to verify actual usage.</w:t>
      </w:r>
    </w:p>
    <w:p>
      <w:pPr>
        <w:pStyle w:val="BodyText"/>
      </w:pPr>
      <w:r>
        <w:rPr>
          <w:b/>
          <w:bCs/>
        </w:rPr>
        <w:t xml:space="preserve">Permitted input:</w:t>
      </w:r>
      <w:r>
        <w:t xml:space="preserve"> </w:t>
      </w:r>
      <w:r>
        <w:t xml:space="preserve">Public definitions, verified excerpts, project scope, languages, and non-sensitive example queries.</w:t>
      </w:r>
      <w:r>
        <w:br/>
      </w:r>
      <w:r>
        <w:rPr>
          <w:b/>
          <w:bCs/>
        </w:rPr>
        <w:t xml:space="preserve">Do not provide:</w:t>
      </w:r>
      <w:r>
        <w:t xml:space="preserve"> </w:t>
      </w:r>
      <w:r>
        <w:t xml:space="preserve">Restricted archival descriptions, participant language that could identify a person, unpublished peer-review text, or entire copyrighted works.</w:t>
      </w:r>
      <w:r>
        <w:br/>
      </w:r>
      <w:r>
        <w:rPr>
          <w:b/>
          <w:bCs/>
        </w:rPr>
        <w:t xml:space="preserve">Verify:</w:t>
      </w:r>
      <w:r>
        <w:t xml:space="preserve"> </w:t>
      </w:r>
      <w:r>
        <w:t xml:space="preserve">Confirm every candidate term in a source created by the relevant field, actor, institution, or period. Test the term in an appropriate search system and inspect results.</w:t>
      </w:r>
      <w:r>
        <w:br/>
      </w:r>
      <w:r>
        <w:rPr>
          <w:b/>
          <w:bCs/>
        </w:rPr>
        <w:t xml:space="preserve">Record:</w:t>
      </w:r>
      <w:r>
        <w:t xml:space="preserve"> </w:t>
      </w:r>
      <w:r>
        <w:t xml:space="preserve">Log terms that enter or leave the map, the model and date, the verification source, query effect, and the researcher’s decision.</w:t>
      </w:r>
    </w:p>
    <w:p>
      <w:pPr>
        <w:pStyle w:val="BodyText"/>
      </w:pPr>
      <w:r>
        <w:t xml:space="preserve">Ask the system to flag false friends and semantic drift rather than merely translate. A literal translation may be linguistically correct and absent from the field. A term used today may not have existed during the period under study. A model can propose these risks; it cannot establish historical usage without sources.</w:t>
      </w:r>
    </w:p>
    <w:p>
      <w:pPr>
        <w:pStyle w:val="BodyText"/>
      </w:pPr>
      <w:r>
        <w:t xml:space="preserve">A second pass can ask for terms associated with a neighboring discipline or affected community. Treat the output as a coverage challenge, never as a substitute for scholarship or testimony from that community.</w:t>
      </w:r>
    </w:p>
    <w:bookmarkEnd w:id="136"/>
    <w:bookmarkStart w:id="137" w:name="integrity-checkpoint-8"/>
    <w:p>
      <w:pPr>
        <w:pStyle w:val="Heading2"/>
      </w:pPr>
      <w:r>
        <w:t xml:space="preserve">13.6 Integrity Checkpoint</w:t>
      </w:r>
    </w:p>
    <w:p>
      <w:pPr>
        <w:pStyle w:val="FirstParagraph"/>
      </w:pPr>
      <w:r>
        <w:t xml:space="preserve">Vocabulary is never merely technical. Labels can stigmatize, legitimize, or erase. Preserve historically necessary terms with context and quotation marks when appropriate. Distinguish the language used to find a source from the language used to describe people in the manuscript.</w:t>
      </w:r>
    </w:p>
    <w:p>
      <w:pPr>
        <w:pStyle w:val="BodyText"/>
      </w:pPr>
      <w:r>
        <w:t xml:space="preserve">Search vocabulary can also reproduce disciplinary hierarchy. Terms familiar to dominant English-language journals may crowd out local conceptual traditions. Translation into English can make distinct categories appear equivalent. Record the original-language term beside the translation and note whether equivalence is exact, approximate, contested, or unknown.</w:t>
      </w:r>
    </w:p>
    <w:p>
      <w:pPr>
        <w:pStyle w:val="BodyText"/>
      </w:pPr>
      <w:r>
        <w:t xml:space="preserve">Do not optimize only for recall. Adding every imaginable synonym can produce a corpus so noisy that selection becomes opaque. Each term needs a relation to the concept and a reason for inclusion. Exclusion terms require equal care: removing a word to reduce noise may also remove a relevant minority usage.</w:t>
      </w:r>
    </w:p>
    <w:bookmarkEnd w:id="137"/>
    <w:bookmarkStart w:id="138" w:name="save-the-artifact-8"/>
    <w:p>
      <w:pPr>
        <w:pStyle w:val="Heading2"/>
      </w:pPr>
      <w:r>
        <w:t xml:space="preserve">13.7 Save the Artifact</w:t>
      </w:r>
    </w:p>
    <w:p>
      <w:pPr>
        <w:pStyle w:val="FirstParagraph"/>
      </w:pPr>
      <w:r>
        <w:t xml:space="preserve">Save</w:t>
      </w:r>
      <w:r>
        <w:t xml:space="preserve"> </w:t>
      </w:r>
      <w:r>
        <w:rPr>
          <w:rStyle w:val="VerbatimChar"/>
        </w:rPr>
        <w:t xml:space="preserve">literature-concept-vocabulary-map-v0.1.xlsx</w:t>
      </w:r>
      <w:r>
        <w:t xml:space="preserve">. Assign stable concept IDs and term IDs. Required concept fields are working meaning, rival meanings, boundaries, observable implications, period, setting, and linked review-question component. Required vocabulary fields are term, language, script or transliteration, term type, actor or discipline, period of use, relation to concept, verification source, query tested, retrieval effect, decision, and notes on responsible usage.</w:t>
      </w:r>
    </w:p>
    <w:p>
      <w:pPr>
        <w:pStyle w:val="BodyText"/>
      </w:pPr>
      <w:r>
        <w:t xml:space="preserve">Link every consequential query in the search log to the relevant term IDs. When a term changes the corpus, preserve the map version that preceded the change. The provenance of the term matters: a candidate proposed by a model and verified in an archival thesaurus has a different history from a subject heading copied from a database.</w:t>
      </w:r>
    </w:p>
    <w:bookmarkEnd w:id="138"/>
    <w:bookmarkStart w:id="139" w:name="advanced-practice-8"/>
    <w:p>
      <w:pPr>
        <w:pStyle w:val="Heading2"/>
      </w:pPr>
      <w:r>
        <w:t xml:space="preserve">13.8 Advanced Practice</w:t>
      </w:r>
    </w:p>
    <w:p>
      <w:pPr>
        <w:pStyle w:val="FirstParagraph"/>
      </w:pPr>
      <w:r>
        <w:t xml:space="preserve">Concept formation may be the review’s central analytical task rather than a preliminary step. In that case, do not force all works into a single definition. Build a definition matrix that compares attributes, extension, cases included and excluded, causal role, normative content, and measurement. Track lineages: which authors adopt, modify, or reject earlier definitions? The resulting map can reveal that an apparent empirical disagreement is conceptual, or that verbal disagreement hides similar case boundaries.</w:t>
      </w:r>
    </w:p>
    <w:p>
      <w:pPr>
        <w:pStyle w:val="BodyText"/>
      </w:pPr>
      <w:r>
        <w:t xml:space="preserve">Multilingual teams should calibrate concepts, not only translate queries, and record non-equivalence as a finding. Stable IDs and explicit relations usually suffice; formalize the map only for a real downstream task.</w:t>
      </w:r>
    </w:p>
    <w:bookmarkEnd w:id="139"/>
    <w:bookmarkEnd w:id="140"/>
    <w:bookmarkStart w:id="153" w:name="stage-3-discover-through-multiple-routes"/>
    <w:p>
      <w:pPr>
        <w:pStyle w:val="Heading1"/>
      </w:pPr>
      <w:r>
        <w:t xml:space="preserve">14. Stage 3: Discover Through Multiple Routes</w:t>
      </w:r>
    </w:p>
    <w:bookmarkStart w:id="141" w:name="orientation-9"/>
    <w:p>
      <w:pPr>
        <w:pStyle w:val="Heading2"/>
      </w:pPr>
      <w:r>
        <w:t xml:space="preserve">14.1 Orientation</w:t>
      </w:r>
    </w:p>
    <w:p>
      <w:pPr>
        <w:pStyle w:val="FirstParagraph"/>
      </w:pPr>
      <w:r>
        <w:t xml:space="preserve">No single discovery route reveals “the literature.” A database query retrieves records covered by that database, described in the fields it indexes, and matched by the query at that moment. Citation chaining follows relationships created by authors and indexing systems. An author search follows careers. A handbook follows an editor’s map of a field. Each route makes some scholarship visible and leaves other scholarship in shadow.</w:t>
      </w:r>
    </w:p>
    <w:p>
      <w:pPr>
        <w:pStyle w:val="BodyText"/>
      </w:pPr>
      <w:r>
        <w:t xml:space="preserve">Discovery becomes more defensible when routes are combined and recorded. The aim is not to search everywhere. It is to understand how each route selects and to use complementary routes for the review’s purpose.</w:t>
      </w:r>
    </w:p>
    <w:bookmarkEnd w:id="141"/>
    <w:bookmarkStart w:id="146" w:name="learn-9"/>
    <w:p>
      <w:pPr>
        <w:pStyle w:val="Heading2"/>
      </w:pPr>
      <w:r>
        <w:t xml:space="preserve">14.2 Learn</w:t>
      </w:r>
    </w:p>
    <w:p>
      <w:pPr>
        <w:pStyle w:val="FirstParagraph"/>
      </w:pPr>
      <w:r>
        <w:t xml:space="preserve">Begin with a small orientation set rather than a massive download. Select a recent authoritative review or handbook chapter, one or two known foundational works, and a work close to the empirical setting. Read enough to learn the field’s vocabulary, main disputes, cited lineages, relevant publication types, and likely indexes. Orientation sources are maps, not automatic members of the final corpus.</w:t>
      </w:r>
    </w:p>
    <w:p>
      <w:pPr>
        <w:pStyle w:val="BodyText"/>
      </w:pPr>
      <w:r>
        <w:t xml:space="preserve">Use</w:t>
      </w:r>
      <w:r>
        <w:t xml:space="preserve"> </w:t>
      </w:r>
      <w:r>
        <w:rPr>
          <w:b/>
          <w:bCs/>
        </w:rPr>
        <w:t xml:space="preserve">structured database searching</w:t>
      </w:r>
      <w:r>
        <w:t xml:space="preserve"> </w:t>
      </w:r>
      <w:r>
        <w:t xml:space="preserve">when bibliographic fields and repeatable queries matter. Record the system, collection or index, date, exact query, fields searched, filters, result count, and records retained. A query copied from one system may behave differently in another because field codes, stemming, phrase handling, subject vocabularies, and coverage differ. Preserve the executed form rather than an idealized description.</w:t>
      </w:r>
    </w:p>
    <w:p>
      <w:pPr>
        <w:pStyle w:val="BodyText"/>
      </w:pPr>
      <w:r>
        <w:t xml:space="preserve">Use</w:t>
      </w:r>
      <w:r>
        <w:t xml:space="preserve"> </w:t>
      </w:r>
      <w:r>
        <w:rPr>
          <w:b/>
          <w:bCs/>
        </w:rPr>
        <w:t xml:space="preserve">backward citation chaining</w:t>
      </w:r>
      <w:r>
        <w:t xml:space="preserve"> </w:t>
      </w:r>
      <w:r>
        <w:t xml:space="preserve">to inspect the works a relevant publication cites.</w:t>
      </w:r>
      <w:r>
        <w:rPr>
          <w:rStyle w:val="FootnoteReference"/>
        </w:rPr>
        <w:footnoteReference w:id="142"/>
      </w:r>
      <w:r>
        <w:t xml:space="preserve"> </w:t>
      </w:r>
      <w:r>
        <w:t xml:space="preserve">This route can reveal concepts, methods, datasets, and disputes that predate the vocabulary used in the query. It can also reproduce the author’s exclusions. Follow references selectively and record why a cited work appears promising.</w:t>
      </w:r>
    </w:p>
    <w:p>
      <w:pPr>
        <w:pStyle w:val="BodyText"/>
      </w:pPr>
      <w:r>
        <w:t xml:space="preserve">Use</w:t>
      </w:r>
      <w:r>
        <w:t xml:space="preserve"> </w:t>
      </w:r>
      <w:r>
        <w:rPr>
          <w:b/>
          <w:bCs/>
        </w:rPr>
        <w:t xml:space="preserve">forward citation chaining</w:t>
      </w:r>
      <w:r>
        <w:t xml:space="preserve"> </w:t>
      </w:r>
      <w:r>
        <w:t xml:space="preserve">to find later works that cite a relevant publication. This route shows uptake, criticism, replication, application, or ceremonial citation. A citing work may mention the source without engaging its argument. Screen the citation context when possible.</w:t>
      </w:r>
    </w:p>
    <w:p>
      <w:pPr>
        <w:pStyle w:val="BodyText"/>
      </w:pPr>
      <w:r>
        <w:t xml:space="preserve">Use</w:t>
      </w:r>
      <w:r>
        <w:t xml:space="preserve"> </w:t>
      </w:r>
      <w:r>
        <w:rPr>
          <w:b/>
          <w:bCs/>
        </w:rPr>
        <w:t xml:space="preserve">author and institution tracing</w:t>
      </w:r>
      <w:r>
        <w:t xml:space="preserve"> </w:t>
      </w:r>
      <w:r>
        <w:t xml:space="preserve">when a research program, laboratory, archive, public agency, or data-producing organization shapes the field. Search name variants, affiliations, project pages, series titles, and successor institutions. This route is especially important when outputs include reports, documentation, working papers, or datasets that journal indexes handle unevenly.</w:t>
      </w:r>
    </w:p>
    <w:p>
      <w:pPr>
        <w:pStyle w:val="BodyText"/>
      </w:pPr>
      <w:r>
        <w:t xml:space="preserve">Use</w:t>
      </w:r>
      <w:r>
        <w:t xml:space="preserve"> </w:t>
      </w:r>
      <w:r>
        <w:rPr>
          <w:b/>
          <w:bCs/>
        </w:rPr>
        <w:t xml:space="preserve">venue browsing</w:t>
      </w:r>
      <w:r>
        <w:t xml:space="preserve"> </w:t>
      </w:r>
      <w:r>
        <w:t xml:space="preserve">when indexing is incomplete, while recognizing that it overrepresents one scholarly community.</w:t>
      </w:r>
    </w:p>
    <w:p>
      <w:pPr>
        <w:pStyle w:val="BodyText"/>
      </w:pPr>
      <w:r>
        <w:t xml:space="preserve">Use</w:t>
      </w:r>
      <w:r>
        <w:t xml:space="preserve"> </w:t>
      </w:r>
      <w:r>
        <w:rPr>
          <w:b/>
          <w:bCs/>
        </w:rPr>
        <w:t xml:space="preserve">targeted web discovery</w:t>
      </w:r>
      <w:r>
        <w:t xml:space="preserve"> </w:t>
      </w:r>
      <w:r>
        <w:t xml:space="preserve">for institutional publications, repositories, conference programs, preprints, data documentation, and hard-to-index material. Record the domain, query, date, and access status. General web ranking is personalized and unstable; save enough metadata to retrieve the item independently.</w:t>
      </w:r>
    </w:p>
    <w:p>
      <w:pPr>
        <w:pStyle w:val="BodyText"/>
      </w:pPr>
      <w:r>
        <w:t xml:space="preserve">Discovery proceeds in cycles.</w:t>
      </w:r>
      <w:r>
        <w:rPr>
          <w:rStyle w:val="FootnoteReference"/>
        </w:rPr>
        <w:footnoteReference w:id="144"/>
      </w:r>
      <w:r>
        <w:t xml:space="preserve"> </w:t>
      </w:r>
      <w:r>
        <w:t xml:space="preserve">Each cycle has a purpose: test a concept, locate a lineage, fill a geographical gap, follow a method, or challenge a suspected consensus. Screen enough results to decide whether the route is productive. Retain records with a reason, not because downloading is easy. At the end of the cycle, record new vocabulary, new source types, duplications, and the next decision.</w:t>
      </w:r>
    </w:p>
    <w:p>
      <w:pPr>
        <w:pStyle w:val="BodyText"/>
      </w:pPr>
      <w:r>
        <w:t xml:space="preserve">Deduplicate at the work level while linking preprint, conference, accepted, and published versions. Do not count manifestations as independent evidence.</w:t>
      </w:r>
    </w:p>
    <w:bookmarkEnd w:id="146"/>
    <w:bookmarkStart w:id="147" w:name="worked-example-9"/>
    <w:p>
      <w:pPr>
        <w:pStyle w:val="Heading2"/>
      </w:pPr>
      <w:r>
        <w:t xml:space="preserve">14.3 Worked Example</w:t>
      </w:r>
    </w:p>
    <w:p>
      <w:pPr>
        <w:pStyle w:val="FirstParagraph"/>
      </w:pPr>
      <w:r>
        <w:t xml:space="preserve">The terrorism review begins with an orientation set: database codebooks, a methodological comparison, and an empirical study whose findings depend on the domestic/transnational distinction. From these works we learn terms such as</w:t>
      </w:r>
      <w:r>
        <w:t xml:space="preserve"> </w:t>
      </w:r>
      <w:r>
        <w:rPr>
          <w:i/>
          <w:iCs/>
        </w:rPr>
        <w:t xml:space="preserve">event data</w:t>
      </w:r>
      <w:r>
        <w:t xml:space="preserve">,</w:t>
      </w:r>
      <w:r>
        <w:t xml:space="preserve"> </w:t>
      </w:r>
      <w:r>
        <w:rPr>
          <w:i/>
          <w:iCs/>
        </w:rPr>
        <w:t xml:space="preserve">inclusion criteria</w:t>
      </w:r>
      <w:r>
        <w:t xml:space="preserve">,</w:t>
      </w:r>
      <w:r>
        <w:t xml:space="preserve"> </w:t>
      </w:r>
      <w:r>
        <w:rPr>
          <w:i/>
          <w:iCs/>
        </w:rPr>
        <w:t xml:space="preserve">source coverage</w:t>
      </w:r>
      <w:r>
        <w:t xml:space="preserve">,</w:t>
      </w:r>
      <w:r>
        <w:t xml:space="preserve"> </w:t>
      </w:r>
      <w:r>
        <w:rPr>
          <w:i/>
          <w:iCs/>
        </w:rPr>
        <w:t xml:space="preserve">duplicate events</w:t>
      </w:r>
      <w:r>
        <w:t xml:space="preserve">,</w:t>
      </w:r>
      <w:r>
        <w:t xml:space="preserve"> </w:t>
      </w:r>
      <w:r>
        <w:rPr>
          <w:i/>
          <w:iCs/>
        </w:rPr>
        <w:t xml:space="preserve">classification</w:t>
      </w:r>
      <w:r>
        <w:t xml:space="preserve">, and</w:t>
      </w:r>
      <w:r>
        <w:t xml:space="preserve"> </w:t>
      </w:r>
      <w:r>
        <w:rPr>
          <w:i/>
          <w:iCs/>
        </w:rPr>
        <w:t xml:space="preserve">validation</w:t>
      </w:r>
      <w:r>
        <w:t xml:space="preserve">. We also identify data-producing institutions and earlier collection projects.</w:t>
      </w:r>
    </w:p>
    <w:p>
      <w:pPr>
        <w:pStyle w:val="BodyText"/>
      </w:pPr>
      <w:r>
        <w:t xml:space="preserve">The first database cycle combines terrorism terms with dataset and validation terms. It retrieves direct comparisons but also many articles that validate predictive models rather than data construction. We record that ambiguity and refine the methodological vocabulary. A second cycle searches the names and acronyms of major datasets with terms for coding, coverage, and bias. A third follows references from comparison studies to codebooks and earlier critiques. Forward chaining shows whether documented limitations were later addressed, repeated, or ignored.</w:t>
      </w:r>
    </w:p>
    <w:p>
      <w:pPr>
        <w:pStyle w:val="BodyText"/>
      </w:pPr>
      <w:r>
        <w:t xml:space="preserve">The routes reveal that several later articles repeat one methodological source. The search log marks the shared lineage rather than treating repetition as independent confirmation.</w:t>
      </w:r>
    </w:p>
    <w:p>
      <w:pPr>
        <w:pStyle w:val="BodyText"/>
      </w:pPr>
      <w:r>
        <w:t xml:space="preserve">For the municipal agency, backward chaining reveals a former agency name; a local catalogue then uncovers dissertations and reports, while legal journals reveal a tenure vocabulary absent from planning queries. Each route corrects another’s selection mechanism.</w:t>
      </w:r>
    </w:p>
    <w:bookmarkEnd w:id="147"/>
    <w:bookmarkStart w:id="148" w:name="try-it-9"/>
    <w:p>
      <w:pPr>
        <w:pStyle w:val="Heading2"/>
      </w:pPr>
      <w:r>
        <w:t xml:space="preserve">14.4 Try It</w:t>
      </w:r>
    </w:p>
    <w:p>
      <w:pPr>
        <w:pStyle w:val="FirstParagraph"/>
      </w:pPr>
      <w:r>
        <w:t xml:space="preserve">Plan three discovery cycles, each with a different route and purpose. For example:</w:t>
      </w:r>
    </w:p>
    <w:p>
      <w:pPr>
        <w:pStyle w:val="Compact"/>
        <w:numPr>
          <w:ilvl w:val="0"/>
          <w:numId w:val="1005"/>
        </w:numPr>
      </w:pPr>
      <w:r>
        <w:t xml:space="preserve">a structured query to test the current concept vocabulary;</w:t>
      </w:r>
    </w:p>
    <w:p>
      <w:pPr>
        <w:pStyle w:val="Compact"/>
        <w:numPr>
          <w:ilvl w:val="0"/>
          <w:numId w:val="1005"/>
        </w:numPr>
      </w:pPr>
      <w:r>
        <w:t xml:space="preserve">backward and forward chaining from one anchor work;</w:t>
      </w:r>
    </w:p>
    <w:p>
      <w:pPr>
        <w:pStyle w:val="Compact"/>
        <w:numPr>
          <w:ilvl w:val="0"/>
          <w:numId w:val="1005"/>
        </w:numPr>
      </w:pPr>
      <w:r>
        <w:t xml:space="preserve">author, institution, venue, or repository tracing to address a known coverage risk.</w:t>
      </w:r>
    </w:p>
    <w:p>
      <w:pPr>
        <w:pStyle w:val="FirstParagraph"/>
      </w:pPr>
      <w:r>
        <w:t xml:space="preserve">Before running a cycle, write what success would look like. A cycle may succeed by finding relevant works, exposing a vocabulary problem, showing that a route is exhausted, or revealing that the expected literature does not exist in that form. “More results” is not a sufficient criterion.</w:t>
      </w:r>
    </w:p>
    <w:p>
      <w:pPr>
        <w:pStyle w:val="BodyText"/>
      </w:pPr>
      <w:r>
        <w:t xml:space="preserve">For every retained record, assign a provisional source ID and one retention reason: concept, theory, empirical finding, method, lineage, context, critique, or source lead. Use “uncertain” only with a next action. Sample rejected records and record the recurring rejection reasons. This helps determine whether the query is poorly calibrated or the corpus boundaries are working.</w:t>
      </w:r>
    </w:p>
    <w:p>
      <w:pPr>
        <w:pStyle w:val="BodyText"/>
      </w:pPr>
      <w:r>
        <w:t xml:space="preserve">At the end, identify where routes converged and where the search depends on a single index or citation lineage. Mark that area as a coverage risk for Stage 6.</w:t>
      </w:r>
    </w:p>
    <w:bookmarkEnd w:id="148"/>
    <w:bookmarkStart w:id="149" w:name="guided-ai-workflow-9"/>
    <w:p>
      <w:pPr>
        <w:pStyle w:val="Heading2"/>
      </w:pPr>
      <w:r>
        <w:t xml:space="preserve">14.5 Guided AI Workflow</w:t>
      </w:r>
    </w:p>
    <w:p>
      <w:pPr>
        <w:pStyle w:val="FirstParagraph"/>
      </w:pPr>
      <w:r>
        <w:t xml:space="preserve">AI can help design and audit search routes when it operates on verified vocabulary and source metadata. Provide the review question, concept map, attempted routes, and a list of verified anchor works. Ask for candidate query variations and complementary routes. Require the system to state which coverage risk each proposal addresses.</w:t>
      </w:r>
    </w:p>
    <w:p>
      <w:pPr>
        <w:pStyle w:val="BodyText"/>
      </w:pPr>
      <w:r>
        <w:rPr>
          <w:b/>
          <w:bCs/>
        </w:rPr>
        <w:t xml:space="preserve">Permitted input:</w:t>
      </w:r>
      <w:r>
        <w:t xml:space="preserve"> </w:t>
      </w:r>
      <w:r>
        <w:t xml:space="preserve">Public bibliographic metadata, verified search terms, route summaries, and non-sensitive project boundaries.</w:t>
      </w:r>
      <w:r>
        <w:br/>
      </w:r>
      <w:r>
        <w:rPr>
          <w:b/>
          <w:bCs/>
        </w:rPr>
        <w:t xml:space="preserve">Do not provide:</w:t>
      </w:r>
      <w:r>
        <w:t xml:space="preserve"> </w:t>
      </w:r>
      <w:r>
        <w:t xml:space="preserve">Licensed full text in violation of terms, confidential manuscripts, private reviewer comments, credentials, or participant data.</w:t>
      </w:r>
      <w:r>
        <w:br/>
      </w:r>
      <w:r>
        <w:rPr>
          <w:b/>
          <w:bCs/>
        </w:rPr>
        <w:t xml:space="preserve">Verify:</w:t>
      </w:r>
      <w:r>
        <w:t xml:space="preserve"> </w:t>
      </w:r>
      <w:r>
        <w:t xml:space="preserve">Run proposed queries in the named system; independently verify every title, author, DOI, repository, and dataset. Reject invented or untraceable items.</w:t>
      </w:r>
      <w:r>
        <w:br/>
      </w:r>
      <w:r>
        <w:rPr>
          <w:b/>
          <w:bCs/>
        </w:rPr>
        <w:t xml:space="preserve">Record:</w:t>
      </w:r>
      <w:r>
        <w:t xml:space="preserve"> </w:t>
      </w:r>
      <w:r>
        <w:t xml:space="preserve">Save consequential query proposals, route suggestions, dates, model/version, executed forms, result effects, accepted and rejected recommendations, and verification actions.</w:t>
      </w:r>
    </w:p>
    <w:p>
      <w:pPr>
        <w:pStyle w:val="BodyText"/>
      </w:pPr>
      <w:r>
        <w:t xml:space="preserve">Do not ask a model for “the ten most important sources.” Importance depends on the review purpose, and the response may reproduce popularity, language, and training-data biases. A safer task is: “Given these attempted routes, propose three</w:t>
      </w:r>
      <w:r>
        <w:t xml:space="preserve"> </w:t>
      </w:r>
      <w:r>
        <w:rPr>
          <w:i/>
          <w:iCs/>
        </w:rPr>
        <w:t xml:space="preserve">types of route</w:t>
      </w:r>
      <w:r>
        <w:t xml:space="preserve"> </w:t>
      </w:r>
      <w:r>
        <w:t xml:space="preserve">that might reveal scholarship selected by a different mechanism. Do not provide publication titles.” The researcher can then search those routes directly.</w:t>
      </w:r>
    </w:p>
    <w:p>
      <w:pPr>
        <w:pStyle w:val="BodyText"/>
      </w:pPr>
      <w:r>
        <w:t xml:space="preserve">When a model does propose citations, quarantine them in a candidate table. Nothing enters the bibliography or source register until it resolves to an authentic record and has been screened against the protocol. Fluency does not lower the verification threshold.</w:t>
      </w:r>
    </w:p>
    <w:bookmarkEnd w:id="149"/>
    <w:bookmarkStart w:id="150" w:name="integrity-checkpoint-9"/>
    <w:p>
      <w:pPr>
        <w:pStyle w:val="Heading2"/>
      </w:pPr>
      <w:r>
        <w:t xml:space="preserve">14.6 Integrity Checkpoint</w:t>
      </w:r>
    </w:p>
    <w:p>
      <w:pPr>
        <w:pStyle w:val="FirstParagraph"/>
      </w:pPr>
      <w:r>
        <w:t xml:space="preserve">Discovery systems observe users. Queries may reveal sensitive topics, populations, locations, or intentions. Use institutional or privacy-preserving access where appropriate, and do not paste sensitive project descriptions into external services merely to improve convenience.</w:t>
      </w:r>
    </w:p>
    <w:p>
      <w:pPr>
        <w:pStyle w:val="BodyText"/>
      </w:pPr>
      <w:r>
        <w:t xml:space="preserve">Access affects visibility. Scholarship behind paywalls, in print, in other languages, or outside major indexes is more expensive to discover. Do not translate cost into quality. Record inaccessible items and the lawful steps attempted to obtain them. If access limitations cluster by region, language, or publication type, treat that as a potential bias in the corpus.</w:t>
      </w:r>
    </w:p>
    <w:p>
      <w:pPr>
        <w:pStyle w:val="BodyText"/>
      </w:pPr>
      <w:r>
        <w:t xml:space="preserve">Citation networks encode social structure as well as intellectual relevance. Highly connected works become easier to find and then more likely to be cited again. Forward chaining can amplify prestige. Backward chaining can reproduce canonical exclusions. Complement citation routes with searches designed around cases, actors, concepts, and venues outside the dominant network.</w:t>
      </w:r>
    </w:p>
    <w:p>
      <w:pPr>
        <w:pStyle w:val="BodyText"/>
      </w:pPr>
      <w:r>
        <w:t xml:space="preserve">Automated bulk retrieval may violate platform terms or overload services. Follow access rules, rate limits, and copyright restrictions. The fact that a script can download material does not establish permission to do so or to redistribute it.</w:t>
      </w:r>
    </w:p>
    <w:bookmarkEnd w:id="150"/>
    <w:bookmarkStart w:id="151" w:name="save-the-artifact-9"/>
    <w:p>
      <w:pPr>
        <w:pStyle w:val="Heading2"/>
      </w:pPr>
      <w:r>
        <w:t xml:space="preserve">14.7 Save the Artifact</w:t>
      </w:r>
    </w:p>
    <w:p>
      <w:pPr>
        <w:pStyle w:val="FirstParagraph"/>
      </w:pPr>
      <w:r>
        <w:t xml:space="preserve">Save</w:t>
      </w:r>
      <w:r>
        <w:t xml:space="preserve"> </w:t>
      </w:r>
      <w:r>
        <w:rPr>
          <w:rStyle w:val="VerbatimChar"/>
        </w:rPr>
        <w:t xml:space="preserve">literature-search-ai-log-v0.1.xlsx</w:t>
      </w:r>
      <w:r>
        <w:t xml:space="preserve">. The Search Routes sheet should include cycle ID, date, purpose, route type, system or repository, exact query or action, fields, filters, result count, screened count, retained source IDs, rejection pattern, new vocabulary, coverage risk, decision, and next step.</w:t>
      </w:r>
    </w:p>
    <w:p>
      <w:pPr>
        <w:pStyle w:val="BodyText"/>
      </w:pPr>
      <w:r>
        <w:t xml:space="preserve">The Citation Chaining sheet should include chain ID, seed source ID, backward or forward direction, candidate citation, citation context, authenticity check, relevance decision, shared-lineage warning, and resulting action. The AI Audit sheet should include model/version, task, input description, protected data status, output summary, accepted and rejected suggestions, verification, reviewer, and decision.</w:t>
      </w:r>
    </w:p>
    <w:p>
      <w:pPr>
        <w:pStyle w:val="BodyText"/>
      </w:pPr>
      <w:r>
        <w:t xml:space="preserve">Export or save search histories when systems permit, but keep the human-readable log. Platform exports can become unreadable when subscriptions or interfaces change.</w:t>
      </w:r>
    </w:p>
    <w:bookmarkEnd w:id="151"/>
    <w:bookmarkStart w:id="152" w:name="advanced-practice-9"/>
    <w:p>
      <w:pPr>
        <w:pStyle w:val="Heading2"/>
      </w:pPr>
      <w:r>
        <w:t xml:space="preserve">14.8 Advanced Practice</w:t>
      </w:r>
    </w:p>
    <w:p>
      <w:pPr>
        <w:pStyle w:val="FirstParagraph"/>
      </w:pPr>
      <w:r>
        <w:t xml:space="preserve">Complex reviews benefit from route-level sampling. Instead of screening an unbounded result set, define a reproducible slice appropriate to the route: all results through a date, the first fixed number under a documented sort order, or all citations linked to an anchor work. Explain the trade-off. Ranking-based samples are convenient but inherit opaque ranking systems.</w:t>
      </w:r>
    </w:p>
    <w:p>
      <w:pPr>
        <w:pStyle w:val="BodyText"/>
      </w:pPr>
      <w:r>
        <w:t xml:space="preserve">Research librarians can improve recall and documentation. Record who designed and checked each strategy. Living reviews should separate the multi-route baseline from monitoring and version both.</w:t>
      </w:r>
    </w:p>
    <w:bookmarkEnd w:id="152"/>
    <w:bookmarkEnd w:id="153"/>
    <w:bookmarkStart w:id="162" w:name="stage-4-evaluate-sources-and-claims"/>
    <w:p>
      <w:pPr>
        <w:pStyle w:val="Heading1"/>
      </w:pPr>
      <w:r>
        <w:t xml:space="preserve">15. Stage 4: Evaluate Sources and Claims</w:t>
      </w:r>
    </w:p>
    <w:bookmarkStart w:id="154" w:name="orientation-10"/>
    <w:p>
      <w:pPr>
        <w:pStyle w:val="Heading2"/>
      </w:pPr>
      <w:r>
        <w:t xml:space="preserve">15.1 Orientation</w:t>
      </w:r>
    </w:p>
    <w:p>
      <w:pPr>
        <w:pStyle w:val="FirstParagraph"/>
      </w:pPr>
      <w:r>
        <w:t xml:space="preserve">Discovery produces candidates, not authorities. A publication can be relevant to the question and weak support for a claim. It can be methodologically rigorous and irrelevant to the present review. It can be widely cited because it supplied a memorable label, a convenient dataset, or a position that later scholars reject. Evaluation separates these dimensions before prestige or familiarity turns them into one vague judgment of “quality.”</w:t>
      </w:r>
    </w:p>
    <w:p>
      <w:pPr>
        <w:pStyle w:val="BodyText"/>
      </w:pPr>
      <w:r>
        <w:t xml:space="preserve">The purpose is not to assign every publication a universal score. It is to decide what work a source can responsibly perform in this review.</w:t>
      </w:r>
    </w:p>
    <w:bookmarkEnd w:id="154"/>
    <w:bookmarkStart w:id="155" w:name="learn-10"/>
    <w:p>
      <w:pPr>
        <w:pStyle w:val="Heading2"/>
      </w:pPr>
      <w:r>
        <w:t xml:space="preserve">15.2 Learn</w:t>
      </w:r>
    </w:p>
    <w:p>
      <w:pPr>
        <w:pStyle w:val="FirstParagraph"/>
      </w:pPr>
      <w:r>
        <w:t xml:space="preserve">Evaluate first for</w:t>
      </w:r>
      <w:r>
        <w:t xml:space="preserve"> </w:t>
      </w:r>
      <w:r>
        <w:rPr>
          <w:b/>
          <w:bCs/>
        </w:rPr>
        <w:t xml:space="preserve">relevance</w:t>
      </w:r>
      <w:r>
        <w:t xml:space="preserve">. Identify which review-question component, concept, case, method, or dispute the work addresses. Relevance can be direct or contextual. A direct source analyzes database divergence. A contextual source may explain how news production shapes the reports on which databases depend. Record the relation rather than relying on a tag called “relevant.”</w:t>
      </w:r>
    </w:p>
    <w:p>
      <w:pPr>
        <w:pStyle w:val="BodyText"/>
      </w:pPr>
      <w:r>
        <w:t xml:space="preserve">Then identify</w:t>
      </w:r>
      <w:r>
        <w:t xml:space="preserve"> </w:t>
      </w:r>
      <w:r>
        <w:rPr>
          <w:b/>
          <w:bCs/>
        </w:rPr>
        <w:t xml:space="preserve">publication context and provenance</w:t>
      </w:r>
      <w:r>
        <w:t xml:space="preserve">. Who wrote the work, in what role, for which audience, and through what review or editorial process? Is it a journal article, scholarly book, chapter, dissertation, report, working paper, preprint, codebook, commentary, or correction? Publication type affects expectations but does not decide value. A codebook may be the primary source for a dataset’s stated rules. A peer-reviewed article may be necessary to test whether those rules were applied as intended.</w:t>
      </w:r>
    </w:p>
    <w:p>
      <w:pPr>
        <w:pStyle w:val="BodyText"/>
      </w:pPr>
      <w:r>
        <w:t xml:space="preserve">Move to the</w:t>
      </w:r>
      <w:r>
        <w:t xml:space="preserve"> </w:t>
      </w:r>
      <w:r>
        <w:rPr>
          <w:b/>
          <w:bCs/>
        </w:rPr>
        <w:t xml:space="preserve">claim level</w:t>
      </w:r>
      <w:r>
        <w:t xml:space="preserve">. What does the author claim? Is the claim descriptive, conceptual, causal, interpretive, normative, or methodological? What evidence supports it? Which cases, sources, observations, or data transformations connect the evidence to the claim? A single publication often contains several claims with different support. Evaluating the work as one unit can hide that variation.</w:t>
      </w:r>
    </w:p>
    <w:p>
      <w:pPr>
        <w:pStyle w:val="BodyText"/>
      </w:pPr>
      <w:r>
        <w:t xml:space="preserve">Assess</w:t>
      </w:r>
      <w:r>
        <w:t xml:space="preserve"> </w:t>
      </w:r>
      <w:r>
        <w:rPr>
          <w:b/>
          <w:bCs/>
        </w:rPr>
        <w:t xml:space="preserve">method-claim fit</w:t>
      </w:r>
      <w:r>
        <w:t xml:space="preserve">. A close archival study may provide strong evidence about sequence and institutional meaning in one case but weak evidence for prevalence across cases. A large database comparison may show systematic differences but say little about how a particular event was recorded. An interview study may reveal actors’ interpretations while requiring care about retrospective memory and selection. The question is not whether one method is superior. It is whether the method can support the claim for which the review will use it.</w:t>
      </w:r>
    </w:p>
    <w:p>
      <w:pPr>
        <w:pStyle w:val="BodyText"/>
      </w:pPr>
      <w:r>
        <w:t xml:space="preserve">Record</w:t>
      </w:r>
      <w:r>
        <w:t xml:space="preserve"> </w:t>
      </w:r>
      <w:r>
        <w:rPr>
          <w:b/>
          <w:bCs/>
        </w:rPr>
        <w:t xml:space="preserve">source dependence</w:t>
      </w:r>
      <w:r>
        <w:t xml:space="preserve">. Authors may cite the same dataset, document collection, press archive, or foundational claim. Apparent agreement across publications can arise from common input. Trace citations when a proposition carries considerable argumentative weight. If five works repeat a statistic from one report, the review has one evidentiary origin and five instances of uptake.</w:t>
      </w:r>
    </w:p>
    <w:p>
      <w:pPr>
        <w:pStyle w:val="BodyText"/>
      </w:pPr>
      <w:r>
        <w:t xml:space="preserve">Identify</w:t>
      </w:r>
      <w:r>
        <w:t xml:space="preserve"> </w:t>
      </w:r>
      <w:r>
        <w:rPr>
          <w:b/>
          <w:bCs/>
        </w:rPr>
        <w:t xml:space="preserve">limitations and uncertainty</w:t>
      </w:r>
      <w:r>
        <w:t xml:space="preserve"> </w:t>
      </w:r>
      <w:r>
        <w:t xml:space="preserve">as reported by the author and as observed by the reviewer. Preserve the difference. “The authors note that source coverage changes after 1997” is not the same as “we infer that the reported trend may reflect coverage change.” Both can be useful if attributed correctly.</w:t>
      </w:r>
    </w:p>
    <w:p>
      <w:pPr>
        <w:pStyle w:val="BodyText"/>
      </w:pPr>
      <w:r>
        <w:t xml:space="preserve">Finally, assign an</w:t>
      </w:r>
      <w:r>
        <w:t xml:space="preserve"> </w:t>
      </w:r>
      <w:r>
        <w:rPr>
          <w:b/>
          <w:bCs/>
        </w:rPr>
        <w:t xml:space="preserve">intended role</w:t>
      </w:r>
      <w:r>
        <w:t xml:space="preserve"> </w:t>
      </w:r>
      <w:r>
        <w:t xml:space="preserve">in the synthesis. Possible roles include definition, theoretical proposition, empirical support, counterevidence, method, historical context, lineage, boundary case, source lead, or limitation. A work may have several roles, but each should point to a specific claim or section.</w:t>
      </w:r>
    </w:p>
    <w:p>
      <w:pPr>
        <w:pStyle w:val="BodyText"/>
      </w:pPr>
      <w:r>
        <w:t xml:space="preserve">Metrics enter only after these judgments. They vary by field, age, language, document type, and index. Influence and validity are different variables.</w:t>
      </w:r>
    </w:p>
    <w:bookmarkEnd w:id="155"/>
    <w:bookmarkStart w:id="156" w:name="worked-example-10"/>
    <w:p>
      <w:pPr>
        <w:pStyle w:val="Heading2"/>
      </w:pPr>
      <w:r>
        <w:t xml:space="preserve">15.3 Worked Example</w:t>
      </w:r>
    </w:p>
    <w:p>
      <w:pPr>
        <w:pStyle w:val="FirstParagraph"/>
      </w:pPr>
      <w:r>
        <w:t xml:space="preserve">Consider an article reporting that domestic and transnational terrorism follow different temporal patterns. Its relevance is direct because the review concerns divergent accounts and definitional choices. At the claim level, however, the article does several things. It defines categories, decomposes event records, estimates trends, and interprets the differences. Each step depends on the database’s inclusion criteria and on the operational rule used to classify domestic and transnational events.</w:t>
      </w:r>
    </w:p>
    <w:p>
      <w:pPr>
        <w:pStyle w:val="BodyText"/>
      </w:pPr>
      <w:r>
        <w:t xml:space="preserve">The source-evaluation register therefore creates separate claim entries. One records the conceptual distinction and its rationale. Another records the empirical pattern, data source, period, and transformation. A third records the causal or policy interpretation. The article may strongly support the existence of different patterns within its operationalization while providing less support for the claim that the categories represent distinct causal processes. The review can use the first without silently adopting the third.</w:t>
      </w:r>
    </w:p>
    <w:p>
      <w:pPr>
        <w:pStyle w:val="BodyText"/>
      </w:pPr>
      <w:r>
        <w:t xml:space="preserve">Now suppose several later studies cite the empirical pattern. We inspect whether they reproduce the analysis, apply it to another dataset, or cite the result as settled background. The source register marks shared dependence. Agreement in prose does not automatically become independent corroboration.</w:t>
      </w:r>
    </w:p>
    <w:bookmarkEnd w:id="156"/>
    <w:bookmarkStart w:id="157" w:name="try-it-10"/>
    <w:p>
      <w:pPr>
        <w:pStyle w:val="Heading2"/>
      </w:pPr>
      <w:r>
        <w:t xml:space="preserve">15.4 Try It</w:t>
      </w:r>
    </w:p>
    <w:p>
      <w:pPr>
        <w:pStyle w:val="FirstParagraph"/>
      </w:pPr>
      <w:r>
        <w:t xml:space="preserve">Select five candidates from at least two discovery routes. For each, write one sentence answering each question:</w:t>
      </w:r>
    </w:p>
    <w:p>
      <w:pPr>
        <w:pStyle w:val="Compact"/>
        <w:numPr>
          <w:ilvl w:val="0"/>
          <w:numId w:val="1006"/>
        </w:numPr>
      </w:pPr>
      <w:r>
        <w:t xml:space="preserve">Which part of the review question does this work bear on?</w:t>
      </w:r>
    </w:p>
    <w:p>
      <w:pPr>
        <w:pStyle w:val="Compact"/>
        <w:numPr>
          <w:ilvl w:val="0"/>
          <w:numId w:val="1006"/>
        </w:numPr>
      </w:pPr>
      <w:r>
        <w:t xml:space="preserve">What are its two most consequential claims for this review?</w:t>
      </w:r>
    </w:p>
    <w:p>
      <w:pPr>
        <w:pStyle w:val="Compact"/>
        <w:numPr>
          <w:ilvl w:val="0"/>
          <w:numId w:val="1006"/>
        </w:numPr>
      </w:pPr>
      <w:r>
        <w:t xml:space="preserve">What evidence and method support each claim?</w:t>
      </w:r>
    </w:p>
    <w:p>
      <w:pPr>
        <w:pStyle w:val="Compact"/>
        <w:numPr>
          <w:ilvl w:val="0"/>
          <w:numId w:val="1006"/>
        </w:numPr>
      </w:pPr>
      <w:r>
        <w:t xml:space="preserve">What can the design not establish?</w:t>
      </w:r>
    </w:p>
    <w:p>
      <w:pPr>
        <w:pStyle w:val="Compact"/>
        <w:numPr>
          <w:ilvl w:val="0"/>
          <w:numId w:val="1006"/>
        </w:numPr>
      </w:pPr>
      <w:r>
        <w:t xml:space="preserve">Which earlier source, dataset, or classification does it depend on?</w:t>
      </w:r>
    </w:p>
    <w:p>
      <w:pPr>
        <w:pStyle w:val="Compact"/>
        <w:numPr>
          <w:ilvl w:val="0"/>
          <w:numId w:val="1006"/>
        </w:numPr>
      </w:pPr>
      <w:r>
        <w:t xml:space="preserve">What role might it play in the synthesis?</w:t>
      </w:r>
    </w:p>
    <w:p>
      <w:pPr>
        <w:pStyle w:val="FirstParagraph"/>
      </w:pPr>
      <w:r>
        <w:t xml:space="preserve">Then compare the five works without using citation counts or venue rankings. Rank neither the authors nor the publications. Instead, group claim entries by the kind of support they offer. Only after that exercise, add publication context and influence indicators. Note whether the new information changes an intended role and why.</w:t>
      </w:r>
    </w:p>
    <w:p>
      <w:pPr>
        <w:pStyle w:val="BodyText"/>
      </w:pPr>
      <w:r>
        <w:t xml:space="preserve">Trace one repeated proposition back a citation step and read the cited passage. Record qualification loss, miscitation, or common dependence.</w:t>
      </w:r>
    </w:p>
    <w:bookmarkEnd w:id="157"/>
    <w:bookmarkStart w:id="158" w:name="guided-ai-workflow-10"/>
    <w:p>
      <w:pPr>
        <w:pStyle w:val="Heading2"/>
      </w:pPr>
      <w:r>
        <w:t xml:space="preserve">15.5 Guided AI Workflow</w:t>
      </w:r>
    </w:p>
    <w:p>
      <w:pPr>
        <w:pStyle w:val="FirstParagraph"/>
      </w:pPr>
      <w:r>
        <w:t xml:space="preserve">AI can help normalize researcher-written evaluation notes and expose missing fields. Supply a fixed schema and notes derived from works you have read. Ask the system to separate author claims, evidence, methods, author-stated limitations, reviewer inferences, and proposed synthesis roles. Require it to quote only text included in the prompt and to mark absent information as unknown.</w:t>
      </w:r>
    </w:p>
    <w:p>
      <w:pPr>
        <w:pStyle w:val="BodyText"/>
      </w:pPr>
      <w:r>
        <w:rPr>
          <w:b/>
          <w:bCs/>
        </w:rPr>
        <w:t xml:space="preserve">Permitted input:</w:t>
      </w:r>
      <w:r>
        <w:t xml:space="preserve"> </w:t>
      </w:r>
      <w:r>
        <w:t xml:space="preserve">Your own notes, public abstracts, short lawfully quoted excerpts, verified bibliographic metadata, and a blank evaluation schema.</w:t>
      </w:r>
      <w:r>
        <w:br/>
      </w:r>
      <w:r>
        <w:rPr>
          <w:b/>
          <w:bCs/>
        </w:rPr>
        <w:t xml:space="preserve">Do not provide:</w:t>
      </w:r>
      <w:r>
        <w:t xml:space="preserve"> </w:t>
      </w:r>
      <w:r>
        <w:t xml:space="preserve">Full copyrighted texts without permission, confidential manuscripts, identifiable participant material, or notes whose disclosure violates agreements.</w:t>
      </w:r>
      <w:r>
        <w:br/>
      </w:r>
      <w:r>
        <w:rPr>
          <w:b/>
          <w:bCs/>
        </w:rPr>
        <w:t xml:space="preserve">Verify:</w:t>
      </w:r>
      <w:r>
        <w:t xml:space="preserve"> </w:t>
      </w:r>
      <w:r>
        <w:t xml:space="preserve">Compare every populated field with the publication and your notes. Confirm that author claims and reviewer interpretations remain distinct. Independently verify citations and metrics.</w:t>
      </w:r>
      <w:r>
        <w:br/>
      </w:r>
      <w:r>
        <w:rPr>
          <w:b/>
          <w:bCs/>
        </w:rPr>
        <w:t xml:space="preserve">Record:</w:t>
      </w:r>
      <w:r>
        <w:t xml:space="preserve"> </w:t>
      </w:r>
      <w:r>
        <w:t xml:space="preserve">Save model/version, input description, schema, output, corrected fields, consequential classifications, reviewer, and final decision.</w:t>
      </w:r>
    </w:p>
    <w:p>
      <w:pPr>
        <w:pStyle w:val="BodyText"/>
      </w:pPr>
      <w:r>
        <w:t xml:space="preserve">A useful prompt forbids global scores and flags unsupported fields, shared sources, and roles that exceed the method. The answers remain hypotheses until checked against the publications.</w:t>
      </w:r>
    </w:p>
    <w:p>
      <w:pPr>
        <w:pStyle w:val="BodyText"/>
      </w:pPr>
      <w:r>
        <w:t xml:space="preserve">Do not ask a model to evaluate a work from its title or abstract. Abstracts are selective representations designed to communicate contribution. They rarely provide enough information to judge evidence, transformations, limitations, or citation dependence.</w:t>
      </w:r>
    </w:p>
    <w:bookmarkEnd w:id="158"/>
    <w:bookmarkStart w:id="159" w:name="integrity-checkpoint-10"/>
    <w:p>
      <w:pPr>
        <w:pStyle w:val="Heading2"/>
      </w:pPr>
      <w:r>
        <w:t xml:space="preserve">15.6 Integrity Checkpoint</w:t>
      </w:r>
    </w:p>
    <w:p>
      <w:pPr>
        <w:pStyle w:val="FirstParagraph"/>
      </w:pPr>
      <w:r>
        <w:t xml:space="preserve">Evaluation can become a disguise for status judgment. Researchers may treat unfamiliar venues, regions, languages, methods, or institutional authors as inherently weak. Apply the same claim-level questions to every source while retaining relevant differences in publication process and conflicts of interest.</w:t>
      </w:r>
    </w:p>
    <w:p>
      <w:pPr>
        <w:pStyle w:val="BodyText"/>
      </w:pPr>
      <w:r>
        <w:t xml:space="preserve">Do not punish transparency. Record stated uncertainty as guidance for interpretation, not an automatic negative score.</w:t>
      </w:r>
    </w:p>
    <w:p>
      <w:pPr>
        <w:pStyle w:val="BodyText"/>
      </w:pPr>
      <w:r>
        <w:t xml:space="preserve">Conflicts of interest and institutional position matter when they bear on source production. A database team’s methods article is indispensable for understanding stated procedures and may also have an interest in defending the project. An advocacy report may provide unique evidence and a normative purpose. Position does not erase evidence; it shapes the questions asked of it.</w:t>
      </w:r>
    </w:p>
    <w:p>
      <w:pPr>
        <w:pStyle w:val="BodyText"/>
      </w:pPr>
      <w:r>
        <w:t xml:space="preserve">Avoid laundering unsupported claims through citation. If a statement matters to the synthesis, verify that the cited source supports it. If the source cannot be obtained, label the claim as second-hand or exclude it from load-bearing prose.</w:t>
      </w:r>
    </w:p>
    <w:bookmarkEnd w:id="159"/>
    <w:bookmarkStart w:id="160" w:name="save-the-artifact-10"/>
    <w:p>
      <w:pPr>
        <w:pStyle w:val="Heading2"/>
      </w:pPr>
      <w:r>
        <w:t xml:space="preserve">15.7 Save the Artifact</w:t>
      </w:r>
    </w:p>
    <w:p>
      <w:pPr>
        <w:pStyle w:val="FirstParagraph"/>
      </w:pPr>
      <w:r>
        <w:t xml:space="preserve">Save</w:t>
      </w:r>
      <w:r>
        <w:t xml:space="preserve"> </w:t>
      </w:r>
      <w:r>
        <w:rPr>
          <w:rStyle w:val="VerbatimChar"/>
        </w:rPr>
        <w:t xml:space="preserve">literature-source-evaluation-v0.1.xlsx</w:t>
      </w:r>
      <w:r>
        <w:t xml:space="preserve">. The Source Register should include source ID, complete citation, version, source type, publication context, discovery route, review-question linkage, full-text status, method, evidence base, population or cases, period, declared limitations, conflicts or position, dependence, intended roles, reviewer, date, and decision.</w:t>
      </w:r>
    </w:p>
    <w:p>
      <w:pPr>
        <w:pStyle w:val="BodyText"/>
      </w:pPr>
      <w:r>
        <w:t xml:space="preserve">The Claim Register should include claim ID, source ID, claim type, accurate paraphrase, page or location, supporting evidence, transformation or analytical step, author qualification, reviewer assessment, linked concept IDs, related or dependent claim IDs, synthesis role, and verification status.</w:t>
      </w:r>
    </w:p>
    <w:p>
      <w:pPr>
        <w:pStyle w:val="BodyText"/>
      </w:pPr>
      <w:r>
        <w:t xml:space="preserve">Do not place long copyrighted passages in the workbook. Use short quotations only when necessary for precision and record page numbers. Keep the source file in its lawful location and link through a stable source ID.</w:t>
      </w:r>
    </w:p>
    <w:bookmarkEnd w:id="160"/>
    <w:bookmarkStart w:id="161" w:name="advanced-practice-10"/>
    <w:p>
      <w:pPr>
        <w:pStyle w:val="Heading2"/>
      </w:pPr>
      <w:r>
        <w:t xml:space="preserve">15.8 Advanced Practice</w:t>
      </w:r>
    </w:p>
    <w:p>
      <w:pPr>
        <w:pStyle w:val="FirstParagraph"/>
      </w:pPr>
      <w:r>
        <w:t xml:space="preserve">Team evaluation benefits from claim-level calibration on a shared small set. Compare extracted claims and roles, then revise ambiguous rules before scaling.</w:t>
      </w:r>
    </w:p>
    <w:p>
      <w:pPr>
        <w:pStyle w:val="BodyText"/>
      </w:pPr>
      <w:r>
        <w:t xml:space="preserve">Use formal appraisal tools only when they fit the claims and design. Computational reviews should preserve seed sets, thresholds, validation samples, errors, and versions; relevance scores are system outputs, not source properties.</w:t>
      </w:r>
    </w:p>
    <w:bookmarkEnd w:id="161"/>
    <w:bookmarkEnd w:id="162"/>
    <w:bookmarkStart w:id="171" w:name="stage-5-read-annotate-and-compare"/>
    <w:p>
      <w:pPr>
        <w:pStyle w:val="Heading1"/>
      </w:pPr>
      <w:r>
        <w:t xml:space="preserve">16. Stage 5: Read, Annotate, and Compare</w:t>
      </w:r>
    </w:p>
    <w:bookmarkStart w:id="163" w:name="orientation-11"/>
    <w:p>
      <w:pPr>
        <w:pStyle w:val="Heading2"/>
      </w:pPr>
      <w:r>
        <w:t xml:space="preserve">16.1 Orientation</w:t>
      </w:r>
    </w:p>
    <w:p>
      <w:pPr>
        <w:pStyle w:val="FirstParagraph"/>
      </w:pPr>
      <w:r>
        <w:t xml:space="preserve">The easiest literature notes to write are often the hardest to use. A page of prose beginning “Smith argues…” may preserve an article’s order while doing little for the reviewer’s question. When every note mirrors one publication, the eventual review tends to become a procession of authors. The reader learns that Smith said one thing and Jones said another, but not what the disagreement concerns, which evidence separates them, or how the field changed.</w:t>
      </w:r>
    </w:p>
    <w:p>
      <w:pPr>
        <w:pStyle w:val="BodyText"/>
      </w:pPr>
      <w:r>
        <w:t xml:space="preserve">Reading for synthesis requires two linked records: a faithful source note and a comparison structure that reorganizes information across sources. The first protects accuracy. The second enables analysis.</w:t>
      </w:r>
    </w:p>
    <w:bookmarkEnd w:id="163"/>
    <w:bookmarkStart w:id="164" w:name="learn-11"/>
    <w:p>
      <w:pPr>
        <w:pStyle w:val="Heading2"/>
      </w:pPr>
      <w:r>
        <w:t xml:space="preserve">16.2 Learn</w:t>
      </w:r>
    </w:p>
    <w:p>
      <w:pPr>
        <w:pStyle w:val="FirstParagraph"/>
      </w:pPr>
      <w:r>
        <w:t xml:space="preserve">Read in passes. Screen for identity, relevance, version, and role; analyze claims, evidence, method, and relations; then verify passages and locations that will carry the synthesis.</w:t>
      </w:r>
    </w:p>
    <w:p>
      <w:pPr>
        <w:pStyle w:val="BodyText"/>
      </w:pPr>
      <w:r>
        <w:t xml:space="preserve">Start each source note with retrieval and version information. Record the source ID, complete citation, file or lawful location, version, date read, and reviewer. Preprints and published versions may differ. Pagination can change. A stable record prevents later quotations from pointing to the wrong manifestation.</w:t>
      </w:r>
    </w:p>
    <w:p>
      <w:pPr>
        <w:pStyle w:val="BodyText"/>
      </w:pPr>
      <w:r>
        <w:t xml:space="preserve">Within the note, distinguish four voices:</w:t>
      </w:r>
    </w:p>
    <w:p>
      <w:pPr>
        <w:pStyle w:val="Compact"/>
        <w:numPr>
          <w:ilvl w:val="0"/>
          <w:numId w:val="1007"/>
        </w:numPr>
      </w:pPr>
      <w:r>
        <w:rPr>
          <w:b/>
          <w:bCs/>
        </w:rPr>
        <w:t xml:space="preserve">Author:</w:t>
      </w:r>
      <w:r>
        <w:t xml:space="preserve"> </w:t>
      </w:r>
      <w:r>
        <w:t xml:space="preserve">an accurate account of what the work claims.</w:t>
      </w:r>
    </w:p>
    <w:p>
      <w:pPr>
        <w:pStyle w:val="Compact"/>
        <w:numPr>
          <w:ilvl w:val="0"/>
          <w:numId w:val="1007"/>
        </w:numPr>
      </w:pPr>
      <w:r>
        <w:rPr>
          <w:b/>
          <w:bCs/>
        </w:rPr>
        <w:t xml:space="preserve">Evidence:</w:t>
      </w:r>
      <w:r>
        <w:t xml:space="preserve"> </w:t>
      </w:r>
      <w:r>
        <w:t xml:space="preserve">the material and analytical steps offered in support.</w:t>
      </w:r>
    </w:p>
    <w:p>
      <w:pPr>
        <w:pStyle w:val="Compact"/>
        <w:numPr>
          <w:ilvl w:val="0"/>
          <w:numId w:val="1007"/>
        </w:numPr>
      </w:pPr>
      <w:r>
        <w:rPr>
          <w:b/>
          <w:bCs/>
        </w:rPr>
        <w:t xml:space="preserve">Reviewer:</w:t>
      </w:r>
      <w:r>
        <w:t xml:space="preserve"> </w:t>
      </w:r>
      <w:r>
        <w:t xml:space="preserve">your interpretation, questions, and assessment.</w:t>
      </w:r>
    </w:p>
    <w:p>
      <w:pPr>
        <w:pStyle w:val="Compact"/>
        <w:numPr>
          <w:ilvl w:val="0"/>
          <w:numId w:val="1007"/>
        </w:numPr>
      </w:pPr>
      <w:r>
        <w:rPr>
          <w:b/>
          <w:bCs/>
        </w:rPr>
        <w:t xml:space="preserve">Relation:</w:t>
      </w:r>
      <w:r>
        <w:t xml:space="preserve"> </w:t>
      </w:r>
      <w:r>
        <w:t xml:space="preserve">agreements, disputes, dependencies, or contrasts with other works.</w:t>
      </w:r>
    </w:p>
    <w:p>
      <w:pPr>
        <w:pStyle w:val="FirstParagraph"/>
      </w:pPr>
      <w:r>
        <w:t xml:space="preserve">Use explicit labels or separate fields. Without them, a critical observation written beside a paraphrase can later be mistaken for the author’s admission. This is especially dangerous when notes are transformed by software or AI.</w:t>
      </w:r>
    </w:p>
    <w:p>
      <w:pPr>
        <w:pStyle w:val="BodyText"/>
      </w:pPr>
      <w:r>
        <w:t xml:space="preserve">Annotate selectively. Highlighting everything records attention, not meaning. Each annotation should have a function tied to the review: definition, mechanism, empirical pattern, case, method, source lead, limitation, counterevidence, quotation candidate, or synthesis connection. A small controlled set of annotation types improves retrieval; free-form memos preserve ideas that do not fit the scheme.</w:t>
      </w:r>
    </w:p>
    <w:p>
      <w:pPr>
        <w:pStyle w:val="BodyText"/>
      </w:pPr>
      <w:r>
        <w:t xml:space="preserve">After reading, write a source memo stating contribution, strongest support, important limit, and the work to which it should be compared.</w:t>
      </w:r>
    </w:p>
    <w:p>
      <w:pPr>
        <w:pStyle w:val="BodyText"/>
      </w:pPr>
      <w:r>
        <w:t xml:space="preserve">Then move information into a</w:t>
      </w:r>
      <w:r>
        <w:t xml:space="preserve"> </w:t>
      </w:r>
      <w:r>
        <w:rPr>
          <w:b/>
          <w:bCs/>
        </w:rPr>
        <w:t xml:space="preserve">synthesis matrix</w:t>
      </w:r>
      <w:r>
        <w:t xml:space="preserve">. Rows usually represent works or claim IDs. Columns represent questions that cut across them: concept definition, mechanism, cases, period, evidence base, method, finding, limitation, lineage, or another dimension derived from the review protocol. The right columns depend on the intended synthesis. A matrix for concept formation will differ from one comparing causal explanations.</w:t>
      </w:r>
    </w:p>
    <w:p>
      <w:pPr>
        <w:pStyle w:val="BodyText"/>
      </w:pPr>
      <w:r>
        <w:t xml:space="preserve">Cells should be concise and traceable. Include a claim ID or page location. Do not paste whole abstracts. Empty cells are informative: the source may not address the dimension, the information may be unavailable, or the reviewer may not yet have read the relevant section. Use explicit states such as not addressed, not reported, not yet checked, inaccessible, or not applicable.</w:t>
      </w:r>
    </w:p>
    <w:p>
      <w:pPr>
        <w:pStyle w:val="BodyText"/>
      </w:pPr>
      <w:r>
        <w:t xml:space="preserve">Comparison produces</w:t>
      </w:r>
      <w:r>
        <w:t xml:space="preserve"> </w:t>
      </w:r>
      <w:r>
        <w:rPr>
          <w:b/>
          <w:bCs/>
        </w:rPr>
        <w:t xml:space="preserve">analytic memos</w:t>
      </w:r>
      <w:r>
        <w:t xml:space="preserve">. Ask what patterns appear across columns. Which differences follow method, period, case selection, definition, or source base? Which works appear to disagree only because they answer different questions? Which share a conclusion but rely on one lineage? Memos capture these emerging relations without pretending that the final synthesis is settled.</w:t>
      </w:r>
    </w:p>
    <w:bookmarkEnd w:id="164"/>
    <w:bookmarkStart w:id="165" w:name="worked-example-11"/>
    <w:p>
      <w:pPr>
        <w:pStyle w:val="Heading2"/>
      </w:pPr>
      <w:r>
        <w:t xml:space="preserve">16.3 Worked Example</w:t>
      </w:r>
    </w:p>
    <w:p>
      <w:pPr>
        <w:pStyle w:val="FirstParagraph"/>
      </w:pPr>
      <w:r>
        <w:t xml:space="preserve">In the terrorism review, the matrix columns include definition of terrorism, domestic/transnational rule, event unit, database or source system, period, handling of ambiguous cases, analytical transformation, reported divergence, explanation, and limitation. One article compares aggregate counts. Another validates individual events. A third decomposes domestic and transnational series. Their findings cannot be placed in a single “result” column without losing the level at which each comparison occurs.</w:t>
      </w:r>
    </w:p>
    <w:p>
      <w:pPr>
        <w:pStyle w:val="BodyText"/>
      </w:pPr>
      <w:r>
        <w:t xml:space="preserve">The source notes preserve this difference. The aggregate article claims that trends diverge after a particular date and supports the claim with time-series comparison. The validation study reports mismatched events found through record linkage and source checking. The decomposition study shows that a combined series conceals different dynamics under its classification rule. A synthesis memo observes that “database divergence” names at least three problems: universe coverage, event matching, and category construction. The literature becomes more intelligible when those problems are separated.</w:t>
      </w:r>
    </w:p>
    <w:p>
      <w:pPr>
        <w:pStyle w:val="BodyText"/>
      </w:pPr>
      <w:r>
        <w:t xml:space="preserve">The matrix also exposes dependence. Several works describe historical collection changes using the same documentation. Their cells receive different source IDs but the same dependence marker. The synthesis can report broad acknowledgment of the issue while avoiding the claim that multiple independent studies established it.</w:t>
      </w:r>
    </w:p>
    <w:bookmarkEnd w:id="165"/>
    <w:bookmarkStart w:id="166" w:name="try-it-11"/>
    <w:p>
      <w:pPr>
        <w:pStyle w:val="Heading2"/>
      </w:pPr>
      <w:r>
        <w:t xml:space="preserve">16.4 Try It</w:t>
      </w:r>
    </w:p>
    <w:p>
      <w:pPr>
        <w:pStyle w:val="FirstParagraph"/>
      </w:pPr>
      <w:r>
        <w:t xml:space="preserve">Choose six evaluated works that differ in route, method, period, or position. Create a source note for each with the four voices distinctly marked. Limit the initial source memo to four sentences: contribution, support, limit, comparison.</w:t>
      </w:r>
    </w:p>
    <w:p>
      <w:pPr>
        <w:pStyle w:val="BodyText"/>
      </w:pPr>
      <w:r>
        <w:t xml:space="preserve">Design five to eight matrix columns from the review question. Before filling the matrix, write what each column means and what an acceptable cell contains. Add explicit missing-value states. Populate the matrix from your notes, including source or claim IDs.</w:t>
      </w:r>
    </w:p>
    <w:p>
      <w:pPr>
        <w:pStyle w:val="BodyText"/>
      </w:pPr>
      <w:r>
        <w:t xml:space="preserve">Read by column. Write three analytic memos:</w:t>
      </w:r>
    </w:p>
    <w:p>
      <w:pPr>
        <w:pStyle w:val="Compact"/>
        <w:numPr>
          <w:ilvl w:val="0"/>
          <w:numId w:val="1008"/>
        </w:numPr>
      </w:pPr>
      <w:r>
        <w:t xml:space="preserve">one pattern or convergence that survives comparison;</w:t>
      </w:r>
    </w:p>
    <w:p>
      <w:pPr>
        <w:pStyle w:val="Compact"/>
        <w:numPr>
          <w:ilvl w:val="0"/>
          <w:numId w:val="1008"/>
        </w:numPr>
      </w:pPr>
      <w:r>
        <w:t xml:space="preserve">one apparent disagreement that may be caused by definition, method, period, or case selection;</w:t>
      </w:r>
    </w:p>
    <w:p>
      <w:pPr>
        <w:pStyle w:val="Compact"/>
        <w:numPr>
          <w:ilvl w:val="0"/>
          <w:numId w:val="1008"/>
        </w:numPr>
      </w:pPr>
      <w:r>
        <w:t xml:space="preserve">one silence, dependence, or empty cell that requires another search or closer reading.</w:t>
      </w:r>
    </w:p>
    <w:p>
      <w:pPr>
        <w:pStyle w:val="FirstParagraph"/>
      </w:pPr>
      <w:r>
        <w:t xml:space="preserve">Return to two publications and verify the passages on which the memos depend. Revise the matrix if the comparison overstated what an author claimed. This return is essential: abstraction increases the risk of losing qualification.</w:t>
      </w:r>
    </w:p>
    <w:bookmarkEnd w:id="166"/>
    <w:bookmarkStart w:id="167" w:name="guided-ai-workflow-11"/>
    <w:p>
      <w:pPr>
        <w:pStyle w:val="Heading2"/>
      </w:pPr>
      <w:r>
        <w:t xml:space="preserve">16.5 Guided AI Workflow</w:t>
      </w:r>
    </w:p>
    <w:p>
      <w:pPr>
        <w:pStyle w:val="FirstParagraph"/>
      </w:pPr>
      <w:r>
        <w:t xml:space="preserve">AI can transform structured notes into a provisional matrix or compare populated cells. It should not read unseen publications on the researcher’s behalf. Provide a fixed schema, source IDs, and notes whose author/evidence/reviewer/relation voices are already separated. Ask the model to populate only supported fields, preserve identifiers, and mark uncertainty.</w:t>
      </w:r>
    </w:p>
    <w:p>
      <w:pPr>
        <w:pStyle w:val="BodyText"/>
      </w:pPr>
      <w:r>
        <w:rPr>
          <w:b/>
          <w:bCs/>
        </w:rPr>
        <w:t xml:space="preserve">Permitted input:</w:t>
      </w:r>
      <w:r>
        <w:t xml:space="preserve"> </w:t>
      </w:r>
      <w:r>
        <w:t xml:space="preserve">Researcher-authored notes, short verified excerpts, bibliographic metadata, source/claim IDs, and the blank matrix schema.</w:t>
      </w:r>
      <w:r>
        <w:br/>
      </w:r>
      <w:r>
        <w:rPr>
          <w:b/>
          <w:bCs/>
        </w:rPr>
        <w:t xml:space="preserve">Do not provide:</w:t>
      </w:r>
      <w:r>
        <w:t xml:space="preserve"> </w:t>
      </w:r>
      <w:r>
        <w:t xml:space="preserve">Full copyrighted publications without permission, confidential manuscripts, restricted archives, identifiable participant information, or mixed notes whose attribution is unclear.</w:t>
      </w:r>
      <w:r>
        <w:br/>
      </w:r>
      <w:r>
        <w:rPr>
          <w:b/>
          <w:bCs/>
        </w:rPr>
        <w:t xml:space="preserve">Verify:</w:t>
      </w:r>
      <w:r>
        <w:t xml:space="preserve"> </w:t>
      </w:r>
      <w:r>
        <w:t xml:space="preserve">Compare every populated cell and proposed pattern with the source notes and, for load-bearing claims, the publication. Check quotations, page locations, negation, attribution, and qualifications.</w:t>
      </w:r>
      <w:r>
        <w:br/>
      </w:r>
      <w:r>
        <w:rPr>
          <w:b/>
          <w:bCs/>
        </w:rPr>
        <w:t xml:space="preserve">Record:</w:t>
      </w:r>
      <w:r>
        <w:t xml:space="preserve"> </w:t>
      </w:r>
      <w:r>
        <w:t xml:space="preserve">Save the schema, model/version, input description, output, corrected cells, accepted patterns, rejected patterns, reviewer, and decision date.</w:t>
      </w:r>
    </w:p>
    <w:p>
      <w:pPr>
        <w:pStyle w:val="BodyText"/>
      </w:pPr>
      <w:r>
        <w:t xml:space="preserve">A second prompt can flag reviewer inferences, false independence, and patterns resting on one source. These audit questions do not grant the system authority to resolve them.</w:t>
      </w:r>
    </w:p>
    <w:p>
      <w:pPr>
        <w:pStyle w:val="BodyText"/>
      </w:pPr>
      <w:r>
        <w:t xml:space="preserve">Do not ask the model to write the final review from the matrix. The matrix is a compressed representation. It omits rhetoric, context, uncertainty, and many source details. Drafting directly from it can turn analytical shorthand into unsupported certainty.</w:t>
      </w:r>
    </w:p>
    <w:bookmarkEnd w:id="167"/>
    <w:bookmarkStart w:id="168" w:name="integrity-checkpoint-11"/>
    <w:p>
      <w:pPr>
        <w:pStyle w:val="Heading2"/>
      </w:pPr>
      <w:r>
        <w:t xml:space="preserve">16.6 Integrity Checkpoint</w:t>
      </w:r>
    </w:p>
    <w:p>
      <w:pPr>
        <w:pStyle w:val="FirstParagraph"/>
      </w:pPr>
      <w:r>
        <w:t xml:space="preserve">Notes can expose copyrighted text, confidential arguments, peer-review identities, or sensitive source descriptions. Store them according to the most restrictive material they contain. A collaborative matrix should not become an accidental redistribution channel.</w:t>
      </w:r>
    </w:p>
    <w:p>
      <w:pPr>
        <w:pStyle w:val="BodyText"/>
      </w:pPr>
      <w:r>
        <w:t xml:space="preserve">Compression can also create epistemic harm. Removing qualifiers may make a cautious finding appear universal. Combining historically offensive actor language under a neutral category may hide how classification operated. Preserve meaningful wording and context where the language itself is evidence.</w:t>
      </w:r>
    </w:p>
    <w:p>
      <w:pPr>
        <w:pStyle w:val="BodyText"/>
      </w:pPr>
      <w:r>
        <w:t xml:space="preserve">AI transformation introduces another source of error: attribution drift. A model may merge the author’s claim with the reviewer’s criticism or assign a finding to the wrong source. Voice labels and stable IDs reduce the risk but do not remove the need for verification.</w:t>
      </w:r>
    </w:p>
    <w:p>
      <w:pPr>
        <w:pStyle w:val="BodyText"/>
      </w:pPr>
      <w:r>
        <w:t xml:space="preserve">Accessible formats often receive deeper analysis. Record and correct that imbalance when the review purpose requires.</w:t>
      </w:r>
    </w:p>
    <w:bookmarkEnd w:id="168"/>
    <w:bookmarkStart w:id="169" w:name="save-the-artifact-11"/>
    <w:p>
      <w:pPr>
        <w:pStyle w:val="Heading2"/>
      </w:pPr>
      <w:r>
        <w:t xml:space="preserve">16.7 Save the Artifact</w:t>
      </w:r>
    </w:p>
    <w:p>
      <w:pPr>
        <w:pStyle w:val="FirstParagraph"/>
      </w:pPr>
      <w:r>
        <w:t xml:space="preserve">Save</w:t>
      </w:r>
      <w:r>
        <w:t xml:space="preserve"> </w:t>
      </w:r>
      <w:r>
        <w:rPr>
          <w:rStyle w:val="VerbatimChar"/>
        </w:rPr>
        <w:t xml:space="preserve">literature-synthesis-stopping-rule-v0.1.xlsx</w:t>
      </w:r>
      <w:r>
        <w:t xml:space="preserve"> </w:t>
      </w:r>
      <w:r>
        <w:t xml:space="preserve">after populating its Synthesis Matrix sheet. Required row identifiers are source ID and relevant claim IDs. Required columns follow the review question and must include method, evidence base, finding or contribution, limitation, dependence, reviewer interpretation, and verification location.</w:t>
      </w:r>
    </w:p>
    <w:p>
      <w:pPr>
        <w:pStyle w:val="BodyText"/>
      </w:pPr>
      <w:r>
        <w:t xml:space="preserve">Save source notes in the project’s notes environment using the source ID in the filename or metadata. Link notes to lawful source locations rather than embedding entire publications. Save analytic memos with dates and the matrix version they interpret.</w:t>
      </w:r>
    </w:p>
    <w:p>
      <w:pPr>
        <w:pStyle w:val="BodyText"/>
      </w:pPr>
      <w:r>
        <w:t xml:space="preserve">When the matrix changes substantially, preserve the earlier version so the synthesis remains connected to the corpus state that produced it.</w:t>
      </w:r>
    </w:p>
    <w:bookmarkEnd w:id="169"/>
    <w:bookmarkStart w:id="170" w:name="advanced-practice-11"/>
    <w:p>
      <w:pPr>
        <w:pStyle w:val="Heading2"/>
      </w:pPr>
      <w:r>
        <w:t xml:space="preserve">16.8 Advanced Practice</w:t>
      </w:r>
    </w:p>
    <w:p>
      <w:pPr>
        <w:pStyle w:val="FirstParagraph"/>
      </w:pPr>
      <w:r>
        <w:t xml:space="preserve">Qualitative analysis software can support document-level coding, retrieval, queries, and memos when the corpus warrants it. A spreadsheet may be better for a smaller review whose central operation is cross-source comparison. A database may suit a team handling many claims and relations. Choose the environment from the analytical task, collaboration needs, exportability, and preservation requirements, not from the number of available features.</w:t>
      </w:r>
    </w:p>
    <w:p>
      <w:pPr>
        <w:pStyle w:val="BodyText"/>
      </w:pPr>
      <w:r>
        <w:t xml:space="preserve">Large reviews may sample for deep reading while retaining a broader screened corpus. Team projects should calibrate a shared schema while preserving minority interpretations that reveal genuine ambiguity.</w:t>
      </w:r>
    </w:p>
    <w:bookmarkEnd w:id="170"/>
    <w:bookmarkEnd w:id="171"/>
    <w:bookmarkStart w:id="181" w:name="stage-6-synthesize-audit-and-stop"/>
    <w:p>
      <w:pPr>
        <w:pStyle w:val="Heading1"/>
      </w:pPr>
      <w:r>
        <w:t xml:space="preserve">17. Stage 6: Synthesize, Audit, and Stop</w:t>
      </w:r>
    </w:p>
    <w:bookmarkStart w:id="173" w:name="orientation-12"/>
    <w:p>
      <w:pPr>
        <w:pStyle w:val="Heading2"/>
      </w:pPr>
      <w:r>
        <w:t xml:space="preserve">17.1 Orientation</w:t>
      </w:r>
    </w:p>
    <w:p>
      <w:pPr>
        <w:pStyle w:val="FirstParagraph"/>
      </w:pPr>
      <w:r>
        <w:t xml:space="preserve">Synthesis is the point at which a literature corpus becomes an argument. The researcher no longer asks what each publication says in turn. The task is to explain a pattern across works while preserving the differences that make the pattern meaningful. This requires compression, and compression creates risk: distinct questions become one debate, common dependence becomes consensus, and missing scholarship becomes absence in the world.</w:t>
      </w:r>
    </w:p>
    <w:p>
      <w:pPr>
        <w:pStyle w:val="BodyText"/>
      </w:pPr>
      <w:r>
        <w:t xml:space="preserve">The final stage therefore joins three activities.</w:t>
      </w:r>
      <w:r>
        <w:rPr>
          <w:rStyle w:val="FootnoteReference"/>
        </w:rPr>
        <w:footnoteReference w:id="172"/>
      </w:r>
      <w:r>
        <w:t xml:space="preserve"> </w:t>
      </w:r>
      <w:r>
        <w:t xml:space="preserve">Synthesize what the corpus can support. Audit how the corpus was assembled and represented. State why searching and reading can stop for the present purpose.</w:t>
      </w:r>
    </w:p>
    <w:bookmarkEnd w:id="173"/>
    <w:bookmarkStart w:id="174" w:name="learn-12"/>
    <w:p>
      <w:pPr>
        <w:pStyle w:val="Heading2"/>
      </w:pPr>
      <w:r>
        <w:t xml:space="preserve">17.2 Learn</w:t>
      </w:r>
    </w:p>
    <w:p>
      <w:pPr>
        <w:pStyle w:val="FirstParagraph"/>
      </w:pPr>
      <w:r>
        <w:t xml:space="preserve">Begin with the review question and the matrix, not a blank document. Select an organizing logic that answers the question. Common structures include:</w:t>
      </w:r>
    </w:p>
    <w:p>
      <w:pPr>
        <w:pStyle w:val="Compact"/>
        <w:numPr>
          <w:ilvl w:val="0"/>
          <w:numId w:val="1009"/>
        </w:numPr>
      </w:pPr>
      <w:r>
        <w:rPr>
          <w:b/>
          <w:bCs/>
        </w:rPr>
        <w:t xml:space="preserve">Problem or proposition:</w:t>
      </w:r>
      <w:r>
        <w:t xml:space="preserve"> </w:t>
      </w:r>
      <w:r>
        <w:t xml:space="preserve">organize around the explanations or claims the review must assess.</w:t>
      </w:r>
    </w:p>
    <w:p>
      <w:pPr>
        <w:pStyle w:val="Compact"/>
        <w:numPr>
          <w:ilvl w:val="0"/>
          <w:numId w:val="1009"/>
        </w:numPr>
      </w:pPr>
      <w:r>
        <w:rPr>
          <w:b/>
          <w:bCs/>
        </w:rPr>
        <w:t xml:space="preserve">Conceptual dispute:</w:t>
      </w:r>
      <w:r>
        <w:t xml:space="preserve"> </w:t>
      </w:r>
      <w:r>
        <w:t xml:space="preserve">compare definitions, attributes, extensions, and consequences.</w:t>
      </w:r>
    </w:p>
    <w:p>
      <w:pPr>
        <w:pStyle w:val="Compact"/>
        <w:numPr>
          <w:ilvl w:val="0"/>
          <w:numId w:val="1009"/>
        </w:numPr>
      </w:pPr>
      <w:r>
        <w:rPr>
          <w:b/>
          <w:bCs/>
        </w:rPr>
        <w:t xml:space="preserve">Intellectual lineage:</w:t>
      </w:r>
      <w:r>
        <w:t xml:space="preserve"> </w:t>
      </w:r>
      <w:r>
        <w:t xml:space="preserve">trace adoption, modification, criticism, and abandonment across time.</w:t>
      </w:r>
    </w:p>
    <w:p>
      <w:pPr>
        <w:pStyle w:val="Compact"/>
        <w:numPr>
          <w:ilvl w:val="0"/>
          <w:numId w:val="1009"/>
        </w:numPr>
      </w:pPr>
      <w:r>
        <w:rPr>
          <w:b/>
          <w:bCs/>
        </w:rPr>
        <w:t xml:space="preserve">Method or evidence base:</w:t>
      </w:r>
      <w:r>
        <w:t xml:space="preserve"> </w:t>
      </w:r>
      <w:r>
        <w:t xml:space="preserve">show how sources, cases, measures, or analytical procedures shape findings.</w:t>
      </w:r>
    </w:p>
    <w:p>
      <w:pPr>
        <w:pStyle w:val="Compact"/>
        <w:numPr>
          <w:ilvl w:val="0"/>
          <w:numId w:val="1009"/>
        </w:numPr>
      </w:pPr>
      <w:r>
        <w:rPr>
          <w:b/>
          <w:bCs/>
        </w:rPr>
        <w:t xml:space="preserve">Empirical pattern:</w:t>
      </w:r>
      <w:r>
        <w:t xml:space="preserve"> </w:t>
      </w:r>
      <w:r>
        <w:t xml:space="preserve">compare findings across settings, periods, populations, or case types.</w:t>
      </w:r>
    </w:p>
    <w:p>
      <w:pPr>
        <w:pStyle w:val="Compact"/>
        <w:numPr>
          <w:ilvl w:val="0"/>
          <w:numId w:val="1009"/>
        </w:numPr>
      </w:pPr>
      <w:r>
        <w:rPr>
          <w:b/>
          <w:bCs/>
        </w:rPr>
        <w:t xml:space="preserve">Tension or paradox:</w:t>
      </w:r>
      <w:r>
        <w:t xml:space="preserve"> </w:t>
      </w:r>
      <w:r>
        <w:t xml:space="preserve">explain why apparently incompatible findings coexist.</w:t>
      </w:r>
    </w:p>
    <w:p>
      <w:pPr>
        <w:pStyle w:val="FirstParagraph"/>
      </w:pPr>
      <w:r>
        <w:t xml:space="preserve">Chronology can support any of these structures, but a year-by-year list rarely constitutes synthesis. Neither does a sequence of author summaries. Each section should make a claim across multiple works, identify the evidence and dependence behind that claim, explain consequential variation, and state the limit.</w:t>
      </w:r>
    </w:p>
    <w:p>
      <w:pPr>
        <w:pStyle w:val="BodyText"/>
      </w:pPr>
      <w:r>
        <w:t xml:space="preserve">For each section, state the pattern, show its basis, explain variation, and state the consequence for the review question.</w:t>
      </w:r>
    </w:p>
    <w:p>
      <w:pPr>
        <w:pStyle w:val="BodyText"/>
      </w:pPr>
      <w:r>
        <w:t xml:space="preserve">Distinguish consensus, convergence, and repetition. Consensus refers to a field-level pattern of agreement, which requires evidence about coverage and dissent. Convergence refers to different sources or methods reaching compatible conclusions. Repetition means that multiple publications state the same proposition. The third can occur without the first two. Use the dependence fields and citation chains to decide which term is warranted.</w:t>
      </w:r>
    </w:p>
    <w:p>
      <w:pPr>
        <w:pStyle w:val="BodyText"/>
      </w:pPr>
      <w:r>
        <w:t xml:space="preserve">Integrate counterevidence early. A contrary work should not be placed in a final “criticism” paragraph after the main account has already hardened. Ask whether it identifies a boundary condition, uses different definitions, observes another population, relies on another evidence base, or directly contradicts the pattern. A synthesis becomes stronger when it explains what would have to be true for different findings to coexist.</w:t>
      </w:r>
    </w:p>
    <w:p>
      <w:pPr>
        <w:pStyle w:val="BodyText"/>
      </w:pPr>
      <w:r>
        <w:t xml:space="preserve">Run a</w:t>
      </w:r>
      <w:r>
        <w:t xml:space="preserve"> </w:t>
      </w:r>
      <w:r>
        <w:rPr>
          <w:b/>
          <w:bCs/>
        </w:rPr>
        <w:t xml:space="preserve">coverage audit</w:t>
      </w:r>
      <w:r>
        <w:t xml:space="preserve"> </w:t>
      </w:r>
      <w:r>
        <w:t xml:space="preserve">before finalizing. Compare the corpus with the protocol and evidence map across language, geography, period, discipline, publication type, method, actor perspective, discovery route, and citation lineage. Count where useful, but interpret the counts. Ten articles from one special issue may provide less source diversity than three works found through independent routes.</w:t>
      </w:r>
    </w:p>
    <w:p>
      <w:pPr>
        <w:pStyle w:val="BodyText"/>
      </w:pPr>
      <w:r>
        <w:t xml:space="preserve">Audit expected literatures or perspectives that did not appear. Classify the absence as substantive, terminological, index-related, inaccessible, ethical, or protocol-produced. A failed search does not prove that no scholarship exists.</w:t>
      </w:r>
    </w:p>
    <w:p>
      <w:pPr>
        <w:pStyle w:val="BodyText"/>
      </w:pPr>
      <w:r>
        <w:t xml:space="preserve">The stopping rule asks whether additional searching is likely to change the answer needed for the current product. Criteria may include conceptual coverage, representation of principal explanations, route diversity, attention to counterevidence, stabilized vocabulary, diminishing returns in relevant new claims, and completion of verification for load-bearing sources. Stopping is a decision under limits, not a discovery that the literature has ended.</w:t>
      </w:r>
    </w:p>
    <w:p>
      <w:pPr>
        <w:pStyle w:val="BodyText"/>
      </w:pPr>
      <w:r>
        <w:t xml:space="preserve">Add</w:t>
      </w:r>
      <w:r>
        <w:t xml:space="preserve"> </w:t>
      </w:r>
      <w:r>
        <w:rPr>
          <w:b/>
          <w:bCs/>
        </w:rPr>
        <w:t xml:space="preserve">reopening triggers</w:t>
      </w:r>
      <w:r>
        <w:t xml:space="preserve">. A newly released archive, a major review, a revised dataset, an unsearched language, a credible contrary study, or a change in the research question may justify another cycle. Living scholarship requires a way to change without pretending that every page is continuously current.</w:t>
      </w:r>
    </w:p>
    <w:bookmarkEnd w:id="174"/>
    <w:bookmarkStart w:id="175" w:name="worked-example-12"/>
    <w:p>
      <w:pPr>
        <w:pStyle w:val="Heading2"/>
      </w:pPr>
      <w:r>
        <w:t xml:space="preserve">17.3 Worked Example</w:t>
      </w:r>
    </w:p>
    <w:p>
      <w:pPr>
        <w:pStyle w:val="FirstParagraph"/>
      </w:pPr>
      <w:r>
        <w:t xml:space="preserve">The terrorism review does not conclude that databases “disagree” for one reason. Its matrix supports a more differentiated synthesis. Divergence appears at several layers: inclusion definitions shape the event universe; source systems affect what becomes observable; matching and deduplication affect whether records refer to the same event; category rules alter domestic/transnational assignments; and historical collection changes can create apparent trends. Different studies illuminate different layers.</w:t>
      </w:r>
    </w:p>
    <w:p>
      <w:pPr>
        <w:pStyle w:val="BodyText"/>
      </w:pPr>
      <w:r>
        <w:t xml:space="preserve">The written review organizes sections around those layers. Within each, it distinguishes direct comparisons from repeated methodological warnings. It shows where works converge across databases or source-checking procedures and where later authors cite a single earlier account. It identifies a limit: English-language publications and publicly documented datasets are better represented than local validation work or proprietary systems. The consequence for the empirical project is a validation design that samples events at each transformation layer rather than searching for one universally correct count.</w:t>
      </w:r>
    </w:p>
    <w:p>
      <w:pPr>
        <w:pStyle w:val="BodyText"/>
      </w:pPr>
      <w:r>
        <w:t xml:space="preserve">The coverage audit exposes an imbalance. Many works analyze outputs, fewer examine the news and administrative sources feeding the databases, and few center people or places whose experiences are reduced to event records. The review cannot repair that gap through one more database query. It records the gap in the evidence map and redirects collection toward source production.</w:t>
      </w:r>
    </w:p>
    <w:p>
      <w:pPr>
        <w:pStyle w:val="BodyText"/>
      </w:pPr>
      <w:r>
        <w:t xml:space="preserve">In the municipal case, planning, legal, and local histories observe different institutional arenas and actors. The synthesis explains why they produce different chronologies instead of selecting one as universally correct.</w:t>
      </w:r>
    </w:p>
    <w:p>
      <w:pPr>
        <w:pStyle w:val="BodyText"/>
      </w:pPr>
      <w:r>
        <w:t xml:space="preserve">The stopping rule notes that searches across five routes now recover familiar conceptual and empirical patterns; key works have been verified; local-language and dissertation coverage has been attempted; and contrary accounts are represented. It also records incomplete access to older internal reports. Discovery stops for the chapter, while a newly digitized report series or evidence that another agency name was used would reopen it.</w:t>
      </w:r>
    </w:p>
    <w:bookmarkEnd w:id="175"/>
    <w:bookmarkStart w:id="176" w:name="try-it-12"/>
    <w:p>
      <w:pPr>
        <w:pStyle w:val="Heading2"/>
      </w:pPr>
      <w:r>
        <w:t xml:space="preserve">17.4 Try It</w:t>
      </w:r>
    </w:p>
    <w:p>
      <w:pPr>
        <w:pStyle w:val="FirstParagraph"/>
      </w:pPr>
      <w:r>
        <w:t xml:space="preserve">Write a one-sentence answer to the review question using only claims supported by the matrix. Underline every term that implies coverage: words such as</w:t>
      </w:r>
      <w:r>
        <w:t xml:space="preserve"> </w:t>
      </w:r>
      <w:r>
        <w:rPr>
          <w:i/>
          <w:iCs/>
        </w:rPr>
        <w:t xml:space="preserve">most</w:t>
      </w:r>
      <w:r>
        <w:t xml:space="preserve">,</w:t>
      </w:r>
      <w:r>
        <w:t xml:space="preserve"> </w:t>
      </w:r>
      <w:r>
        <w:rPr>
          <w:i/>
          <w:iCs/>
        </w:rPr>
        <w:t xml:space="preserve">widely</w:t>
      </w:r>
      <w:r>
        <w:t xml:space="preserve">,</w:t>
      </w:r>
      <w:r>
        <w:t xml:space="preserve"> </w:t>
      </w:r>
      <w:r>
        <w:rPr>
          <w:i/>
          <w:iCs/>
        </w:rPr>
        <w:t xml:space="preserve">consensus</w:t>
      </w:r>
      <w:r>
        <w:t xml:space="preserve">,</w:t>
      </w:r>
      <w:r>
        <w:t xml:space="preserve"> </w:t>
      </w:r>
      <w:r>
        <w:rPr>
          <w:i/>
          <w:iCs/>
        </w:rPr>
        <w:t xml:space="preserve">established</w:t>
      </w:r>
      <w:r>
        <w:t xml:space="preserve">, or</w:t>
      </w:r>
      <w:r>
        <w:t xml:space="preserve"> </w:t>
      </w:r>
      <w:r>
        <w:rPr>
          <w:i/>
          <w:iCs/>
        </w:rPr>
        <w:t xml:space="preserve">the field</w:t>
      </w:r>
      <w:r>
        <w:t xml:space="preserve">. For each, identify the evidence that justifies it. Replace terms that exceed the corpus.</w:t>
      </w:r>
    </w:p>
    <w:p>
      <w:pPr>
        <w:pStyle w:val="BodyText"/>
      </w:pPr>
      <w:r>
        <w:t xml:space="preserve">Draft a synthesis outline with three to five section claims. Under each claim, list:</w:t>
      </w:r>
    </w:p>
    <w:p>
      <w:pPr>
        <w:pStyle w:val="Compact"/>
        <w:numPr>
          <w:ilvl w:val="0"/>
          <w:numId w:val="1010"/>
        </w:numPr>
      </w:pPr>
      <w:r>
        <w:t xml:space="preserve">representative claim IDs;</w:t>
      </w:r>
    </w:p>
    <w:p>
      <w:pPr>
        <w:pStyle w:val="Compact"/>
        <w:numPr>
          <w:ilvl w:val="0"/>
          <w:numId w:val="1010"/>
        </w:numPr>
      </w:pPr>
      <w:r>
        <w:t xml:space="preserve">contrary or boundary claim IDs;</w:t>
      </w:r>
    </w:p>
    <w:p>
      <w:pPr>
        <w:pStyle w:val="Compact"/>
        <w:numPr>
          <w:ilvl w:val="0"/>
          <w:numId w:val="1010"/>
        </w:numPr>
      </w:pPr>
      <w:r>
        <w:t xml:space="preserve">shared-dependence risks;</w:t>
      </w:r>
    </w:p>
    <w:p>
      <w:pPr>
        <w:pStyle w:val="Compact"/>
        <w:numPr>
          <w:ilvl w:val="0"/>
          <w:numId w:val="1010"/>
        </w:numPr>
      </w:pPr>
      <w:r>
        <w:t xml:space="preserve">the source of variation;</w:t>
      </w:r>
    </w:p>
    <w:p>
      <w:pPr>
        <w:pStyle w:val="Compact"/>
        <w:numPr>
          <w:ilvl w:val="0"/>
          <w:numId w:val="1010"/>
        </w:numPr>
      </w:pPr>
      <w:r>
        <w:t xml:space="preserve">the consequence for the research question;</w:t>
      </w:r>
    </w:p>
    <w:p>
      <w:pPr>
        <w:pStyle w:val="Compact"/>
        <w:numPr>
          <w:ilvl w:val="0"/>
          <w:numId w:val="1010"/>
        </w:numPr>
      </w:pPr>
      <w:r>
        <w:t xml:space="preserve">the limit that the section must state.</w:t>
      </w:r>
    </w:p>
    <w:p>
      <w:pPr>
        <w:pStyle w:val="FirstParagraph"/>
      </w:pPr>
      <w:r>
        <w:t xml:space="preserve">Next complete the coverage audit. Choose at least six dimensions appropriate to the review and mark coverage as strong, adequate for purpose, weak, constrained, or unknown. Provide evidence and an action for every weak or unknown dimension. Some actions will be another search. Others will be a limitation statement or a change to the empirical design.</w:t>
      </w:r>
    </w:p>
    <w:p>
      <w:pPr>
        <w:pStyle w:val="BodyText"/>
      </w:pPr>
      <w:r>
        <w:t xml:space="preserve">Finally, write the stopping rule in one paragraph and a separate list of reopening triggers. Give the corpus and protocol versions to which the rule applies. Ask a colleague to identify what evidence would make the stopping decision unreasonable.</w:t>
      </w:r>
    </w:p>
    <w:bookmarkEnd w:id="176"/>
    <w:bookmarkStart w:id="177" w:name="guided-ai-workflow-12"/>
    <w:p>
      <w:pPr>
        <w:pStyle w:val="Heading2"/>
      </w:pPr>
      <w:r>
        <w:t xml:space="preserve">17.5 Guided AI Workflow</w:t>
      </w:r>
    </w:p>
    <w:p>
      <w:pPr>
        <w:pStyle w:val="FirstParagraph"/>
      </w:pPr>
      <w:r>
        <w:t xml:space="preserve">AI can audit a populated synthesis plan for overclaiming and missing contrasts. Provide the review question, section claims, matrix rows represented by source/claim IDs, dependence markers, coverage table, and proposed stopping rule. Ask the system to identify claims resting on one source, words that imply unsupported coverage, neglected contrary entries, and stopping criteria not backed by the audit.</w:t>
      </w:r>
    </w:p>
    <w:p>
      <w:pPr>
        <w:pStyle w:val="BodyText"/>
      </w:pPr>
      <w:r>
        <w:rPr>
          <w:b/>
          <w:bCs/>
        </w:rPr>
        <w:t xml:space="preserve">Permitted input:</w:t>
      </w:r>
      <w:r>
        <w:t xml:space="preserve"> </w:t>
      </w:r>
      <w:r>
        <w:t xml:space="preserve">Researcher-authored synthesis plans, structured matrix excerpts, verified metadata, IDs, and non-sensitive coverage summaries.</w:t>
      </w:r>
      <w:r>
        <w:br/>
      </w:r>
      <w:r>
        <w:rPr>
          <w:b/>
          <w:bCs/>
        </w:rPr>
        <w:t xml:space="preserve">Do not provide:</w:t>
      </w:r>
      <w:r>
        <w:t xml:space="preserve"> </w:t>
      </w:r>
      <w:r>
        <w:t xml:space="preserve">Copyrighted full text, confidential manuscripts, restricted source descriptions, participant data, or sensitive findings that should not leave the approved environment.</w:t>
      </w:r>
      <w:r>
        <w:br/>
      </w:r>
      <w:r>
        <w:rPr>
          <w:b/>
          <w:bCs/>
        </w:rPr>
        <w:t xml:space="preserve">Verify:</w:t>
      </w:r>
      <w:r>
        <w:t xml:space="preserve"> </w:t>
      </w:r>
      <w:r>
        <w:t xml:space="preserve">Trace every critique to the supplied matrix and then to the underlying source for load-bearing issues. Confirm that the model did not treat empty cells as negative findings or dependence as independence.</w:t>
      </w:r>
      <w:r>
        <w:br/>
      </w:r>
      <w:r>
        <w:rPr>
          <w:b/>
          <w:bCs/>
        </w:rPr>
        <w:t xml:space="preserve">Record:</w:t>
      </w:r>
      <w:r>
        <w:t xml:space="preserve"> </w:t>
      </w:r>
      <w:r>
        <w:t xml:space="preserve">Save model/version, input description, audit output, accepted revisions, rejected critiques with reasons, reviewer, matrix/protocol versions, and date.</w:t>
      </w:r>
    </w:p>
    <w:p>
      <w:pPr>
        <w:pStyle w:val="BodyText"/>
      </w:pPr>
      <w:r>
        <w:t xml:space="preserve">Use the system as an adversarial reader, not a ghostwriter. A useful prompt asks: “What is the strongest alternative account compatible with these entries?” The response can reveal a missing comparison. It does not establish that the alternative is true.</w:t>
      </w:r>
    </w:p>
    <w:p>
      <w:pPr>
        <w:pStyle w:val="BodyText"/>
      </w:pPr>
      <w:r>
        <w:t xml:space="preserve">Do not ask a model to infer field-level consensus from citation counts or snippets. Do not allow it to fill gaps with general knowledge. Require it to say “not supported by the supplied record” when the matrix lacks evidence.</w:t>
      </w:r>
    </w:p>
    <w:bookmarkEnd w:id="177"/>
    <w:bookmarkStart w:id="178" w:name="integrity-checkpoint-12"/>
    <w:p>
      <w:pPr>
        <w:pStyle w:val="Heading2"/>
      </w:pPr>
      <w:r>
        <w:t xml:space="preserve">17.6 Integrity Checkpoint</w:t>
      </w:r>
    </w:p>
    <w:p>
      <w:pPr>
        <w:pStyle w:val="FirstParagraph"/>
      </w:pPr>
      <w:r>
        <w:t xml:space="preserve">Synthesis allocates visibility. Cite works that contribute evidence or ideas, not only surveys, and preserve credit across languages, regions, and publication forms.</w:t>
      </w:r>
    </w:p>
    <w:p>
      <w:pPr>
        <w:pStyle w:val="BodyText"/>
      </w:pPr>
      <w:r>
        <w:t xml:space="preserve">Avoid false transparency. A public search log can expose sensitive topics, proprietary access routes, reviewer identities, or the location of vulnerable archives. Release a calibrated record or redacted version when necessary, and explain the omission.</w:t>
      </w:r>
    </w:p>
    <w:p>
      <w:pPr>
        <w:pStyle w:val="BodyText"/>
      </w:pPr>
      <w:r>
        <w:t xml:space="preserve">Do not convert lawful access limits, unsuccessful searches, or a model’s failure to recall a source into evidence that no scholarship exists.</w:t>
      </w:r>
    </w:p>
    <w:p>
      <w:pPr>
        <w:pStyle w:val="BodyText"/>
      </w:pPr>
      <w:r>
        <w:t xml:space="preserve">Corrections are part of a living review. Provide a version, review date, citation form, change log, and route for reporting errors. Preserve previous releases when feasible so readers can identify which account they used.</w:t>
      </w:r>
    </w:p>
    <w:bookmarkEnd w:id="178"/>
    <w:bookmarkStart w:id="179" w:name="save-the-artifact-12"/>
    <w:p>
      <w:pPr>
        <w:pStyle w:val="Heading2"/>
      </w:pPr>
      <w:r>
        <w:t xml:space="preserve">17.7 Save the Artifact</w:t>
      </w:r>
    </w:p>
    <w:p>
      <w:pPr>
        <w:pStyle w:val="FirstParagraph"/>
      </w:pPr>
      <w:r>
        <w:t xml:space="preserve">Complete the workbook’s Coverage Audit, Memo Plan, and Stopping Rule sheets. Record evidence, dependence, constraints, claims, counterevidence, limits, decisions, owners, and reopening triggers.</w:t>
      </w:r>
    </w:p>
    <w:p>
      <w:pPr>
        <w:pStyle w:val="BodyText"/>
      </w:pPr>
      <w:r>
        <w:t xml:space="preserve">Save a synthesis memo keyed to the workbook version. State the review’s answer, strongest basis, most consequential disagreement, coverage limit, implications for empirical collection, and stopping decision. The memo is the bridge between the working artifacts and the written chapter.</w:t>
      </w:r>
    </w:p>
    <w:p>
      <w:pPr>
        <w:pStyle w:val="BodyText"/>
      </w:pPr>
      <w:r>
        <w:t xml:space="preserve">Archive the review artifacts together, prefer open formats, and preserve only material that rights and ethics permit.</w:t>
      </w:r>
    </w:p>
    <w:bookmarkEnd w:id="179"/>
    <w:bookmarkStart w:id="180" w:name="advanced-practice-12"/>
    <w:p>
      <w:pPr>
        <w:pStyle w:val="Heading2"/>
      </w:pPr>
      <w:r>
        <w:t xml:space="preserve">17.8 Advanced Practice</w:t>
      </w:r>
    </w:p>
    <w:p>
      <w:pPr>
        <w:pStyle w:val="FirstParagraph"/>
      </w:pPr>
      <w:r>
        <w:t xml:space="preserve">Formal synthesis traditions require their own standards. Living reviews additionally require ownership, review intervals, corrections, and version rules.</w:t>
      </w:r>
    </w:p>
    <w:bookmarkEnd w:id="180"/>
    <w:bookmarkEnd w:id="181"/>
    <w:bookmarkStart w:id="191" w:name="ai-and-research-integrity"/>
    <w:p>
      <w:pPr>
        <w:pStyle w:val="Heading1"/>
      </w:pPr>
      <w:r>
        <w:t xml:space="preserve">18. AI and Research Integrity</w:t>
      </w:r>
    </w:p>
    <w:bookmarkStart w:id="184" w:name="a-division-of-labor"/>
    <w:p>
      <w:pPr>
        <w:pStyle w:val="Heading2"/>
      </w:pPr>
      <w:r>
        <w:t xml:space="preserve">18.1 A Division of Labor</w:t>
      </w:r>
    </w:p>
    <w:p>
      <w:pPr>
        <w:pStyle w:val="FirstParagraph"/>
      </w:pPr>
      <w:r>
        <w:t xml:space="preserve">Generative AI can accelerate parts of evidence mapping. It can propose synonyms, group candidate records, compare definitions, and question a stopping rule. These are acts of assistance. They are not transfers of authorship or responsibility.</w:t>
      </w:r>
    </w:p>
    <w:p>
      <w:pPr>
        <w:pStyle w:val="BodyText"/>
      </w:pPr>
      <w:r>
        <w:t xml:space="preserve">The researcher defines the purpose. The researcher controls the material supplied to the system. The researcher verifies claims and sources. The researcher decides what enters the corpus. The researcher accounts for the result.</w:t>
      </w:r>
    </w:p>
    <w:p>
      <w:pPr>
        <w:pStyle w:val="BodyText"/>
      </w:pPr>
      <w:r>
        <w:t xml:space="preserve">This division of labor is necessary because fluent output can contain fabricated references, unsupported inference, privacy disclosure, and bias inherited from training data or the prompt. Current risk guidance treats these as properties that require management across the system’s use, not as rare accidents.</w:t>
      </w:r>
      <w:r>
        <w:rPr>
          <w:rStyle w:val="FootnoteReference"/>
        </w:rPr>
        <w:footnoteReference w:id="182"/>
      </w:r>
    </w:p>
    <w:bookmarkEnd w:id="184"/>
    <w:bookmarkStart w:id="185" w:name="model-neutral-workflows"/>
    <w:p>
      <w:pPr>
        <w:pStyle w:val="Heading2"/>
      </w:pPr>
      <w:r>
        <w:t xml:space="preserve">18.2 Model-Neutral Workflows</w:t>
      </w:r>
    </w:p>
    <w:p>
      <w:pPr>
        <w:pStyle w:val="FirstParagraph"/>
      </w:pPr>
      <w:r>
        <w:t xml:space="preserve">The guide avoids instructions that depend on one product interface. A workflow states the research task, required input, prompt sequence, verification procedure, and audit record. The model may change. The scholarly obligation does not.</w:t>
      </w:r>
    </w:p>
    <w:p>
      <w:pPr>
        <w:pStyle w:val="BodyText"/>
      </w:pPr>
      <w:r>
        <w:t xml:space="preserve">A useful prompt gives the system a bounded role. “Identify candidate dimensions missing from this question frame” is inspectable. “Research this topic for me” conceals the stages at which error can enter. Prompts should request candidates, alternatives, or critiques. They should not request certainty the system cannot establish.</w:t>
      </w:r>
    </w:p>
    <w:p>
      <w:pPr>
        <w:pStyle w:val="BodyText"/>
      </w:pPr>
      <w:r>
        <w:t xml:space="preserve">Run more than one pass when the task matters. The first pass generates. The second challenges. The third compares the output with the evidence map. Repetition does not guarantee truth, but role separation makes error easier to see.</w:t>
      </w:r>
    </w:p>
    <w:p>
      <w:pPr>
        <w:pStyle w:val="BodyText"/>
      </w:pPr>
      <w:r>
        <w:t xml:space="preserve">Model neutrality has a limit worth stating. The verification-heavy workflows in this guide assume access to a capable model, and capable models often cost money. The privacy fallback assumes a local or institutional system that many researchers do not have. Capability also varies by tool, language, and region. For these reasons the method does not depend on AI. The map, the search log, the evidence register, and the stopping rule stand on their own. A researcher without access to a frontier model loses an assistant, not the method.</w:t>
      </w:r>
    </w:p>
    <w:bookmarkEnd w:id="185"/>
    <w:bookmarkStart w:id="186" w:name="privacy-and-data-minimization"/>
    <w:p>
      <w:pPr>
        <w:pStyle w:val="Heading2"/>
      </w:pPr>
      <w:r>
        <w:t xml:space="preserve">18.3 Privacy and Data Minimization</w:t>
      </w:r>
    </w:p>
    <w:p>
      <w:pPr>
        <w:pStyle w:val="FirstParagraph"/>
      </w:pPr>
      <w:r>
        <w:t xml:space="preserve">Do not place material into an external system merely because it accepts text. Interview transcripts, archival restrictions, personal data, allegations, unpublished findings, and partner-owned datasets may carry legal and ethical limits. Removing names does not lift those limits. De-identification of qualitative data is unreliable, and re-identification is often possible from context alone. Under most data-protection regimes and ethics approvals, pseudonymized participant data remains regulated personal data, and many approvals and data agreements forbid sending it to a third-party processor at all. Consumer tools may also retain inputs or train on them. Before any participant-derived material enters an external system, confirm that the ethics approval and the data agreements permit third-party processing. Use an abstract description when the full record is unnecessary. Prefer a local or institutionally approved system when protection requires it. When in doubt, do not upload, and consult the ethics board or the data-protection officer.</w:t>
      </w:r>
    </w:p>
    <w:p>
      <w:pPr>
        <w:pStyle w:val="BodyText"/>
      </w:pPr>
      <w:r>
        <w:t xml:space="preserve">The audit log records what category of material entered the system. It need not reproduce protected content. It should record the model, date, task, input description, relevant settings, output disposition, and human reviewer.</w:t>
      </w:r>
    </w:p>
    <w:bookmarkEnd w:id="186"/>
    <w:bookmarkStart w:id="187" w:name="verification"/>
    <w:p>
      <w:pPr>
        <w:pStyle w:val="Heading2"/>
      </w:pPr>
      <w:r>
        <w:t xml:space="preserve">18.4 Verification</w:t>
      </w:r>
    </w:p>
    <w:p>
      <w:pPr>
        <w:pStyle w:val="FirstParagraph"/>
      </w:pPr>
      <w:r>
        <w:t xml:space="preserve">Verification follows the claim. A proposed publication must be located through a DOI resolver, library catalogue, publisher, or trusted index. A named archive must be checked through the institution. A quotation must be compared with the source. A classification must be traced to the evidence and decision rule.</w:t>
      </w:r>
    </w:p>
    <w:p>
      <w:pPr>
        <w:pStyle w:val="BodyText"/>
      </w:pPr>
      <w:r>
        <w:t xml:space="preserve">An AI-generated reference is not a citation. It is a search lead.</w:t>
      </w:r>
    </w:p>
    <w:p>
      <w:pPr>
        <w:pStyle w:val="BodyText"/>
      </w:pPr>
      <w:r>
        <w:t xml:space="preserve">The same rule applies to summaries. A model may produce an elegant account of a document while missing a qualification that changes its meaning. Verify against the original and record which passages support the summary.</w:t>
      </w:r>
    </w:p>
    <w:bookmarkEnd w:id="187"/>
    <w:bookmarkStart w:id="188" w:name="bias-and-missing-perspectives"/>
    <w:p>
      <w:pPr>
        <w:pStyle w:val="Heading2"/>
      </w:pPr>
      <w:r>
        <w:t xml:space="preserve">18.5 Bias and Missing Perspectives</w:t>
      </w:r>
    </w:p>
    <w:p>
      <w:pPr>
        <w:pStyle w:val="FirstParagraph"/>
      </w:pPr>
      <w:r>
        <w:t xml:space="preserve">Models can reproduce the visibility structure of their training material. Well-indexed English-language institutions may appear central because they are easier for the system to name. Local archives, non-English terms, and informal records may disappear from the response. This weakness makes AI useful as one critic among several, never as the sole designer of a source map.</w:t>
      </w:r>
    </w:p>
    <w:p>
      <w:pPr>
        <w:pStyle w:val="BodyText"/>
      </w:pPr>
      <w:r>
        <w:t xml:space="preserve">Ask what position the response assumes. Ask which actors it treats as authoritative. Ask which language and region dominate its suggestions. Then use domain expertise and human consultation to correct the map.</w:t>
      </w:r>
    </w:p>
    <w:bookmarkEnd w:id="188"/>
    <w:bookmarkStart w:id="189" w:name="reproducibility-and-drift"/>
    <w:p>
      <w:pPr>
        <w:pStyle w:val="Heading2"/>
      </w:pPr>
      <w:r>
        <w:t xml:space="preserve">18.6 Reproducibility and Drift</w:t>
      </w:r>
    </w:p>
    <w:p>
      <w:pPr>
        <w:pStyle w:val="FirstParagraph"/>
      </w:pPr>
      <w:r>
        <w:t xml:space="preserve">The same prompt may produce different outputs across runs. A provider may change the model without preserving the prior version. Search-connected systems may draw on a changing index. The audit record should therefore support reconstruction of the decision, not promise exact reproduction of the text.</w:t>
      </w:r>
    </w:p>
    <w:p>
      <w:pPr>
        <w:pStyle w:val="BodyText"/>
      </w:pPr>
      <w:r>
        <w:t xml:space="preserve">Preserve consequential outputs when terms permit. Record accepted and rejected suggestions. State when AI assistance changed the question, search vocabulary, source inventory, or stopping rule. The manuscript needs the decision trail more than it needs a transcript of every exchange.</w:t>
      </w:r>
    </w:p>
    <w:bookmarkEnd w:id="189"/>
    <w:bookmarkStart w:id="190" w:name="the-standard"/>
    <w:p>
      <w:pPr>
        <w:pStyle w:val="Heading2"/>
      </w:pPr>
      <w:r>
        <w:t xml:space="preserve">18.7 The Standard</w:t>
      </w:r>
    </w:p>
    <w:p>
      <w:pPr>
        <w:pStyle w:val="FirstParagraph"/>
      </w:pPr>
      <w:r>
        <w:t xml:space="preserve">AI use is defensible when it makes judgment more visible. It fails when it hides judgment behind convenience.</w:t>
      </w:r>
    </w:p>
    <w:bookmarkEnd w:id="190"/>
    <w:bookmarkEnd w:id="191"/>
    <w:bookmarkStart w:id="196" w:name="building-the-full-field-guide"/>
    <w:p>
      <w:pPr>
        <w:pStyle w:val="Heading1"/>
      </w:pPr>
      <w:r>
        <w:t xml:space="preserve">19. Building the Full Field Guide</w:t>
      </w:r>
    </w:p>
    <w:bookmarkStart w:id="192" w:name="what-the-current-modules-establish"/>
    <w:p>
      <w:pPr>
        <w:pStyle w:val="Heading2"/>
      </w:pPr>
      <w:r>
        <w:t xml:space="preserve">19.1 What the Current Modules Establish</w:t>
      </w:r>
    </w:p>
    <w:p>
      <w:pPr>
        <w:pStyle w:val="FirstParagraph"/>
      </w:pPr>
      <w:r>
        <w:t xml:space="preserve">The evidence map connects an intellectual question to the practical work of finding material.</w:t>
      </w:r>
      <w:r>
        <w:t xml:space="preserve"> </w:t>
      </w:r>
      <w:r>
        <w:rPr>
          <w:i/>
          <w:iCs/>
        </w:rPr>
        <w:t xml:space="preserve">Literature as Evidence</w:t>
      </w:r>
      <w:r>
        <w:t xml:space="preserve"> </w:t>
      </w:r>
      <w:r>
        <w:t xml:space="preserve">carries that logic into discovery, reading, comparison, and synthesis. Together, they show that one page pattern can support distinct tasks while keeping method separate from volatile products, giving AI bounded roles, and leaving a record another researcher can inspect.</w:t>
      </w:r>
    </w:p>
    <w:p>
      <w:pPr>
        <w:pStyle w:val="BodyText"/>
      </w:pPr>
      <w:r>
        <w:t xml:space="preserve">The two modules share one architecture at different lengths. The evidence map runs seven stages and stops before analysis. The literature review runs six stages and includes reading, because synthesis is its product. Grouped by function, they align as follows.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Evidence map</w:t>
            </w:r>
          </w:p>
        </w:tc>
        <w:tc>
          <w:tcPr/>
          <w:p>
            <w:pPr>
              <w:pStyle w:val="Compact"/>
            </w:pPr>
            <w:r>
              <w:t xml:space="preserve">Literature review</w:t>
            </w:r>
          </w:p>
        </w:tc>
      </w:tr>
      <w:tr>
        <w:tc>
          <w:tcPr/>
          <w:p>
            <w:pPr>
              <w:pStyle w:val="Compact"/>
            </w:pPr>
            <w:r>
              <w:t xml:space="preserve">Frame</w:t>
            </w:r>
          </w:p>
        </w:tc>
        <w:tc>
          <w:tcPr/>
          <w:p>
            <w:pPr>
              <w:pStyle w:val="Compact"/>
            </w:pPr>
            <w:r>
              <w:t xml:space="preserve">Frame the question</w:t>
            </w:r>
          </w:p>
        </w:tc>
        <w:tc>
          <w:tcPr/>
          <w:p>
            <w:pPr>
              <w:pStyle w:val="Compact"/>
            </w:pPr>
            <w:r>
              <w:t xml:space="preserve">Define the review</w:t>
            </w:r>
          </w:p>
        </w:tc>
      </w:tr>
      <w:tr>
        <w:tc>
          <w:tcPr/>
          <w:p>
            <w:pPr>
              <w:pStyle w:val="Compact"/>
            </w:pPr>
            <w:r>
              <w:t xml:space="preserve">Decompose</w:t>
            </w:r>
          </w:p>
        </w:tc>
        <w:tc>
          <w:tcPr/>
          <w:p>
            <w:pPr>
              <w:pStyle w:val="Compact"/>
            </w:pPr>
            <w:r>
              <w:t xml:space="preserve">Decompose into concepts</w:t>
            </w:r>
          </w:p>
        </w:tc>
        <w:tc>
          <w:tcPr/>
          <w:p>
            <w:pPr>
              <w:pStyle w:val="Compact"/>
            </w:pPr>
            <w:r>
              <w:t xml:space="preserve">Map concepts and vocabulary</w:t>
            </w:r>
          </w:p>
        </w:tc>
      </w:tr>
      <w:tr>
        <w:tc>
          <w:tcPr/>
          <w:p>
            <w:pPr>
              <w:pStyle w:val="Compact"/>
            </w:pPr>
            <w:r>
              <w:t xml:space="preserve">Discover</w:t>
            </w:r>
          </w:p>
        </w:tc>
        <w:tc>
          <w:tcPr/>
          <w:p>
            <w:pPr>
              <w:pStyle w:val="Compact"/>
            </w:pPr>
            <w:r>
              <w:t xml:space="preserve">Map source families; search iteratively</w:t>
            </w:r>
          </w:p>
        </w:tc>
        <w:tc>
          <w:tcPr/>
          <w:p>
            <w:pPr>
              <w:pStyle w:val="Compact"/>
            </w:pPr>
            <w:r>
              <w:t xml:space="preserve">Discover through multiple routes</w:t>
            </w:r>
          </w:p>
        </w:tc>
      </w:tr>
      <w:tr>
        <w:tc>
          <w:tcPr/>
          <w:p>
            <w:pPr>
              <w:pStyle w:val="Compact"/>
            </w:pPr>
            <w:r>
              <w:t xml:space="preserve">Evaluate</w:t>
            </w:r>
          </w:p>
        </w:tc>
        <w:tc>
          <w:tcPr/>
          <w:p>
            <w:pPr>
              <w:pStyle w:val="Compact"/>
            </w:pPr>
            <w:r>
              <w:t xml:space="preserve">Evaluate evidence</w:t>
            </w:r>
          </w:p>
        </w:tc>
        <w:tc>
          <w:tcPr/>
          <w:p>
            <w:pPr>
              <w:pStyle w:val="Compact"/>
            </w:pPr>
            <w:r>
              <w:t xml:space="preserve">Evaluate sources and claims</w:t>
            </w:r>
          </w:p>
        </w:tc>
      </w:tr>
      <w:tr>
        <w:tc>
          <w:tcPr/>
          <w:p>
            <w:pPr>
              <w:pStyle w:val="Compact"/>
            </w:pPr>
            <w:r>
              <w:t xml:space="preserve">Read</w:t>
            </w:r>
          </w:p>
        </w:tc>
        <w:tc>
          <w:tcPr/>
          <w:p>
            <w:pPr>
              <w:pStyle w:val="Compact"/>
            </w:pPr>
            <w:r>
              <w:t xml:space="preserve">Outside this module</w:t>
            </w:r>
          </w:p>
        </w:tc>
        <w:tc>
          <w:tcPr/>
          <w:p>
            <w:pPr>
              <w:pStyle w:val="Compact"/>
            </w:pPr>
            <w:r>
              <w:t xml:space="preserve">Read, annotate, and compare</w:t>
            </w:r>
          </w:p>
        </w:tc>
      </w:tr>
      <w:tr>
        <w:tc>
          <w:tcPr/>
          <w:p>
            <w:pPr>
              <w:pStyle w:val="Compact"/>
            </w:pPr>
            <w:r>
              <w:t xml:space="preserve">Close</w:t>
            </w:r>
          </w:p>
        </w:tc>
        <w:tc>
          <w:tcPr/>
          <w:p>
            <w:pPr>
              <w:pStyle w:val="Compact"/>
            </w:pPr>
            <w:r>
              <w:t xml:space="preserve">Test coverage; produce the map</w:t>
            </w:r>
          </w:p>
        </w:tc>
        <w:tc>
          <w:tcPr/>
          <w:p>
            <w:pPr>
              <w:pStyle w:val="Compact"/>
            </w:pPr>
            <w:r>
              <w:t xml:space="preserve">Synthesize, audit, and stop</w:t>
            </w:r>
          </w:p>
        </w:tc>
      </w:tr>
    </w:tbl>
    <w:p>
      <w:pPr>
        <w:pStyle w:val="BodyText"/>
      </w:pPr>
      <w:r>
        <w:t xml:space="preserve">The evidence map devotes two stages to discovery where the review devotes one, because a collection project separates who could have recorded evidence from how to search for it. The review adds a reading stage because it must interpret what it finds.</w:t>
      </w:r>
    </w:p>
    <w:p>
      <w:pPr>
        <w:pStyle w:val="BodyText"/>
      </w:pPr>
      <w:r>
        <w:t xml:space="preserve">The modules also reveal what remains outside the draft. They do not collect an interview, preserve a website, prepare an archival corpus, code a document, or write the final empirical analysis. Each task requires its own decisions and artifacts.</w:t>
      </w:r>
    </w:p>
    <w:bookmarkEnd w:id="192"/>
    <w:bookmarkStart w:id="193" w:name="the-full-field-guide"/>
    <w:p>
      <w:pPr>
        <w:pStyle w:val="Heading2"/>
      </w:pPr>
      <w:r>
        <w:t xml:space="preserve">19.2 The Full Field Guide</w:t>
      </w:r>
    </w:p>
    <w:p>
      <w:pPr>
        <w:pStyle w:val="FirstParagraph"/>
      </w:pPr>
      <w:r>
        <w:t xml:space="preserve">The next module treats collection as evidence. It addresses documents, interviews, observations, images, audio, video, and web material. It connects capture to consent, metadata, storage, naming, backup, preservation, and chain of custody. A composite oral-history case will show where evidence co-produced with participants requires different decisions from retrieved documentary evidence.</w:t>
      </w:r>
    </w:p>
    <w:p>
      <w:pPr>
        <w:pStyle w:val="BodyText"/>
      </w:pPr>
      <w:r>
        <w:t xml:space="preserve">A preparation module will examine transcription, OCR, translation, coding, memoing, temporal ordering, entity resolution, and the conversion of unstructured records into structured fields. The original project devoted substantial attention to this border between qualitative material and databases. We will reconstruct that contribution around transformations whose lineage remains visible.</w:t>
      </w:r>
    </w:p>
    <w:p>
      <w:pPr>
        <w:pStyle w:val="BodyText"/>
      </w:pPr>
      <w:r>
        <w:t xml:space="preserve">An analysis module will resist a false division between qualitative and quantitative work. Researchers move between close reading, comparison, counting, visualization, and model-based inference. The relevant distinction concerns the claim and evidence, not the brand of software.</w:t>
      </w:r>
    </w:p>
    <w:p>
      <w:pPr>
        <w:pStyle w:val="BodyText"/>
      </w:pPr>
      <w:r>
        <w:t xml:space="preserve">A communication module will cover manuscripts, presentations, public data, visual explanation, repositories, and long-term access. Sharing is not the final act after research. Decisions made during collection determine what can later be verified, reused, or protected.</w:t>
      </w:r>
    </w:p>
    <w:bookmarkEnd w:id="193"/>
    <w:bookmarkStart w:id="194" w:name="a-hebrew-edition"/>
    <w:p>
      <w:pPr>
        <w:pStyle w:val="Heading2"/>
      </w:pPr>
      <w:r>
        <w:t xml:space="preserve">19.3 A Hebrew Edition</w:t>
      </w:r>
    </w:p>
    <w:p>
      <w:pPr>
        <w:pStyle w:val="FirstParagraph"/>
      </w:pPr>
      <w:r>
        <w:t xml:space="preserve">English remains the canonical language during the pilot. A Hebrew edition should follow after the content model and navigation stabilize. Translation will require more than sentence substitution. Search terms, institutional examples, interfaces, and right-to-left design must be adapted. Stable page identifiers will keep the two editions connected without forcing them to change at the same pace.</w:t>
      </w:r>
    </w:p>
    <w:bookmarkEnd w:id="194"/>
    <w:bookmarkStart w:id="195" w:name="an-invitation"/>
    <w:p>
      <w:pPr>
        <w:pStyle w:val="Heading2"/>
      </w:pPr>
      <w:r>
        <w:t xml:space="preserve">19.4 An Invitation</w:t>
      </w:r>
    </w:p>
    <w:p>
      <w:pPr>
        <w:pStyle w:val="FirstParagraph"/>
      </w:pPr>
      <w:r>
        <w:t xml:space="preserve">This draft is an argument and a test. It argues that researchers need a visible structure between question, corpus, analysis, and claim. It tests whether two different modules can carry novices and experienced scholars through the same page pattern at different depths.</w:t>
      </w:r>
    </w:p>
    <w:p>
      <w:pPr>
        <w:pStyle w:val="BodyText"/>
      </w:pPr>
      <w:r>
        <w:t xml:space="preserve">The next step is both editorial and empirical. We will test the current modules with readers, carry the municipal oral-history example through every stage, and build the Collection as Evidence module from the strongest legacy material.</w:t>
      </w:r>
    </w:p>
    <w:p>
      <w:pPr>
        <w:pStyle w:val="BodyText"/>
      </w:pPr>
      <w:r>
        <w:t xml:space="preserve">The old project began with abundance. The revived project begins with limits, artifacts, and reviewable decisions. This is progress.</w:t>
      </w:r>
    </w:p>
    <w:bookmarkEnd w:id="195"/>
    <w:bookmarkEnd w:id="196"/>
    <w:bookmarkStart w:id="214" w:name="references"/>
    <w:p>
      <w:pPr>
        <w:pStyle w:val="Heading1"/>
      </w:pPr>
      <w:r>
        <w:t xml:space="preserve">20. References</w:t>
      </w:r>
    </w:p>
    <w:bookmarkStart w:id="213" w:name="refs"/>
    <w:bookmarkStart w:id="197" w:name="ref-autio2024genai"/>
    <w:p>
      <w:pPr>
        <w:pStyle w:val="Bibliography"/>
      </w:pPr>
      <w:r>
        <w:t xml:space="preserve">Autio, Chloe, Reva Schwartz, Jesse Dunietz, Shomik Jain, Martin Stanley, Elham Tabassi, Patrick Hall, and Kamie Roberts.</w:t>
      </w:r>
      <w:r>
        <w:t xml:space="preserve"> </w:t>
      </w:r>
      <w:r>
        <w:t xml:space="preserve">“Artificial Intelligence Risk Management Framework: Generative Artificial Intelligence Profile.”</w:t>
      </w:r>
      <w:r>
        <w:t xml:space="preserve"> </w:t>
      </w:r>
      <w:r>
        <w:t xml:space="preserve">National Institute of Standards and Technology</w:t>
      </w:r>
      <w:r>
        <w:t xml:space="preserve">, 2024.</w:t>
      </w:r>
      <w:r>
        <w:t xml:space="preserve"> </w:t>
      </w:r>
      <w:hyperlink r:id="rId183">
        <w:r>
          <w:rPr>
            <w:rStyle w:val="Hyperlink"/>
          </w:rPr>
          <w:t xml:space="preserve">https://doi.org/10.6028/NIST.AI.600-1</w:t>
        </w:r>
      </w:hyperlink>
      <w:r>
        <w:t xml:space="preserve">.</w:t>
      </w:r>
    </w:p>
    <w:bookmarkEnd w:id="197"/>
    <w:bookmarkStart w:id="198" w:name="ref-booth2016systematic"/>
    <w:p>
      <w:pPr>
        <w:pStyle w:val="Bibliography"/>
      </w:pPr>
      <w:r>
        <w:t xml:space="preserve">Booth, Andrew, Anthea Sutton, and Diana Papaioannou.</w:t>
      </w:r>
      <w:r>
        <w:t xml:space="preserve"> </w:t>
      </w:r>
      <w:r>
        <w:rPr>
          <w:i/>
          <w:iCs/>
        </w:rPr>
        <w:t xml:space="preserve">Systematic Approaches to a Successful Literature Review</w:t>
      </w:r>
      <w:r>
        <w:t xml:space="preserve">. 2nd ed. London: SAGE Publications, 2016.</w:t>
      </w:r>
    </w:p>
    <w:bookmarkEnd w:id="198"/>
    <w:bookmarkStart w:id="199" w:name="ref-braun2021quality"/>
    <w:p>
      <w:pPr>
        <w:pStyle w:val="Bibliography"/>
      </w:pPr>
      <w:r>
        <w:t xml:space="preserve">Braun, Virginia, and Victoria Clarke.</w:t>
      </w:r>
      <w:r>
        <w:t xml:space="preserve"> </w:t>
      </w:r>
      <w:r>
        <w:t xml:space="preserve">“One Size Fits All? What Counts as Quality Practice in (Reflexive) Thematic Analysis?”</w:t>
      </w:r>
      <w:r>
        <w:t xml:space="preserve"> </w:t>
      </w:r>
      <w:r>
        <w:rPr>
          <w:i/>
          <w:iCs/>
        </w:rPr>
        <w:t xml:space="preserve">Qualitative Research in Psychology</w:t>
      </w:r>
      <w:r>
        <w:t xml:space="preserve"> </w:t>
      </w:r>
      <w:r>
        <w:t xml:space="preserve">18, no. 3 (2021): 328–52.</w:t>
      </w:r>
      <w:r>
        <w:t xml:space="preserve"> </w:t>
      </w:r>
      <w:hyperlink r:id="rId89">
        <w:r>
          <w:rPr>
            <w:rStyle w:val="Hyperlink"/>
          </w:rPr>
          <w:t xml:space="preserve">https://doi.org/10.1080/14780887.2020.1769238</w:t>
        </w:r>
      </w:hyperlink>
      <w:r>
        <w:t xml:space="preserve">.</w:t>
      </w:r>
    </w:p>
    <w:bookmarkEnd w:id="199"/>
    <w:bookmarkStart w:id="200" w:name="ref-enders2011domestic"/>
    <w:p>
      <w:pPr>
        <w:pStyle w:val="Bibliography"/>
      </w:pPr>
      <w:r>
        <w:t xml:space="preserve">Enders, Walter, Todd Sandler, and Khusrav Gaibulloev.</w:t>
      </w:r>
      <w:r>
        <w:t xml:space="preserve"> </w:t>
      </w:r>
      <w:r>
        <w:t xml:space="preserve">“Domestic Versus Transnational Terrorism: Data Decomposition and Dynamics.”</w:t>
      </w:r>
      <w:r>
        <w:t xml:space="preserve"> </w:t>
      </w:r>
      <w:r>
        <w:rPr>
          <w:i/>
          <w:iCs/>
        </w:rPr>
        <w:t xml:space="preserve">Journal of Peace Research</w:t>
      </w:r>
      <w:r>
        <w:t xml:space="preserve"> </w:t>
      </w:r>
      <w:r>
        <w:t xml:space="preserve">48, no. 3 (2011): 319–37.</w:t>
      </w:r>
      <w:r>
        <w:t xml:space="preserve"> </w:t>
      </w:r>
      <w:hyperlink r:id="rId31">
        <w:r>
          <w:rPr>
            <w:rStyle w:val="Hyperlink"/>
          </w:rPr>
          <w:t xml:space="preserve">https://doi.org/10.1177/0022343311398926</w:t>
        </w:r>
      </w:hyperlink>
      <w:r>
        <w:t xml:space="preserve">.</w:t>
      </w:r>
    </w:p>
    <w:bookmarkEnd w:id="200"/>
    <w:bookmarkStart w:id="201" w:name="ref-gerring2012methodology"/>
    <w:p>
      <w:pPr>
        <w:pStyle w:val="Bibliography"/>
      </w:pPr>
      <w:r>
        <w:t xml:space="preserve">Gerring, John.</w:t>
      </w:r>
      <w:r>
        <w:t xml:space="preserve"> </w:t>
      </w:r>
      <w:r>
        <w:rPr>
          <w:i/>
          <w:iCs/>
        </w:rPr>
        <w:t xml:space="preserve">Social Science Methodology: A Unified Framework</w:t>
      </w:r>
      <w:r>
        <w:t xml:space="preserve">. 2nd ed. Cambridge: Cambridge University Press, 2012.</w:t>
      </w:r>
    </w:p>
    <w:bookmarkEnd w:id="201"/>
    <w:bookmarkStart w:id="202" w:name="ref-grant2009typology"/>
    <w:p>
      <w:pPr>
        <w:pStyle w:val="Bibliography"/>
      </w:pPr>
      <w:r>
        <w:t xml:space="preserve">Grant, Maria J., and Andrew Booth.</w:t>
      </w:r>
      <w:r>
        <w:t xml:space="preserve"> </w:t>
      </w:r>
      <w:r>
        <w:t xml:space="preserve">“A Typology of Reviews: An Analysis of 14 Review Types and Associated Methodologies.”</w:t>
      </w:r>
      <w:r>
        <w:t xml:space="preserve"> </w:t>
      </w:r>
      <w:r>
        <w:rPr>
          <w:i/>
          <w:iCs/>
        </w:rPr>
        <w:t xml:space="preserve">Health Information</w:t>
      </w:r>
      <w:r>
        <w:br/>
      </w:r>
      <w:r>
        <w:rPr>
          <w:i/>
          <w:iCs/>
        </w:rPr>
        <w:t xml:space="preserve">&amp; Libraries Journal</w:t>
      </w:r>
      <w:r>
        <w:t xml:space="preserve"> </w:t>
      </w:r>
      <w:r>
        <w:t xml:space="preserve">26, no. 2 (2009): 91–108.</w:t>
      </w:r>
      <w:r>
        <w:t xml:space="preserve"> </w:t>
      </w:r>
      <w:hyperlink r:id="rId111">
        <w:r>
          <w:rPr>
            <w:rStyle w:val="Hyperlink"/>
          </w:rPr>
          <w:t xml:space="preserve">https://doi.org/10.1111/j.1471-1842.2009.00848.x</w:t>
        </w:r>
      </w:hyperlink>
      <w:r>
        <w:t xml:space="preserve">.</w:t>
      </w:r>
    </w:p>
    <w:bookmarkEnd w:id="202"/>
    <w:bookmarkStart w:id="203" w:name="ref-greenhalgh2005search"/>
    <w:p>
      <w:pPr>
        <w:pStyle w:val="Bibliography"/>
      </w:pPr>
      <w:r>
        <w:t xml:space="preserve">Greenhalgh, Trisha, and Richard Peacock.</w:t>
      </w:r>
      <w:r>
        <w:t xml:space="preserve"> </w:t>
      </w:r>
      <w:r>
        <w:t xml:space="preserve">“Effectiveness and Efficiency of Search Methods in Systematic Reviews of Complex Evidence: Audit of Primary Sources.”</w:t>
      </w:r>
      <w:r>
        <w:t xml:space="preserve"> </w:t>
      </w:r>
      <w:r>
        <w:rPr>
          <w:i/>
          <w:iCs/>
        </w:rPr>
        <w:t xml:space="preserve">BMJ</w:t>
      </w:r>
      <w:r>
        <w:t xml:space="preserve"> </w:t>
      </w:r>
      <w:r>
        <w:t xml:space="preserve">331, no. 7524 (2005): 1064–65.</w:t>
      </w:r>
      <w:r>
        <w:t xml:space="preserve"> </w:t>
      </w:r>
      <w:hyperlink r:id="rId145">
        <w:r>
          <w:rPr>
            <w:rStyle w:val="Hyperlink"/>
          </w:rPr>
          <w:t xml:space="preserve">https://doi.org/10.1136/bmj.38636.593461.68</w:t>
        </w:r>
      </w:hyperlink>
      <w:r>
        <w:t xml:space="preserve">.</w:t>
      </w:r>
    </w:p>
    <w:bookmarkEnd w:id="203"/>
    <w:bookmarkStart w:id="204" w:name="ref-lebo2013provo"/>
    <w:p>
      <w:pPr>
        <w:pStyle w:val="Bibliography"/>
      </w:pPr>
      <w:r>
        <w:t xml:space="preserve">Lebo, Timothy, Satya Sahoo, and Deborah McGuinness.</w:t>
      </w:r>
      <w:r>
        <w:t xml:space="preserve"> </w:t>
      </w:r>
      <w:r>
        <w:t xml:space="preserve">“</w:t>
      </w:r>
      <w:r>
        <w:t xml:space="preserve">PROV-O</w:t>
      </w:r>
      <w:r>
        <w:t xml:space="preserve">: The</w:t>
      </w:r>
      <w:r>
        <w:t xml:space="preserve"> </w:t>
      </w:r>
      <w:r>
        <w:t xml:space="preserve">PROV</w:t>
      </w:r>
      <w:r>
        <w:t xml:space="preserve"> </w:t>
      </w:r>
      <w:r>
        <w:t xml:space="preserve">Ontology.”</w:t>
      </w:r>
      <w:r>
        <w:t xml:space="preserve"> </w:t>
      </w:r>
      <w:r>
        <w:t xml:space="preserve">W3C Recommendation. World Wide Web Consortium, 2013.</w:t>
      </w:r>
      <w:r>
        <w:t xml:space="preserve"> </w:t>
      </w:r>
      <w:hyperlink r:id="rId12">
        <w:r>
          <w:rPr>
            <w:rStyle w:val="Hyperlink"/>
          </w:rPr>
          <w:t xml:space="preserve">https://www.w3.org/TR/prov-o/</w:t>
        </w:r>
      </w:hyperlink>
      <w:r>
        <w:t xml:space="preserve">.</w:t>
      </w:r>
    </w:p>
    <w:bookmarkEnd w:id="204"/>
    <w:bookmarkStart w:id="205" w:name="ref-littell2018classification"/>
    <w:p>
      <w:pPr>
        <w:pStyle w:val="Bibliography"/>
      </w:pPr>
      <w:r>
        <w:t xml:space="preserve">Littell, Julia H.</w:t>
      </w:r>
      <w:r>
        <w:t xml:space="preserve"> </w:t>
      </w:r>
      <w:r>
        <w:t xml:space="preserve">“Conceptual and Practical Classification of Research Reviews and Other Evidence Synthesis Products.”</w:t>
      </w:r>
      <w:r>
        <w:t xml:space="preserve"> </w:t>
      </w:r>
      <w:r>
        <w:rPr>
          <w:i/>
          <w:iCs/>
        </w:rPr>
        <w:t xml:space="preserve">Campbell Systematic Reviews</w:t>
      </w:r>
      <w:r>
        <w:t xml:space="preserve"> </w:t>
      </w:r>
      <w:r>
        <w:t xml:space="preserve">14, no. 1 (2018): 1–21.</w:t>
      </w:r>
      <w:r>
        <w:t xml:space="preserve"> </w:t>
      </w:r>
      <w:hyperlink r:id="rId115">
        <w:r>
          <w:rPr>
            <w:rStyle w:val="Hyperlink"/>
          </w:rPr>
          <w:t xml:space="preserve">https://doi.org/10.4073/cmdp.2018.1</w:t>
        </w:r>
      </w:hyperlink>
      <w:r>
        <w:t xml:space="preserve">.</w:t>
      </w:r>
    </w:p>
    <w:bookmarkEnd w:id="205"/>
    <w:bookmarkStart w:id="206" w:name="ref-malterud2016information"/>
    <w:p>
      <w:pPr>
        <w:pStyle w:val="Bibliography"/>
      </w:pPr>
      <w:r>
        <w:t xml:space="preserve">Malterud, Kirsti, Volkert Dirk Siersma, and Ann Dorrit Guassora.</w:t>
      </w:r>
      <w:r>
        <w:t xml:space="preserve"> </w:t>
      </w:r>
      <w:r>
        <w:t xml:space="preserve">“Sample Size in Qualitative Interview Studies: Guided by Information Power.”</w:t>
      </w:r>
      <w:r>
        <w:t xml:space="preserve"> </w:t>
      </w:r>
      <w:r>
        <w:rPr>
          <w:i/>
          <w:iCs/>
        </w:rPr>
        <w:t xml:space="preserve">Qualitative Health Research</w:t>
      </w:r>
      <w:r>
        <w:t xml:space="preserve"> </w:t>
      </w:r>
      <w:r>
        <w:t xml:space="preserve">26, no. 13 (2016): 1753–60.</w:t>
      </w:r>
      <w:r>
        <w:t xml:space="preserve"> </w:t>
      </w:r>
      <w:hyperlink r:id="rId91">
        <w:r>
          <w:rPr>
            <w:rStyle w:val="Hyperlink"/>
          </w:rPr>
          <w:t xml:space="preserve">https://doi.org/10.1177/1049732315617444</w:t>
        </w:r>
      </w:hyperlink>
      <w:r>
        <w:t xml:space="preserve">.</w:t>
      </w:r>
    </w:p>
    <w:bookmarkEnd w:id="206"/>
    <w:bookmarkStart w:id="207" w:name="ref-start2024codebook"/>
    <w:p>
      <w:pPr>
        <w:pStyle w:val="Bibliography"/>
      </w:pPr>
      <w:r>
        <w:t xml:space="preserve">National Consortium for the Study of Terrorism and Responses to Terrorism.</w:t>
      </w:r>
      <w:r>
        <w:t xml:space="preserve"> </w:t>
      </w:r>
      <w:r>
        <w:t xml:space="preserve">“Global Terrorism Database Codebook: Methodology Inclusion Criteria and Variables,”</w:t>
      </w:r>
      <w:r>
        <w:t xml:space="preserve"> </w:t>
      </w:r>
      <w:r>
        <w:t xml:space="preserve">2024.</w:t>
      </w:r>
      <w:r>
        <w:t xml:space="preserve"> </w:t>
      </w:r>
      <w:hyperlink r:id="rId29">
        <w:r>
          <w:rPr>
            <w:rStyle w:val="Hyperlink"/>
          </w:rPr>
          <w:t xml:space="preserve">https://www.start.umd.edu/gtd/downloads/Codebook.pdf</w:t>
        </w:r>
      </w:hyperlink>
      <w:r>
        <w:t xml:space="preserve">.</w:t>
      </w:r>
    </w:p>
    <w:bookmarkEnd w:id="207"/>
    <w:bookmarkStart w:id="208" w:name="ref-page2021prisma"/>
    <w:p>
      <w:pPr>
        <w:pStyle w:val="Bibliography"/>
      </w:pPr>
      <w:r>
        <w:t xml:space="preserve">Page, Matthew J., Joanne E. McKenzie, Patrick M. Bossuyt, Isabelle Boutron, Tammy C. Hoffmann, Cynthia D. Mulrow, et al.</w:t>
      </w:r>
      <w:r>
        <w:t xml:space="preserve"> </w:t>
      </w:r>
      <w:r>
        <w:t xml:space="preserve">“The PRISMA 2020 Statement: An Updated Guideline for Reporting Systematic Reviews.”</w:t>
      </w:r>
      <w:r>
        <w:t xml:space="preserve"> </w:t>
      </w:r>
      <w:r>
        <w:rPr>
          <w:i/>
          <w:iCs/>
        </w:rPr>
        <w:t xml:space="preserve">BMJ</w:t>
      </w:r>
      <w:r>
        <w:t xml:space="preserve"> </w:t>
      </w:r>
      <w:r>
        <w:t xml:space="preserve">372 (2021): n71.</w:t>
      </w:r>
      <w:r>
        <w:t xml:space="preserve"> </w:t>
      </w:r>
      <w:hyperlink r:id="rId20">
        <w:r>
          <w:rPr>
            <w:rStyle w:val="Hyperlink"/>
          </w:rPr>
          <w:t xml:space="preserve">https://doi.org/10.1136/bmj.n71</w:t>
        </w:r>
      </w:hyperlink>
      <w:r>
        <w:t xml:space="preserve">.</w:t>
      </w:r>
    </w:p>
    <w:bookmarkEnd w:id="208"/>
    <w:bookmarkStart w:id="209" w:name="ref-rethlefsen2021prismas"/>
    <w:p>
      <w:pPr>
        <w:pStyle w:val="Bibliography"/>
      </w:pPr>
      <w:r>
        <w:t xml:space="preserve">Rethlefsen, Melissa L., Shona Kirtley, Siw Waffenschmidt, Ana Patricia Ayala, David Moher, Matthew J. Page, and Jonathan B. Koffel.</w:t>
      </w:r>
      <w:r>
        <w:t xml:space="preserve"> </w:t>
      </w:r>
      <w:r>
        <w:t xml:space="preserve">“PRISMA-s: An Extension to the PRISMA Statement for Reporting Literature Searches in Systematic Reviews.”</w:t>
      </w:r>
      <w:r>
        <w:t xml:space="preserve"> </w:t>
      </w:r>
      <w:r>
        <w:rPr>
          <w:i/>
          <w:iCs/>
        </w:rPr>
        <w:t xml:space="preserve">Systematic Reviews</w:t>
      </w:r>
      <w:r>
        <w:t xml:space="preserve"> </w:t>
      </w:r>
      <w:r>
        <w:t xml:space="preserve">10, no. 1 (2021): 39.</w:t>
      </w:r>
      <w:r>
        <w:t xml:space="preserve"> </w:t>
      </w:r>
      <w:hyperlink r:id="rId19">
        <w:r>
          <w:rPr>
            <w:rStyle w:val="Hyperlink"/>
          </w:rPr>
          <w:t xml:space="preserve">https://doi.org/10.1186/s13643-020-01542-z</w:t>
        </w:r>
      </w:hyperlink>
      <w:r>
        <w:t xml:space="preserve">.</w:t>
      </w:r>
    </w:p>
    <w:bookmarkEnd w:id="209"/>
    <w:bookmarkStart w:id="210" w:name="ref-saunders2018saturation"/>
    <w:p>
      <w:pPr>
        <w:pStyle w:val="Bibliography"/>
      </w:pPr>
      <w:r>
        <w:t xml:space="preserve">Saunders, Benjamin, Julius Sim, Tom Kingstone, Shula Baker, Jackie Waterfield, Bernadette Bartlam, Heather Burroughs, and Clare Jinks.</w:t>
      </w:r>
      <w:r>
        <w:t xml:space="preserve"> </w:t>
      </w:r>
      <w:r>
        <w:t xml:space="preserve">“Saturation in Qualitative Research: Exploring Its Conceptualization and Operationalization.”</w:t>
      </w:r>
      <w:r>
        <w:t xml:space="preserve"> </w:t>
      </w:r>
      <w:r>
        <w:rPr>
          <w:i/>
          <w:iCs/>
        </w:rPr>
        <w:t xml:space="preserve">Quality &amp; Quantity</w:t>
      </w:r>
      <w:r>
        <w:t xml:space="preserve"> </w:t>
      </w:r>
      <w:r>
        <w:t xml:space="preserve">52 (2018): 1893–1907.</w:t>
      </w:r>
      <w:r>
        <w:t xml:space="preserve"> </w:t>
      </w:r>
      <w:hyperlink r:id="rId88">
        <w:r>
          <w:rPr>
            <w:rStyle w:val="Hyperlink"/>
          </w:rPr>
          <w:t xml:space="preserve">https://doi.org/10.1007/s11135-017-0574-8</w:t>
        </w:r>
      </w:hyperlink>
      <w:r>
        <w:t xml:space="preserve">.</w:t>
      </w:r>
    </w:p>
    <w:bookmarkEnd w:id="210"/>
    <w:bookmarkStart w:id="211" w:name="ref-snyder2019literature"/>
    <w:p>
      <w:pPr>
        <w:pStyle w:val="Bibliography"/>
      </w:pPr>
      <w:r>
        <w:t xml:space="preserve">Snyder, Hannah.</w:t>
      </w:r>
      <w:r>
        <w:t xml:space="preserve"> </w:t>
      </w:r>
      <w:r>
        <w:t xml:space="preserve">“Literature Review as a Research Methodology: An Overview and Guidelines.”</w:t>
      </w:r>
      <w:r>
        <w:t xml:space="preserve"> </w:t>
      </w:r>
      <w:r>
        <w:rPr>
          <w:i/>
          <w:iCs/>
        </w:rPr>
        <w:t xml:space="preserve">Journal of Business Research</w:t>
      </w:r>
      <w:r>
        <w:t xml:space="preserve"> </w:t>
      </w:r>
      <w:r>
        <w:t xml:space="preserve">104 (2019): 333–39.</w:t>
      </w:r>
      <w:r>
        <w:t xml:space="preserve"> </w:t>
      </w:r>
      <w:hyperlink r:id="rId110">
        <w:r>
          <w:rPr>
            <w:rStyle w:val="Hyperlink"/>
          </w:rPr>
          <w:t xml:space="preserve">https://doi.org/10.1016/j.jbusres.2019.07.039</w:t>
        </w:r>
      </w:hyperlink>
      <w:r>
        <w:t xml:space="preserve">.</w:t>
      </w:r>
    </w:p>
    <w:bookmarkEnd w:id="211"/>
    <w:bookmarkStart w:id="212" w:name="ref-wohlin2014snowballing"/>
    <w:p>
      <w:pPr>
        <w:pStyle w:val="Bibliography"/>
      </w:pPr>
      <w:r>
        <w:t xml:space="preserve">Wohlin, Claes.</w:t>
      </w:r>
      <w:r>
        <w:t xml:space="preserve"> </w:t>
      </w:r>
      <w:r>
        <w:t xml:space="preserve">“Guidelines for Snowballing in Systematic Literature Studies and a Replication in Software Engineering.”</w:t>
      </w:r>
      <w:r>
        <w:t xml:space="preserve"> </w:t>
      </w:r>
      <w:r>
        <w:t xml:space="preserve">In</w:t>
      </w:r>
      <w:r>
        <w:t xml:space="preserve"> </w:t>
      </w:r>
      <w:r>
        <w:rPr>
          <w:i/>
          <w:iCs/>
        </w:rPr>
        <w:t xml:space="preserve">Proceedings of the 18th International Conference on Evaluation and Assessment in Software Engineering</w:t>
      </w:r>
      <w:r>
        <w:t xml:space="preserve">, 1–10. Association for Computing Machinery, 2014.</w:t>
      </w:r>
      <w:r>
        <w:t xml:space="preserve"> </w:t>
      </w:r>
      <w:hyperlink r:id="rId143">
        <w:r>
          <w:rPr>
            <w:rStyle w:val="Hyperlink"/>
          </w:rPr>
          <w:t xml:space="preserve">https://doi.org/10.1145/2601248.2601268</w:t>
        </w:r>
      </w:hyperlink>
      <w:r>
        <w:t xml:space="preserve">.</w:t>
      </w:r>
    </w:p>
    <w:bookmarkEnd w:id="212"/>
    <w:bookmarkEnd w:id="213"/>
    <w:bookmarkEnd w:id="2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formal vocabulary of entities, activities, and agents follows the W3C provenance model. See</w:t>
      </w:r>
      <w:r>
        <w:t xml:space="preserve"> </w:t>
      </w:r>
      <w:r>
        <w:t xml:space="preserve">Timothy Lebo, Satya Sahoo, and Deborah McGuinness,</w:t>
      </w:r>
      <w:r>
        <w:t xml:space="preserve"> </w:t>
      </w:r>
      <w:r>
        <w:t xml:space="preserve">“</w:t>
      </w:r>
      <w:r>
        <w:t xml:space="preserve">PROV-O</w:t>
      </w:r>
      <w:r>
        <w:t xml:space="preserve">: The</w:t>
      </w:r>
      <w:r>
        <w:t xml:space="preserve"> </w:t>
      </w:r>
      <w:r>
        <w:t xml:space="preserve">PROV</w:t>
      </w:r>
      <w:r>
        <w:t xml:space="preserve"> </w:t>
      </w:r>
      <w:r>
        <w:t xml:space="preserve">Ontology,”</w:t>
      </w:r>
      <w:r>
        <w:t xml:space="preserve"> </w:t>
      </w:r>
      <w:r>
        <w:t xml:space="preserve">W3C Recommendation (World Wide Web Consortium, 2013),</w:t>
      </w:r>
      <w:r>
        <w:t xml:space="preserve"> </w:t>
      </w:r>
      <w:hyperlink r:id="rId12">
        <w:r>
          <w:rPr>
            <w:rStyle w:val="Hyperlink"/>
          </w:rPr>
          <w:t xml:space="preserve">https://www.w3.org/TR/prov-o/</w:t>
        </w:r>
      </w:hyperlink>
      <w:r>
        <w:t xml:space="preserve">.</w:t>
      </w:r>
    </w:p>
  </w:footnote>
  <w:footnote w:id="18">
    <w:p>
      <w:pPr>
        <w:pStyle w:val="FootnoteText"/>
      </w:pPr>
      <w:r>
        <w:rPr>
          <w:rStyle w:val="FootnoteReference"/>
        </w:rPr>
        <w:footnoteRef/>
      </w:r>
      <w:r>
        <w:t xml:space="preserve"> </w:t>
      </w:r>
      <w:r>
        <w:t xml:space="preserve">For current reporting standards on information sources, search strategies, and record management, see</w:t>
      </w:r>
      <w:r>
        <w:t xml:space="preserve"> </w:t>
      </w:r>
      <w:r>
        <w:t xml:space="preserve">Melissa L. Rethlefsen et al.,</w:t>
      </w:r>
      <w:r>
        <w:t xml:space="preserve"> </w:t>
      </w:r>
      <w:r>
        <w:t xml:space="preserve">“PRISMA-s: An Extension to the PRISMA Statement for Reporting Literature Searches in Systematic Reviews,”</w:t>
      </w:r>
      <w:r>
        <w:t xml:space="preserve"> </w:t>
      </w:r>
      <w:r>
        <w:rPr>
          <w:i/>
          <w:iCs/>
        </w:rPr>
        <w:t xml:space="preserve">Systematic Reviews</w:t>
      </w:r>
      <w:r>
        <w:t xml:space="preserve"> </w:t>
      </w:r>
      <w:r>
        <w:t xml:space="preserve">10, no. 1 (2021): 39,</w:t>
      </w:r>
      <w:r>
        <w:t xml:space="preserve"> </w:t>
      </w:r>
      <w:hyperlink r:id="rId19">
        <w:r>
          <w:rPr>
            <w:rStyle w:val="Hyperlink"/>
          </w:rPr>
          <w:t xml:space="preserve">https://doi.org/10.1186/s13643-020-01542-z</w:t>
        </w:r>
      </w:hyperlink>
      <w:r>
        <w:t xml:space="preserve"> </w:t>
      </w:r>
      <w:r>
        <w:t xml:space="preserve">and</w:t>
      </w:r>
      <w:r>
        <w:t xml:space="preserve"> </w:t>
      </w:r>
      <w:r>
        <w:t xml:space="preserve">Matthew J. Page et al.</w:t>
      </w:r>
      <w:r>
        <w:t xml:space="preserve">,</w:t>
      </w:r>
      <w:r>
        <w:t xml:space="preserve"> </w:t>
      </w:r>
      <w:r>
        <w:t xml:space="preserve">“The PRISMA 2020 Statement: An Updated Guideline for Reporting Systematic Reviews,”</w:t>
      </w:r>
      <w:r>
        <w:t xml:space="preserve"> </w:t>
      </w:r>
      <w:r>
        <w:rPr>
          <w:i/>
          <w:iCs/>
        </w:rPr>
        <w:t xml:space="preserve">BMJ</w:t>
      </w:r>
      <w:r>
        <w:t xml:space="preserve"> </w:t>
      </w:r>
      <w:r>
        <w:t xml:space="preserve">372 (2021): n71,</w:t>
      </w:r>
      <w:r>
        <w:t xml:space="preserve"> </w:t>
      </w:r>
      <w:hyperlink r:id="rId20">
        <w:r>
          <w:rPr>
            <w:rStyle w:val="Hyperlink"/>
          </w:rPr>
          <w:t xml:space="preserve">https://doi.org/10.1136/bmj.n71</w:t>
        </w:r>
      </w:hyperlink>
      <w:r>
        <w:t xml:space="preserve">.</w:t>
      </w:r>
    </w:p>
  </w:footnote>
  <w:footnote w:id="28">
    <w:p>
      <w:pPr>
        <w:pStyle w:val="FootnoteText"/>
      </w:pPr>
      <w:r>
        <w:rPr>
          <w:rStyle w:val="FootnoteReference"/>
        </w:rPr>
        <w:footnoteRef/>
      </w:r>
      <w:r>
        <w:t xml:space="preserve"> </w:t>
      </w:r>
      <w:r>
        <w:t xml:space="preserve">See</w:t>
      </w:r>
      <w:r>
        <w:t xml:space="preserve"> </w:t>
      </w:r>
      <w:r>
        <w:t xml:space="preserve">National Consortium for the Study of Terrorism and Responses to Terrorism,</w:t>
      </w:r>
      <w:r>
        <w:t xml:space="preserve"> </w:t>
      </w:r>
      <w:r>
        <w:t xml:space="preserve">“Global Terrorism Database Codebook: Methodology Inclusion Criteria and Variables,”</w:t>
      </w:r>
      <w:r>
        <w:t xml:space="preserve"> </w:t>
      </w:r>
      <w:r>
        <w:t xml:space="preserve">2024,</w:t>
      </w:r>
      <w:r>
        <w:t xml:space="preserve"> </w:t>
      </w:r>
      <w:hyperlink r:id="rId29">
        <w:r>
          <w:rPr>
            <w:rStyle w:val="Hyperlink"/>
          </w:rPr>
          <w:t xml:space="preserve">https://www.start.umd.edu/gtd/downloads/Codebook.pdf</w:t>
        </w:r>
      </w:hyperlink>
      <w:r>
        <w:t xml:space="preserve">.</w:t>
      </w:r>
    </w:p>
  </w:footnote>
  <w:footnote w:id="30">
    <w:p>
      <w:pPr>
        <w:pStyle w:val="FootnoteText"/>
      </w:pPr>
      <w:r>
        <w:rPr>
          <w:rStyle w:val="FootnoteReference"/>
        </w:rPr>
        <w:footnoteRef/>
      </w:r>
      <w:r>
        <w:t xml:space="preserve"> </w:t>
      </w:r>
      <w:r>
        <w:t xml:space="preserve">See</w:t>
      </w:r>
      <w:r>
        <w:t xml:space="preserve"> </w:t>
      </w:r>
      <w:r>
        <w:t xml:space="preserve">Walter Enders, Todd Sandler, and Khusrav Gaibulloev,</w:t>
      </w:r>
      <w:r>
        <w:t xml:space="preserve"> </w:t>
      </w:r>
      <w:r>
        <w:t xml:space="preserve">“Domestic Versus Transnational Terrorism: Data Decomposition and Dynamics,”</w:t>
      </w:r>
      <w:r>
        <w:t xml:space="preserve"> </w:t>
      </w:r>
      <w:r>
        <w:rPr>
          <w:i/>
          <w:iCs/>
        </w:rPr>
        <w:t xml:space="preserve">Journal of Peace Research</w:t>
      </w:r>
      <w:r>
        <w:t xml:space="preserve"> </w:t>
      </w:r>
      <w:r>
        <w:t xml:space="preserve">48, no. 3 (2011): 319–37,</w:t>
      </w:r>
      <w:r>
        <w:t xml:space="preserve"> </w:t>
      </w:r>
      <w:hyperlink r:id="rId31">
        <w:r>
          <w:rPr>
            <w:rStyle w:val="Hyperlink"/>
          </w:rPr>
          <w:t xml:space="preserve">https://doi.org/10.1177/0022343311398926</w:t>
        </w:r>
      </w:hyperlink>
      <w:r>
        <w:t xml:space="preserve">.</w:t>
      </w:r>
    </w:p>
  </w:footnote>
  <w:footnote w:id="47">
    <w:p>
      <w:pPr>
        <w:pStyle w:val="FootnoteText"/>
      </w:pPr>
      <w:r>
        <w:rPr>
          <w:rStyle w:val="FootnoteReference"/>
        </w:rPr>
        <w:footnoteRef/>
      </w:r>
      <w:r>
        <w:t xml:space="preserve"> </w:t>
      </w:r>
      <w:r>
        <w:t xml:space="preserve">See</w:t>
      </w:r>
      <w:r>
        <w:t xml:space="preserve"> </w:t>
      </w:r>
      <w:r>
        <w:t xml:space="preserve">Enders, Sandler, and Gaibulloev</w:t>
      </w:r>
      <w:r>
        <w:t xml:space="preserve">.</w:t>
      </w:r>
    </w:p>
  </w:footnote>
  <w:footnote w:id="57">
    <w:p>
      <w:pPr>
        <w:pStyle w:val="FootnoteText"/>
      </w:pPr>
      <w:r>
        <w:rPr>
          <w:rStyle w:val="FootnoteReference"/>
        </w:rPr>
        <w:footnoteRef/>
      </w:r>
      <w:r>
        <w:t xml:space="preserve"> </w:t>
      </w:r>
      <w:r>
        <w:t xml:space="preserve">See</w:t>
      </w:r>
      <w:r>
        <w:t xml:space="preserve"> </w:t>
      </w:r>
      <w:r>
        <w:t xml:space="preserve">National Consortium for the Study of Terrorism and Responses to Terrorism,</w:t>
      </w:r>
      <w:r>
        <w:t xml:space="preserve"> </w:t>
      </w:r>
      <w:r>
        <w:t xml:space="preserve">“Global Terrorism Database Codebook”</w:t>
      </w:r>
      <w:r>
        <w:t xml:space="preserve">.</w:t>
      </w:r>
    </w:p>
  </w:footnote>
  <w:footnote w:id="66">
    <w:p>
      <w:pPr>
        <w:pStyle w:val="FootnoteText"/>
      </w:pPr>
      <w:r>
        <w:rPr>
          <w:rStyle w:val="FootnoteReference"/>
        </w:rPr>
        <w:footnoteRef/>
      </w:r>
      <w:r>
        <w:t xml:space="preserve"> </w:t>
      </w:r>
      <w:r>
        <w:t xml:space="preserve">See</w:t>
      </w:r>
      <w:r>
        <w:t xml:space="preserve"> </w:t>
      </w:r>
      <w:r>
        <w:t xml:space="preserve">Rethlefsen et al.,</w:t>
      </w:r>
      <w:r>
        <w:t xml:space="preserve"> </w:t>
      </w:r>
      <w:r>
        <w:t xml:space="preserve">“PRISMA-s”</w:t>
      </w:r>
      <w:r>
        <w:t xml:space="preserve">.</w:t>
      </w:r>
    </w:p>
  </w:footnote>
  <w:footnote w:id="77">
    <w:p>
      <w:pPr>
        <w:pStyle w:val="FootnoteText"/>
      </w:pPr>
      <w:r>
        <w:rPr>
          <w:rStyle w:val="FootnoteReference"/>
        </w:rPr>
        <w:footnoteRef/>
      </w:r>
      <w:r>
        <w:t xml:space="preserve"> </w:t>
      </w:r>
      <w:r>
        <w:t xml:space="preserve">See</w:t>
      </w:r>
      <w:r>
        <w:t xml:space="preserve"> </w:t>
      </w:r>
      <w:r>
        <w:t xml:space="preserve">National Consortium for the Study of Terrorism and Responses to Terrorism,</w:t>
      </w:r>
      <w:r>
        <w:t xml:space="preserve"> </w:t>
      </w:r>
      <w:r>
        <w:t xml:space="preserve">“Global Terrorism Database Codebook”</w:t>
      </w:r>
      <w:r>
        <w:t xml:space="preserve">.</w:t>
      </w:r>
    </w:p>
  </w:footnote>
  <w:footnote w:id="78">
    <w:p>
      <w:pPr>
        <w:pStyle w:val="FootnoteText"/>
      </w:pPr>
      <w:r>
        <w:rPr>
          <w:rStyle w:val="FootnoteReference"/>
        </w:rPr>
        <w:footnoteRef/>
      </w:r>
      <w:r>
        <w:t xml:space="preserve"> </w:t>
      </w:r>
      <w:r>
        <w:t xml:space="preserve">See</w:t>
      </w:r>
      <w:r>
        <w:t xml:space="preserve"> </w:t>
      </w:r>
      <w:r>
        <w:t xml:space="preserve">Enders, Sandler, and Gaibulloev,</w:t>
      </w:r>
      <w:r>
        <w:t xml:space="preserve"> </w:t>
      </w:r>
      <w:r>
        <w:t xml:space="preserve">“Domestic Versus Transnational Terrorism”</w:t>
      </w:r>
      <w:r>
        <w:t xml:space="preserve">.</w:t>
      </w:r>
    </w:p>
  </w:footnote>
  <w:footnote w:id="87">
    <w:p>
      <w:pPr>
        <w:pStyle w:val="FootnoteText"/>
      </w:pPr>
      <w:r>
        <w:rPr>
          <w:rStyle w:val="FootnoteReference"/>
        </w:rPr>
        <w:footnoteRef/>
      </w:r>
      <w:r>
        <w:t xml:space="preserve"> </w:t>
      </w:r>
      <w:r>
        <w:t xml:space="preserve">See</w:t>
      </w:r>
      <w:r>
        <w:t xml:space="preserve"> </w:t>
      </w:r>
      <w:r>
        <w:t xml:space="preserve">Benjamin Saunders et al.,</w:t>
      </w:r>
      <w:r>
        <w:t xml:space="preserve"> </w:t>
      </w:r>
      <w:r>
        <w:t xml:space="preserve">“Saturation in Qualitative Research: Exploring Its Conceptualization and Operationalization,”</w:t>
      </w:r>
      <w:r>
        <w:t xml:space="preserve"> </w:t>
      </w:r>
      <w:r>
        <w:rPr>
          <w:i/>
          <w:iCs/>
        </w:rPr>
        <w:t xml:space="preserve">Quality &amp; Quantity</w:t>
      </w:r>
      <w:r>
        <w:t xml:space="preserve"> </w:t>
      </w:r>
      <w:r>
        <w:t xml:space="preserve">52 (2018): 1893–1907,</w:t>
      </w:r>
      <w:r>
        <w:t xml:space="preserve"> </w:t>
      </w:r>
      <w:hyperlink r:id="rId88">
        <w:r>
          <w:rPr>
            <w:rStyle w:val="Hyperlink"/>
          </w:rPr>
          <w:t xml:space="preserve">https://doi.org/10.1007/s11135-017-0574-8</w:t>
        </w:r>
      </w:hyperlink>
      <w:r>
        <w:t xml:space="preserve"> </w:t>
      </w:r>
      <w:r>
        <w:t xml:space="preserve">and</w:t>
      </w:r>
      <w:r>
        <w:t xml:space="preserve"> </w:t>
      </w:r>
      <w:r>
        <w:t xml:space="preserve">Virginia Braun and Victoria Clarke,</w:t>
      </w:r>
      <w:r>
        <w:t xml:space="preserve"> </w:t>
      </w:r>
      <w:r>
        <w:t xml:space="preserve">“One Size Fits All? What Counts as Quality Practice in (Reflexive) Thematic Analysis?”</w:t>
      </w:r>
      <w:r>
        <w:t xml:space="preserve"> </w:t>
      </w:r>
      <w:r>
        <w:rPr>
          <w:i/>
          <w:iCs/>
        </w:rPr>
        <w:t xml:space="preserve">Qualitative Research in Psychology</w:t>
      </w:r>
      <w:r>
        <w:t xml:space="preserve"> </w:t>
      </w:r>
      <w:r>
        <w:t xml:space="preserve">18, no. 3 (2021): 328–52,</w:t>
      </w:r>
      <w:r>
        <w:t xml:space="preserve"> </w:t>
      </w:r>
      <w:hyperlink r:id="rId89">
        <w:r>
          <w:rPr>
            <w:rStyle w:val="Hyperlink"/>
          </w:rPr>
          <w:t xml:space="preserve">https://doi.org/10.1080/14780887.2020.1769238</w:t>
        </w:r>
      </w:hyperlink>
      <w:r>
        <w:t xml:space="preserve">.</w:t>
      </w:r>
    </w:p>
  </w:footnote>
  <w:footnote w:id="90">
    <w:p>
      <w:pPr>
        <w:pStyle w:val="FootnoteText"/>
      </w:pPr>
      <w:r>
        <w:rPr>
          <w:rStyle w:val="FootnoteReference"/>
        </w:rPr>
        <w:footnoteRef/>
      </w:r>
      <w:r>
        <w:t xml:space="preserve"> </w:t>
      </w:r>
      <w:r>
        <w:t xml:space="preserve">See</w:t>
      </w:r>
      <w:r>
        <w:t xml:space="preserve"> </w:t>
      </w:r>
      <w:r>
        <w:t xml:space="preserve">Kirsti Malterud, Volkert Dirk Siersma, and Ann Dorrit Guassora,</w:t>
      </w:r>
      <w:r>
        <w:t xml:space="preserve"> </w:t>
      </w:r>
      <w:r>
        <w:t xml:space="preserve">“Sample Size in Qualitative Interview Studies: Guided by Information Power,”</w:t>
      </w:r>
      <w:r>
        <w:t xml:space="preserve"> </w:t>
      </w:r>
      <w:r>
        <w:rPr>
          <w:i/>
          <w:iCs/>
        </w:rPr>
        <w:t xml:space="preserve">Qualitative Health Research</w:t>
      </w:r>
      <w:r>
        <w:t xml:space="preserve"> </w:t>
      </w:r>
      <w:r>
        <w:t xml:space="preserve">26, no. 13 (2016): 1753–60,</w:t>
      </w:r>
      <w:r>
        <w:t xml:space="preserve"> </w:t>
      </w:r>
      <w:hyperlink r:id="rId91">
        <w:r>
          <w:rPr>
            <w:rStyle w:val="Hyperlink"/>
          </w:rPr>
          <w:t xml:space="preserve">https://doi.org/10.1177/1049732315617444</w:t>
        </w:r>
      </w:hyperlink>
      <w:r>
        <w:t xml:space="preserve">.</w:t>
      </w:r>
    </w:p>
  </w:footnote>
  <w:footnote w:id="109">
    <w:p>
      <w:pPr>
        <w:pStyle w:val="FootnoteText"/>
      </w:pPr>
      <w:r>
        <w:rPr>
          <w:rStyle w:val="FootnoteReference"/>
        </w:rPr>
        <w:footnoteRef/>
      </w:r>
      <w:r>
        <w:t xml:space="preserve"> </w:t>
      </w:r>
      <w:r>
        <w:t xml:space="preserve">Hannah Snyder,</w:t>
      </w:r>
      <w:r>
        <w:t xml:space="preserve"> </w:t>
      </w:r>
      <w:r>
        <w:t xml:space="preserve">“Literature Review as a Research Methodology: An Overview and Guidelines,”</w:t>
      </w:r>
      <w:r>
        <w:t xml:space="preserve"> </w:t>
      </w:r>
      <w:r>
        <w:rPr>
          <w:i/>
          <w:iCs/>
        </w:rPr>
        <w:t xml:space="preserve">Journal of Business Research</w:t>
      </w:r>
      <w:r>
        <w:t xml:space="preserve"> </w:t>
      </w:r>
      <w:r>
        <w:t xml:space="preserve">104 (2019): 333–39,</w:t>
      </w:r>
      <w:r>
        <w:t xml:space="preserve"> </w:t>
      </w:r>
      <w:hyperlink r:id="rId110">
        <w:r>
          <w:rPr>
            <w:rStyle w:val="Hyperlink"/>
          </w:rPr>
          <w:t xml:space="preserve">https://doi.org/10.1016/j.jbusres.2019.07.039</w:t>
        </w:r>
      </w:hyperlink>
      <w:r>
        <w:t xml:space="preserve">; Maria J. Grant and Andrew Booth,</w:t>
      </w:r>
      <w:r>
        <w:t xml:space="preserve"> </w:t>
      </w:r>
      <w:r>
        <w:t xml:space="preserve">“A Typology of Reviews: An Analysis of 14 Review Types and Associated Methodologies,”</w:t>
      </w:r>
      <w:r>
        <w:t xml:space="preserve"> </w:t>
      </w:r>
      <w:r>
        <w:rPr>
          <w:i/>
          <w:iCs/>
        </w:rPr>
        <w:t xml:space="preserve">Health Information</w:t>
      </w:r>
      <w:r>
        <w:br/>
      </w:r>
      <w:r>
        <w:rPr>
          <w:i/>
          <w:iCs/>
        </w:rPr>
        <w:t xml:space="preserve">&amp; Libraries Journal</w:t>
      </w:r>
      <w:r>
        <w:t xml:space="preserve"> </w:t>
      </w:r>
      <w:r>
        <w:t xml:space="preserve">26, no. 2 (2009): 91–108,</w:t>
      </w:r>
      <w:r>
        <w:t xml:space="preserve"> </w:t>
      </w:r>
      <w:hyperlink r:id="rId111">
        <w:r>
          <w:rPr>
            <w:rStyle w:val="Hyperlink"/>
          </w:rPr>
          <w:t xml:space="preserve">https://doi.org/10.1111/j.1471-1842.2009.00848.x</w:t>
        </w:r>
      </w:hyperlink>
      <w:r>
        <w:t xml:space="preserve">.</w:t>
      </w:r>
    </w:p>
  </w:footnote>
  <w:footnote w:id="114">
    <w:p>
      <w:pPr>
        <w:pStyle w:val="FootnoteText"/>
      </w:pPr>
      <w:r>
        <w:rPr>
          <w:rStyle w:val="FootnoteReference"/>
        </w:rPr>
        <w:footnoteRef/>
      </w:r>
      <w:r>
        <w:t xml:space="preserve"> </w:t>
      </w:r>
      <w:r>
        <w:t xml:space="preserve">Julia H. Littell,</w:t>
      </w:r>
      <w:r>
        <w:t xml:space="preserve"> </w:t>
      </w:r>
      <w:r>
        <w:t xml:space="preserve">“Conceptual and Practical Classification of Research Reviews and Other Evidence Synthesis Products,”</w:t>
      </w:r>
      <w:r>
        <w:t xml:space="preserve"> </w:t>
      </w:r>
      <w:r>
        <w:rPr>
          <w:i/>
          <w:iCs/>
        </w:rPr>
        <w:t xml:space="preserve">Campbell Systematic Reviews</w:t>
      </w:r>
      <w:r>
        <w:t xml:space="preserve"> </w:t>
      </w:r>
      <w:r>
        <w:t xml:space="preserve">14, no. 1 (2018): 1–21,</w:t>
      </w:r>
      <w:r>
        <w:t xml:space="preserve"> </w:t>
      </w:r>
      <w:hyperlink r:id="rId115">
        <w:r>
          <w:rPr>
            <w:rStyle w:val="Hyperlink"/>
          </w:rPr>
          <w:t xml:space="preserve">https://doi.org/10.4073/cmdp.2018.1</w:t>
        </w:r>
      </w:hyperlink>
      <w:r>
        <w:t xml:space="preserve">.</w:t>
      </w:r>
    </w:p>
  </w:footnote>
  <w:footnote w:id="122">
    <w:p>
      <w:pPr>
        <w:pStyle w:val="FootnoteText"/>
      </w:pPr>
      <w:r>
        <w:rPr>
          <w:rStyle w:val="FootnoteReference"/>
        </w:rPr>
        <w:footnoteRef/>
      </w:r>
      <w:r>
        <w:t xml:space="preserve"> </w:t>
      </w:r>
      <w:r>
        <w:t xml:space="preserve">Grant and Booth,</w:t>
      </w:r>
      <w:r>
        <w:t xml:space="preserve"> </w:t>
      </w:r>
      <w:r>
        <w:t xml:space="preserve">“A Typology of Reviews”</w:t>
      </w:r>
      <w:r>
        <w:t xml:space="preserve">; Littell,</w:t>
      </w:r>
      <w:r>
        <w:t xml:space="preserve"> </w:t>
      </w:r>
      <w:r>
        <w:t xml:space="preserve">“Conceptual and Practical Classification of Research Reviews and Other Evidence Synthesis Products.”</w:t>
      </w:r>
    </w:p>
  </w:footnote>
  <w:footnote w:id="132">
    <w:p>
      <w:pPr>
        <w:pStyle w:val="FootnoteText"/>
      </w:pPr>
      <w:r>
        <w:rPr>
          <w:rStyle w:val="FootnoteReference"/>
        </w:rPr>
        <w:footnoteRef/>
      </w:r>
      <w:r>
        <w:t xml:space="preserve"> </w:t>
      </w:r>
      <w:r>
        <w:t xml:space="preserve">John Gerring,</w:t>
      </w:r>
      <w:r>
        <w:t xml:space="preserve"> </w:t>
      </w:r>
      <w:r>
        <w:rPr>
          <w:i/>
          <w:iCs/>
        </w:rPr>
        <w:t xml:space="preserve">Social Science Methodology: A Unified Framework</w:t>
      </w:r>
      <w:r>
        <w:t xml:space="preserve">, 2nd ed. (Cambridge: Cambridge University Press, 2012).</w:t>
      </w:r>
    </w:p>
  </w:footnote>
  <w:footnote w:id="142">
    <w:p>
      <w:pPr>
        <w:pStyle w:val="FootnoteText"/>
      </w:pPr>
      <w:r>
        <w:rPr>
          <w:rStyle w:val="FootnoteReference"/>
        </w:rPr>
        <w:footnoteRef/>
      </w:r>
      <w:r>
        <w:t xml:space="preserve"> </w:t>
      </w:r>
      <w:r>
        <w:t xml:space="preserve">Claes Wohlin,</w:t>
      </w:r>
      <w:r>
        <w:t xml:space="preserve"> </w:t>
      </w:r>
      <w:r>
        <w:t xml:space="preserve">“Guidelines for Snowballing in Systematic Literature Studies and a Replication in Software Engineering,”</w:t>
      </w:r>
      <w:r>
        <w:t xml:space="preserve"> </w:t>
      </w:r>
      <w:r>
        <w:t xml:space="preserve">in</w:t>
      </w:r>
      <w:r>
        <w:t xml:space="preserve"> </w:t>
      </w:r>
      <w:r>
        <w:rPr>
          <w:i/>
          <w:iCs/>
        </w:rPr>
        <w:t xml:space="preserve">Proceedings of the 18th International Conference on Evaluation and Assessment in Software Engineering</w:t>
      </w:r>
      <w:r>
        <w:t xml:space="preserve"> </w:t>
      </w:r>
      <w:r>
        <w:t xml:space="preserve">(Association for Computing Machinery, 2014), 1–10,</w:t>
      </w:r>
      <w:r>
        <w:t xml:space="preserve"> </w:t>
      </w:r>
      <w:hyperlink r:id="rId143">
        <w:r>
          <w:rPr>
            <w:rStyle w:val="Hyperlink"/>
          </w:rPr>
          <w:t xml:space="preserve">https://doi.org/10.1145/2601248.2601268</w:t>
        </w:r>
      </w:hyperlink>
      <w:r>
        <w:t xml:space="preserve">.</w:t>
      </w:r>
    </w:p>
  </w:footnote>
  <w:footnote w:id="144">
    <w:p>
      <w:pPr>
        <w:pStyle w:val="FootnoteText"/>
      </w:pPr>
      <w:r>
        <w:rPr>
          <w:rStyle w:val="FootnoteReference"/>
        </w:rPr>
        <w:footnoteRef/>
      </w:r>
      <w:r>
        <w:t xml:space="preserve"> </w:t>
      </w:r>
      <w:r>
        <w:t xml:space="preserve">Trisha Greenhalgh and Richard Peacock,</w:t>
      </w:r>
      <w:r>
        <w:t xml:space="preserve"> </w:t>
      </w:r>
      <w:r>
        <w:t xml:space="preserve">“Effectiveness and Efficiency of Search Methods in Systematic Reviews of Complex Evidence: Audit of Primary Sources,”</w:t>
      </w:r>
      <w:r>
        <w:t xml:space="preserve"> </w:t>
      </w:r>
      <w:r>
        <w:rPr>
          <w:i/>
          <w:iCs/>
        </w:rPr>
        <w:t xml:space="preserve">BMJ</w:t>
      </w:r>
      <w:r>
        <w:t xml:space="preserve"> </w:t>
      </w:r>
      <w:r>
        <w:t xml:space="preserve">331, no. 7524 (2005): 1064–65,</w:t>
      </w:r>
      <w:r>
        <w:t xml:space="preserve"> </w:t>
      </w:r>
      <w:hyperlink r:id="rId145">
        <w:r>
          <w:rPr>
            <w:rStyle w:val="Hyperlink"/>
          </w:rPr>
          <w:t xml:space="preserve">https://doi.org/10.1136/bmj.38636.593461.68</w:t>
        </w:r>
      </w:hyperlink>
      <w:r>
        <w:t xml:space="preserve">; Andrew Booth, Anthea Sutton, and Diana Papaioannou,</w:t>
      </w:r>
      <w:r>
        <w:t xml:space="preserve"> </w:t>
      </w:r>
      <w:r>
        <w:rPr>
          <w:i/>
          <w:iCs/>
        </w:rPr>
        <w:t xml:space="preserve">Systematic Approaches to a Successful Literature Review</w:t>
      </w:r>
      <w:r>
        <w:t xml:space="preserve">, 2nd ed. (London: SAGE Publications, 2016).</w:t>
      </w:r>
    </w:p>
  </w:footnote>
  <w:footnote w:id="172">
    <w:p>
      <w:pPr>
        <w:pStyle w:val="FootnoteText"/>
      </w:pPr>
      <w:r>
        <w:rPr>
          <w:rStyle w:val="FootnoteReference"/>
        </w:rPr>
        <w:footnoteRef/>
      </w:r>
      <w:r>
        <w:t xml:space="preserve"> </w:t>
      </w:r>
      <w:r>
        <w:t xml:space="preserve">Page et al.</w:t>
      </w:r>
      <w:r>
        <w:t xml:space="preserve">,</w:t>
      </w:r>
      <w:r>
        <w:t xml:space="preserve"> </w:t>
      </w:r>
      <w:r>
        <w:t xml:space="preserve">“The PRISMA 2020 Statement”</w:t>
      </w:r>
      <w:r>
        <w:t xml:space="preserve">; Rethlefsen et al.,</w:t>
      </w:r>
      <w:r>
        <w:t xml:space="preserve"> </w:t>
      </w:r>
      <w:r>
        <w:t xml:space="preserve">“PRISMA-s.”</w:t>
      </w:r>
    </w:p>
  </w:footnote>
  <w:footnote w:id="182">
    <w:p>
      <w:pPr>
        <w:pStyle w:val="FootnoteText"/>
      </w:pPr>
      <w:r>
        <w:rPr>
          <w:rStyle w:val="FootnoteReference"/>
        </w:rPr>
        <w:footnoteRef/>
      </w:r>
      <w:r>
        <w:t xml:space="preserve"> </w:t>
      </w:r>
      <w:r>
        <w:t xml:space="preserve">See</w:t>
      </w:r>
      <w:r>
        <w:t xml:space="preserve"> </w:t>
      </w:r>
      <w:r>
        <w:t xml:space="preserve">Chloe Autio et al.,</w:t>
      </w:r>
      <w:r>
        <w:t xml:space="preserve"> </w:t>
      </w:r>
      <w:r>
        <w:t xml:space="preserve">“Artificial Intelligence Risk Management Framework: Generative Artificial Intelligence Profile”</w:t>
      </w:r>
      <w:r>
        <w:t xml:space="preserve"> </w:t>
      </w:r>
      <w:r>
        <w:t xml:space="preserve">(</w:t>
      </w:r>
      <w:r>
        <w:t xml:space="preserve">National Institute of Standards and Technology</w:t>
      </w:r>
      <w:r>
        <w:t xml:space="preserve">, 2024),</w:t>
      </w:r>
      <w:r>
        <w:t xml:space="preserve"> </w:t>
      </w:r>
      <w:hyperlink r:id="rId183">
        <w:r>
          <w:rPr>
            <w:rStyle w:val="Hyperlink"/>
          </w:rPr>
          <w:t xml:space="preserve">https://doi.org/10.6028/NIST.AI.600-1</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hyperlink" Id="rId88" Target="https://doi.org/10.1007/s11135-017-0574-8" TargetMode="External" /><Relationship Type="http://schemas.openxmlformats.org/officeDocument/2006/relationships/hyperlink" Id="rId110" Target="https://doi.org/10.1016/j.jbusres.2019.07.039" TargetMode="External" /><Relationship Type="http://schemas.openxmlformats.org/officeDocument/2006/relationships/hyperlink" Id="rId89" Target="https://doi.org/10.1080/14780887.2020.1769238" TargetMode="External" /><Relationship Type="http://schemas.openxmlformats.org/officeDocument/2006/relationships/hyperlink" Id="rId111" Target="https://doi.org/10.1111/j.1471-1842.2009.00848.x" TargetMode="External" /><Relationship Type="http://schemas.openxmlformats.org/officeDocument/2006/relationships/hyperlink" Id="rId145" Target="https://doi.org/10.1136/bmj.38636.593461.68" TargetMode="External" /><Relationship Type="http://schemas.openxmlformats.org/officeDocument/2006/relationships/hyperlink" Id="rId20" Target="https://doi.org/10.1136/bmj.n71" TargetMode="External" /><Relationship Type="http://schemas.openxmlformats.org/officeDocument/2006/relationships/hyperlink" Id="rId143" Target="https://doi.org/10.1145/2601248.2601268" TargetMode="External" /><Relationship Type="http://schemas.openxmlformats.org/officeDocument/2006/relationships/hyperlink" Id="rId31" Target="https://doi.org/10.1177/0022343311398926" TargetMode="External" /><Relationship Type="http://schemas.openxmlformats.org/officeDocument/2006/relationships/hyperlink" Id="rId91" Target="https://doi.org/10.1177/1049732315617444" TargetMode="External" /><Relationship Type="http://schemas.openxmlformats.org/officeDocument/2006/relationships/hyperlink" Id="rId19" Target="https://doi.org/10.1186/s13643-020-01542-z" TargetMode="External" /><Relationship Type="http://schemas.openxmlformats.org/officeDocument/2006/relationships/hyperlink" Id="rId115" Target="https://doi.org/10.4073/cmdp.2018.1" TargetMode="External" /><Relationship Type="http://schemas.openxmlformats.org/officeDocument/2006/relationships/hyperlink" Id="rId183" Target="https://doi.org/10.6028/NIST.AI.600-1" TargetMode="External" /><Relationship Type="http://schemas.openxmlformats.org/officeDocument/2006/relationships/hyperlink" Id="rId29" Target="https://www.start.umd.edu/gtd/downloads/Codebook.pdf" TargetMode="External" /><Relationship Type="http://schemas.openxmlformats.org/officeDocument/2006/relationships/hyperlink" Id="rId12" Target="https://www.w3.org/TR/prov-o/" TargetMode="External" /></Relationships>
</file>

<file path=word/_rels/footnotes.xml.rels><?xml version="1.0" encoding="UTF-8"?><Relationships xmlns="http://schemas.openxmlformats.org/package/2006/relationships"><Relationship Type="http://schemas.openxmlformats.org/officeDocument/2006/relationships/hyperlink" Id="rId88" Target="https://doi.org/10.1007/s11135-017-0574-8" TargetMode="External" /><Relationship Type="http://schemas.openxmlformats.org/officeDocument/2006/relationships/hyperlink" Id="rId110" Target="https://doi.org/10.1016/j.jbusres.2019.07.039" TargetMode="External" /><Relationship Type="http://schemas.openxmlformats.org/officeDocument/2006/relationships/hyperlink" Id="rId89" Target="https://doi.org/10.1080/14780887.2020.1769238" TargetMode="External" /><Relationship Type="http://schemas.openxmlformats.org/officeDocument/2006/relationships/hyperlink" Id="rId111" Target="https://doi.org/10.1111/j.1471-1842.2009.00848.x" TargetMode="External" /><Relationship Type="http://schemas.openxmlformats.org/officeDocument/2006/relationships/hyperlink" Id="rId145" Target="https://doi.org/10.1136/bmj.38636.593461.68" TargetMode="External" /><Relationship Type="http://schemas.openxmlformats.org/officeDocument/2006/relationships/hyperlink" Id="rId20" Target="https://doi.org/10.1136/bmj.n71" TargetMode="External" /><Relationship Type="http://schemas.openxmlformats.org/officeDocument/2006/relationships/hyperlink" Id="rId143" Target="https://doi.org/10.1145/2601248.2601268" TargetMode="External" /><Relationship Type="http://schemas.openxmlformats.org/officeDocument/2006/relationships/hyperlink" Id="rId31" Target="https://doi.org/10.1177/0022343311398926" TargetMode="External" /><Relationship Type="http://schemas.openxmlformats.org/officeDocument/2006/relationships/hyperlink" Id="rId91" Target="https://doi.org/10.1177/1049732315617444" TargetMode="External" /><Relationship Type="http://schemas.openxmlformats.org/officeDocument/2006/relationships/hyperlink" Id="rId19" Target="https://doi.org/10.1186/s13643-020-01542-z" TargetMode="External" /><Relationship Type="http://schemas.openxmlformats.org/officeDocument/2006/relationships/hyperlink" Id="rId115" Target="https://doi.org/10.4073/cmdp.2018.1" TargetMode="External" /><Relationship Type="http://schemas.openxmlformats.org/officeDocument/2006/relationships/hyperlink" Id="rId183" Target="https://doi.org/10.6028/NIST.AI.600-1" TargetMode="External" /><Relationship Type="http://schemas.openxmlformats.org/officeDocument/2006/relationships/hyperlink" Id="rId29" Target="https://www.start.umd.edu/gtd/downloads/Codebook.pdf" TargetMode="External" /><Relationship Type="http://schemas.openxmlformats.org/officeDocument/2006/relationships/hyperlink" Id="rId12" Target="https://www.w3.org/TR/pro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Question to Evidence</dc:title>
  <dc:creator>Ami Pedahzur; Jonathan Grossman</dc:creator>
  <dc:description>An open-access guide to building, collecting, analyzing, and communicating qualitative evidence through a reviewable scholarly Second Brain.</dc:description>
  <dc:language>en</dc:language>
  <cp:keywords/>
  <dcterms:created xsi:type="dcterms:W3CDTF">2026-07-25T09:54:03Z</dcterms:created>
  <dcterms:modified xsi:type="dcterms:W3CDTF">2026-07-25T09:54:03Z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bibliography/styles/chicago-fullnote-bibliography.csl</vt:lpwstr>
  </property>
  <property fmtid="{D5CDD505-2E9C-101B-9397-08002B2CF9AE}" pid="9" name="date">
    <vt:lpwstr>2026-07-12</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ast-reviewed">
    <vt:lpwstr>2026-07-25</vt:lpwstr>
  </property>
  <property fmtid="{D5CDD505-2E9C-101B-9397-08002B2CF9AE}" pid="16" name="license">
    <vt:lpwstr/>
  </property>
  <property fmtid="{D5CDD505-2E9C-101B-9397-08002B2CF9AE}" pid="17" name="subtitle">
    <vt:lpwstr>A Living Field Guide for Qualitative Research</vt:lpwstr>
  </property>
  <property fmtid="{D5CDD505-2E9C-101B-9397-08002B2CF9AE}" pid="18" name="template-partials">
    <vt:lpwstr/>
  </property>
  <property fmtid="{D5CDD505-2E9C-101B-9397-08002B2CF9AE}" pid="19" name="toc-title">
    <vt:lpwstr>Table of contents</vt:lpwstr>
  </property>
</Properties>
</file>