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3146F" w14:textId="77777777" w:rsidR="00ED2DB4" w:rsidRDefault="00000000">
      <w:pPr>
        <w:pStyle w:val="Heading1"/>
        <w:spacing w:after="200" w:line="360" w:lineRule="auto"/>
        <w:jc w:val="center"/>
      </w:pPr>
      <w:r>
        <w:t>Database Development Workflow: Synagogues and Jewish Institutions in Germany and Austria, 1933–1938</w:t>
      </w:r>
    </w:p>
    <w:p w14:paraId="002B77F1" w14:textId="77777777" w:rsidR="00ED2DB4" w:rsidRDefault="00000000">
      <w:pPr>
        <w:pStyle w:val="Heading1"/>
        <w:spacing w:after="200"/>
      </w:pPr>
      <w:r>
        <w:t>1. Executive Summary</w:t>
      </w:r>
    </w:p>
    <w:p w14:paraId="1EA50C7A" w14:textId="77777777" w:rsidR="00ED2DB4" w:rsidRDefault="00000000">
      <w:pPr>
        <w:spacing w:after="200"/>
        <w:jc w:val="both"/>
      </w:pPr>
      <w:r>
        <w:t>This proposal describes a comprehensive workflow for cleaning, verifying, enriching, and preparing for analytical use a dataset of 1,895 synagogues and Jewish institutions across Germany and Austria documented between 1933 and 1938. The dataset represents the most detailed geospatial record of Jewish religious infrastructure in Central Europe during the period leading to and including the Kristallnacht pogrom (November 9-10, 1938). Despite containing rich spatial and temporal information, the dataset currently suffers from significant data quality challenges, including inconsistent coding schemes (31 variants for damage indicators), missing geographic coordinates (77% of records), incomplete street addresses (13.5% missing), and variant textual representations of categorical values. This five-phase workflow—data cleaning, verification against authoritative sources, enrichment through geocoding and institutional linking, deduplication, and analytical readiness assessment—will transform this raw historical data into a validated research resource suitable for sophisticated spatial analysis, network analysis, survival analysis, and comparative regional studies. The resulting dataset will enable new scholarship on the geographic and institutional dimensions of the Holocaust in its earliest phase, revealing patterns of coordinated versus spontaneous violence, regional variation in perpetrator behavior, and the pre-Nazi distribution of Jewish religious life in Central Europe.</w:t>
      </w:r>
    </w:p>
    <w:p w14:paraId="3CDC7971" w14:textId="77777777" w:rsidR="00ED2DB4" w:rsidRDefault="00000000">
      <w:pPr>
        <w:pStyle w:val="Heading1"/>
        <w:spacing w:after="200"/>
      </w:pPr>
      <w:r>
        <w:t>2. Database Overview</w:t>
      </w:r>
    </w:p>
    <w:p w14:paraId="712BB319" w14:textId="77777777" w:rsidR="00ED2DB4" w:rsidRDefault="00000000">
      <w:pPr>
        <w:pStyle w:val="Heading2"/>
        <w:spacing w:after="200"/>
      </w:pPr>
      <w:r>
        <w:t>2.1 Current State and Scope</w:t>
      </w:r>
    </w:p>
    <w:p w14:paraId="3482B820" w14:textId="77777777" w:rsidR="00ED2DB4" w:rsidRDefault="00000000">
      <w:pPr>
        <w:spacing w:after="200"/>
        <w:jc w:val="both"/>
      </w:pPr>
      <w:r>
        <w:t>The Kristallnacht Database contains 1,895 records documenting synagogues and Jewish institutions (including prayer houses, community centers, schools, cemeteries, and other facilities) located in Germany and Austria. Each record is described by nine variables capturing location information, institutional type indicators, temporal data on institutional closure, and destruction status. The geographic scope encompasses all of Nazi Germany as of late 1938 (including territories annexed prior to and during 1938) and Austria following the Anschluss (March 1938). The primary temporal scope extends from 1933 (Nazi assumption of power) through 1938, with particular focus on the events of November 9-10, 1938—the Kristallnacht pogrom—which represents a critical inflection point in anti-Jewish violence and destruction of Jewish institutional infrastructure.</w:t>
      </w:r>
    </w:p>
    <w:p w14:paraId="15DE68A3" w14:textId="77777777" w:rsidR="00ED2DB4" w:rsidRDefault="00000000">
      <w:pPr>
        <w:spacing w:after="200"/>
        <w:jc w:val="both"/>
      </w:pPr>
      <w:r>
        <w:t>The database is derived primarily from the seminal reference work by Kai Diesel Alicke, Lexikon der jüdischen Gemeinden im deutschen Sprachraum (Lexicon of Jewish Communities in the German-speaking Area, 2008), the most comprehensive secondary source on pre-Holocaust German and Austrian Jewish communities. Supplementary records have been added through consultation of other scholarly sources and archival materials. The dataset represents institutional completeness to approximately 85-90% for major cities, with lower coverage in rural areas.</w:t>
      </w:r>
    </w:p>
    <w:p w14:paraId="1060F3DC" w14:textId="77777777" w:rsidR="00ED2DB4" w:rsidRDefault="00000000">
      <w:pPr>
        <w:pStyle w:val="Heading2"/>
        <w:spacing w:after="200"/>
      </w:pPr>
      <w:r>
        <w:t>2.2 Data Quality Summary Table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2403"/>
        <w:gridCol w:w="1083"/>
        <w:gridCol w:w="1058"/>
        <w:gridCol w:w="1069"/>
        <w:gridCol w:w="3397"/>
      </w:tblGrid>
      <w:tr w:rsidR="00ED2DB4" w14:paraId="03A8D271" w14:textId="77777777">
        <w:tblPrEx>
          <w:tblCellMar>
            <w:top w:w="0" w:type="dxa"/>
            <w:bottom w:w="0" w:type="dxa"/>
          </w:tblCellMar>
        </w:tblPrEx>
        <w:tc>
          <w:tcPr>
            <w:tcW w:w="0" w:type="auto"/>
            <w:shd w:val="clear" w:color="4472C4" w:fill="auto"/>
            <w:tcMar>
              <w:top w:w="80" w:type="dxa"/>
              <w:left w:w="80" w:type="dxa"/>
              <w:bottom w:w="80" w:type="dxa"/>
              <w:right w:w="80" w:type="dxa"/>
            </w:tcMar>
            <w:vAlign w:val="center"/>
          </w:tcPr>
          <w:p w14:paraId="7277ECB3" w14:textId="77777777" w:rsidR="00ED2DB4" w:rsidRDefault="00000000">
            <w:pPr>
              <w:spacing w:line="200" w:lineRule="auto"/>
              <w:jc w:val="center"/>
            </w:pPr>
            <w:r>
              <w:t>Column Name</w:t>
            </w:r>
          </w:p>
        </w:tc>
        <w:tc>
          <w:tcPr>
            <w:tcW w:w="0" w:type="auto"/>
            <w:shd w:val="clear" w:color="4472C4" w:fill="auto"/>
            <w:tcMar>
              <w:top w:w="80" w:type="dxa"/>
              <w:left w:w="80" w:type="dxa"/>
              <w:bottom w:w="80" w:type="dxa"/>
              <w:right w:w="80" w:type="dxa"/>
            </w:tcMar>
            <w:vAlign w:val="center"/>
          </w:tcPr>
          <w:p w14:paraId="7DC08E8D" w14:textId="77777777" w:rsidR="00ED2DB4" w:rsidRDefault="00000000">
            <w:pPr>
              <w:spacing w:line="200" w:lineRule="auto"/>
              <w:jc w:val="center"/>
            </w:pPr>
            <w:r>
              <w:t>Data Type</w:t>
            </w:r>
          </w:p>
        </w:tc>
        <w:tc>
          <w:tcPr>
            <w:tcW w:w="0" w:type="auto"/>
            <w:shd w:val="clear" w:color="4472C4" w:fill="auto"/>
            <w:tcMar>
              <w:top w:w="80" w:type="dxa"/>
              <w:left w:w="80" w:type="dxa"/>
              <w:bottom w:w="80" w:type="dxa"/>
              <w:right w:w="80" w:type="dxa"/>
            </w:tcMar>
            <w:vAlign w:val="center"/>
          </w:tcPr>
          <w:p w14:paraId="5F29BD45" w14:textId="77777777" w:rsidR="00ED2DB4" w:rsidRDefault="00000000">
            <w:pPr>
              <w:spacing w:line="200" w:lineRule="auto"/>
              <w:jc w:val="center"/>
            </w:pPr>
            <w:r>
              <w:t>Total Records</w:t>
            </w:r>
          </w:p>
        </w:tc>
        <w:tc>
          <w:tcPr>
            <w:tcW w:w="0" w:type="auto"/>
            <w:shd w:val="clear" w:color="4472C4" w:fill="auto"/>
            <w:tcMar>
              <w:top w:w="80" w:type="dxa"/>
              <w:left w:w="80" w:type="dxa"/>
              <w:bottom w:w="80" w:type="dxa"/>
              <w:right w:w="80" w:type="dxa"/>
            </w:tcMar>
            <w:vAlign w:val="center"/>
          </w:tcPr>
          <w:p w14:paraId="5F4ED841" w14:textId="77777777" w:rsidR="00ED2DB4" w:rsidRDefault="00000000">
            <w:pPr>
              <w:spacing w:line="200" w:lineRule="auto"/>
              <w:jc w:val="center"/>
            </w:pPr>
            <w:r>
              <w:t>Null Records</w:t>
            </w:r>
          </w:p>
        </w:tc>
        <w:tc>
          <w:tcPr>
            <w:tcW w:w="0" w:type="auto"/>
            <w:shd w:val="clear" w:color="4472C4" w:fill="auto"/>
            <w:tcMar>
              <w:top w:w="80" w:type="dxa"/>
              <w:left w:w="80" w:type="dxa"/>
              <w:bottom w:w="80" w:type="dxa"/>
              <w:right w:w="80" w:type="dxa"/>
            </w:tcMar>
            <w:vAlign w:val="center"/>
          </w:tcPr>
          <w:p w14:paraId="6ECB2DCC" w14:textId="77777777" w:rsidR="00ED2DB4" w:rsidRDefault="00000000">
            <w:pPr>
              <w:spacing w:line="200" w:lineRule="auto"/>
              <w:jc w:val="center"/>
            </w:pPr>
            <w:r>
              <w:t>Key Issues</w:t>
            </w:r>
          </w:p>
        </w:tc>
      </w:tr>
      <w:tr w:rsidR="00ED2DB4" w14:paraId="709012AF" w14:textId="77777777">
        <w:tblPrEx>
          <w:tblCellMar>
            <w:top w:w="0" w:type="dxa"/>
            <w:bottom w:w="0" w:type="dxa"/>
          </w:tblCellMar>
        </w:tblPrEx>
        <w:tc>
          <w:tcPr>
            <w:tcW w:w="0" w:type="auto"/>
            <w:tcMar>
              <w:top w:w="80" w:type="dxa"/>
              <w:left w:w="80" w:type="dxa"/>
              <w:bottom w:w="80" w:type="dxa"/>
              <w:right w:w="80" w:type="dxa"/>
            </w:tcMar>
            <w:vAlign w:val="center"/>
          </w:tcPr>
          <w:p w14:paraId="7E9DD8BE" w14:textId="77777777" w:rsidR="00ED2DB4" w:rsidRDefault="00000000">
            <w:pPr>
              <w:spacing w:line="200" w:lineRule="auto"/>
            </w:pPr>
            <w:r>
              <w:t>City</w:t>
            </w:r>
          </w:p>
        </w:tc>
        <w:tc>
          <w:tcPr>
            <w:tcW w:w="0" w:type="auto"/>
            <w:tcMar>
              <w:top w:w="80" w:type="dxa"/>
              <w:left w:w="80" w:type="dxa"/>
              <w:bottom w:w="80" w:type="dxa"/>
              <w:right w:w="80" w:type="dxa"/>
            </w:tcMar>
            <w:vAlign w:val="center"/>
          </w:tcPr>
          <w:p w14:paraId="0890EADC" w14:textId="77777777" w:rsidR="00ED2DB4" w:rsidRDefault="00000000">
            <w:pPr>
              <w:spacing w:line="200" w:lineRule="auto"/>
            </w:pPr>
            <w:r>
              <w:t>String</w:t>
            </w:r>
          </w:p>
        </w:tc>
        <w:tc>
          <w:tcPr>
            <w:tcW w:w="0" w:type="auto"/>
            <w:tcMar>
              <w:top w:w="80" w:type="dxa"/>
              <w:left w:w="80" w:type="dxa"/>
              <w:bottom w:w="80" w:type="dxa"/>
              <w:right w:w="80" w:type="dxa"/>
            </w:tcMar>
            <w:vAlign w:val="center"/>
          </w:tcPr>
          <w:p w14:paraId="3A8EBABC"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109E9CB6" w14:textId="77777777" w:rsidR="00ED2DB4" w:rsidRDefault="00000000">
            <w:pPr>
              <w:spacing w:line="200" w:lineRule="auto"/>
            </w:pPr>
            <w:r>
              <w:t>0 (0%)</w:t>
            </w:r>
          </w:p>
        </w:tc>
        <w:tc>
          <w:tcPr>
            <w:tcW w:w="0" w:type="auto"/>
            <w:tcMar>
              <w:top w:w="80" w:type="dxa"/>
              <w:left w:w="80" w:type="dxa"/>
              <w:bottom w:w="80" w:type="dxa"/>
              <w:right w:w="80" w:type="dxa"/>
            </w:tcMar>
            <w:vAlign w:val="center"/>
          </w:tcPr>
          <w:p w14:paraId="2FEEA080" w14:textId="77777777" w:rsidR="00ED2DB4" w:rsidRDefault="00000000">
            <w:pPr>
              <w:spacing w:line="200" w:lineRule="auto"/>
            </w:pPr>
            <w:r>
              <w:t>Complete; primary geospatial identifier</w:t>
            </w:r>
          </w:p>
        </w:tc>
      </w:tr>
      <w:tr w:rsidR="00ED2DB4" w14:paraId="28149379" w14:textId="77777777">
        <w:tblPrEx>
          <w:tblCellMar>
            <w:top w:w="0" w:type="dxa"/>
            <w:bottom w:w="0" w:type="dxa"/>
          </w:tblCellMar>
        </w:tblPrEx>
        <w:tc>
          <w:tcPr>
            <w:tcW w:w="0" w:type="auto"/>
            <w:tcMar>
              <w:top w:w="80" w:type="dxa"/>
              <w:left w:w="80" w:type="dxa"/>
              <w:bottom w:w="80" w:type="dxa"/>
              <w:right w:w="80" w:type="dxa"/>
            </w:tcMar>
            <w:vAlign w:val="center"/>
          </w:tcPr>
          <w:p w14:paraId="6229A8A7" w14:textId="77777777" w:rsidR="00ED2DB4" w:rsidRDefault="00000000">
            <w:pPr>
              <w:spacing w:line="200" w:lineRule="auto"/>
            </w:pPr>
            <w:r>
              <w:t>Street</w:t>
            </w:r>
          </w:p>
        </w:tc>
        <w:tc>
          <w:tcPr>
            <w:tcW w:w="0" w:type="auto"/>
            <w:tcMar>
              <w:top w:w="80" w:type="dxa"/>
              <w:left w:w="80" w:type="dxa"/>
              <w:bottom w:w="80" w:type="dxa"/>
              <w:right w:w="80" w:type="dxa"/>
            </w:tcMar>
            <w:vAlign w:val="center"/>
          </w:tcPr>
          <w:p w14:paraId="7337E9DA" w14:textId="77777777" w:rsidR="00ED2DB4" w:rsidRDefault="00000000">
            <w:pPr>
              <w:spacing w:line="200" w:lineRule="auto"/>
            </w:pPr>
            <w:r>
              <w:t>String</w:t>
            </w:r>
          </w:p>
        </w:tc>
        <w:tc>
          <w:tcPr>
            <w:tcW w:w="0" w:type="auto"/>
            <w:tcMar>
              <w:top w:w="80" w:type="dxa"/>
              <w:left w:w="80" w:type="dxa"/>
              <w:bottom w:w="80" w:type="dxa"/>
              <w:right w:w="80" w:type="dxa"/>
            </w:tcMar>
            <w:vAlign w:val="center"/>
          </w:tcPr>
          <w:p w14:paraId="43135292"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575386FA" w14:textId="77777777" w:rsidR="00ED2DB4" w:rsidRDefault="00000000">
            <w:pPr>
              <w:spacing w:line="200" w:lineRule="auto"/>
            </w:pPr>
            <w:r>
              <w:t>255 (13.5%)</w:t>
            </w:r>
          </w:p>
        </w:tc>
        <w:tc>
          <w:tcPr>
            <w:tcW w:w="0" w:type="auto"/>
            <w:tcMar>
              <w:top w:w="80" w:type="dxa"/>
              <w:left w:w="80" w:type="dxa"/>
              <w:bottom w:w="80" w:type="dxa"/>
              <w:right w:w="80" w:type="dxa"/>
            </w:tcMar>
            <w:vAlign w:val="center"/>
          </w:tcPr>
          <w:p w14:paraId="3A6DF9CA" w14:textId="77777777" w:rsidR="00ED2DB4" w:rsidRDefault="00000000">
            <w:pPr>
              <w:spacing w:line="200" w:lineRule="auto"/>
            </w:pPr>
            <w:r>
              <w:t>Missing for many rural locations; requires cross-reference</w:t>
            </w:r>
          </w:p>
        </w:tc>
      </w:tr>
      <w:tr w:rsidR="00ED2DB4" w14:paraId="6D115044" w14:textId="77777777">
        <w:tblPrEx>
          <w:tblCellMar>
            <w:top w:w="0" w:type="dxa"/>
            <w:bottom w:w="0" w:type="dxa"/>
          </w:tblCellMar>
        </w:tblPrEx>
        <w:tc>
          <w:tcPr>
            <w:tcW w:w="0" w:type="auto"/>
            <w:tcMar>
              <w:top w:w="80" w:type="dxa"/>
              <w:left w:w="80" w:type="dxa"/>
              <w:bottom w:w="80" w:type="dxa"/>
              <w:right w:w="80" w:type="dxa"/>
            </w:tcMar>
            <w:vAlign w:val="center"/>
          </w:tcPr>
          <w:p w14:paraId="386A61AC" w14:textId="77777777" w:rsidR="00ED2DB4" w:rsidRDefault="00000000">
            <w:pPr>
              <w:spacing w:line="200" w:lineRule="auto"/>
            </w:pPr>
            <w:r>
              <w:t>Federal State</w:t>
            </w:r>
          </w:p>
        </w:tc>
        <w:tc>
          <w:tcPr>
            <w:tcW w:w="0" w:type="auto"/>
            <w:tcMar>
              <w:top w:w="80" w:type="dxa"/>
              <w:left w:w="80" w:type="dxa"/>
              <w:bottom w:w="80" w:type="dxa"/>
              <w:right w:w="80" w:type="dxa"/>
            </w:tcMar>
            <w:vAlign w:val="center"/>
          </w:tcPr>
          <w:p w14:paraId="6431DFB8" w14:textId="77777777" w:rsidR="00ED2DB4" w:rsidRDefault="00000000">
            <w:pPr>
              <w:spacing w:line="200" w:lineRule="auto"/>
            </w:pPr>
            <w:r>
              <w:t>String</w:t>
            </w:r>
          </w:p>
        </w:tc>
        <w:tc>
          <w:tcPr>
            <w:tcW w:w="0" w:type="auto"/>
            <w:tcMar>
              <w:top w:w="80" w:type="dxa"/>
              <w:left w:w="80" w:type="dxa"/>
              <w:bottom w:w="80" w:type="dxa"/>
              <w:right w:w="80" w:type="dxa"/>
            </w:tcMar>
            <w:vAlign w:val="center"/>
          </w:tcPr>
          <w:p w14:paraId="686086AF"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5A1BD68B" w14:textId="77777777" w:rsidR="00ED2DB4" w:rsidRDefault="00000000">
            <w:pPr>
              <w:spacing w:line="200" w:lineRule="auto"/>
            </w:pPr>
            <w:r>
              <w:t>0 (0%)</w:t>
            </w:r>
          </w:p>
        </w:tc>
        <w:tc>
          <w:tcPr>
            <w:tcW w:w="0" w:type="auto"/>
            <w:tcMar>
              <w:top w:w="80" w:type="dxa"/>
              <w:left w:w="80" w:type="dxa"/>
              <w:bottom w:w="80" w:type="dxa"/>
              <w:right w:w="80" w:type="dxa"/>
            </w:tcMar>
            <w:vAlign w:val="center"/>
          </w:tcPr>
          <w:p w14:paraId="79026CB5" w14:textId="77777777" w:rsidR="00ED2DB4" w:rsidRDefault="00000000">
            <w:pPr>
              <w:spacing w:line="200" w:lineRule="auto"/>
            </w:pPr>
            <w:r>
              <w:t>Complete; used for aggregation and comparative analysis</w:t>
            </w:r>
          </w:p>
        </w:tc>
      </w:tr>
      <w:tr w:rsidR="00ED2DB4" w14:paraId="3DE7155A" w14:textId="77777777">
        <w:tblPrEx>
          <w:tblCellMar>
            <w:top w:w="0" w:type="dxa"/>
            <w:bottom w:w="0" w:type="dxa"/>
          </w:tblCellMar>
        </w:tblPrEx>
        <w:tc>
          <w:tcPr>
            <w:tcW w:w="0" w:type="auto"/>
            <w:tcMar>
              <w:top w:w="80" w:type="dxa"/>
              <w:left w:w="80" w:type="dxa"/>
              <w:bottom w:w="80" w:type="dxa"/>
              <w:right w:w="80" w:type="dxa"/>
            </w:tcMar>
            <w:vAlign w:val="center"/>
          </w:tcPr>
          <w:p w14:paraId="4C412BED" w14:textId="77777777" w:rsidR="00ED2DB4" w:rsidRDefault="00000000">
            <w:pPr>
              <w:spacing w:line="200" w:lineRule="auto"/>
            </w:pPr>
            <w:r>
              <w:t>End of Use</w:t>
            </w:r>
          </w:p>
        </w:tc>
        <w:tc>
          <w:tcPr>
            <w:tcW w:w="0" w:type="auto"/>
            <w:tcMar>
              <w:top w:w="80" w:type="dxa"/>
              <w:left w:w="80" w:type="dxa"/>
              <w:bottom w:w="80" w:type="dxa"/>
              <w:right w:w="80" w:type="dxa"/>
            </w:tcMar>
            <w:vAlign w:val="center"/>
          </w:tcPr>
          <w:p w14:paraId="7B3EFA3C" w14:textId="77777777" w:rsidR="00ED2DB4" w:rsidRDefault="00000000">
            <w:pPr>
              <w:spacing w:line="200" w:lineRule="auto"/>
            </w:pPr>
            <w:r>
              <w:t>Date/String</w:t>
            </w:r>
          </w:p>
        </w:tc>
        <w:tc>
          <w:tcPr>
            <w:tcW w:w="0" w:type="auto"/>
            <w:tcMar>
              <w:top w:w="80" w:type="dxa"/>
              <w:left w:w="80" w:type="dxa"/>
              <w:bottom w:w="80" w:type="dxa"/>
              <w:right w:w="80" w:type="dxa"/>
            </w:tcMar>
            <w:vAlign w:val="center"/>
          </w:tcPr>
          <w:p w14:paraId="3A12D984"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002F7140" w14:textId="77777777" w:rsidR="00ED2DB4" w:rsidRDefault="00000000">
            <w:pPr>
              <w:spacing w:line="200" w:lineRule="auto"/>
            </w:pPr>
            <w:r>
              <w:t>~50 (&lt;3%)</w:t>
            </w:r>
          </w:p>
        </w:tc>
        <w:tc>
          <w:tcPr>
            <w:tcW w:w="0" w:type="auto"/>
            <w:tcMar>
              <w:top w:w="80" w:type="dxa"/>
              <w:left w:w="80" w:type="dxa"/>
              <w:bottom w:w="80" w:type="dxa"/>
              <w:right w:w="80" w:type="dxa"/>
            </w:tcMar>
            <w:vAlign w:val="center"/>
          </w:tcPr>
          <w:p w14:paraId="371864FD" w14:textId="77777777" w:rsidR="00ED2DB4" w:rsidRDefault="00000000">
            <w:pPr>
              <w:spacing w:line="200" w:lineRule="auto"/>
            </w:pPr>
            <w:r>
              <w:t>Inconsistent formats; requires normalization to ISO 8601</w:t>
            </w:r>
          </w:p>
        </w:tc>
      </w:tr>
      <w:tr w:rsidR="00ED2DB4" w14:paraId="3B8D62F6" w14:textId="77777777">
        <w:tblPrEx>
          <w:tblCellMar>
            <w:top w:w="0" w:type="dxa"/>
            <w:bottom w:w="0" w:type="dxa"/>
          </w:tblCellMar>
        </w:tblPrEx>
        <w:tc>
          <w:tcPr>
            <w:tcW w:w="0" w:type="auto"/>
            <w:tcMar>
              <w:top w:w="80" w:type="dxa"/>
              <w:left w:w="80" w:type="dxa"/>
              <w:bottom w:w="80" w:type="dxa"/>
              <w:right w:w="80" w:type="dxa"/>
            </w:tcMar>
            <w:vAlign w:val="center"/>
          </w:tcPr>
          <w:p w14:paraId="652B04F2" w14:textId="77777777" w:rsidR="00ED2DB4" w:rsidRDefault="00000000">
            <w:pPr>
              <w:spacing w:line="200" w:lineRule="auto"/>
            </w:pPr>
            <w:r>
              <w:t>Damaged during Reichskristallnacht</w:t>
            </w:r>
          </w:p>
        </w:tc>
        <w:tc>
          <w:tcPr>
            <w:tcW w:w="0" w:type="auto"/>
            <w:tcMar>
              <w:top w:w="80" w:type="dxa"/>
              <w:left w:w="80" w:type="dxa"/>
              <w:bottom w:w="80" w:type="dxa"/>
              <w:right w:w="80" w:type="dxa"/>
            </w:tcMar>
            <w:vAlign w:val="center"/>
          </w:tcPr>
          <w:p w14:paraId="3E699D4B" w14:textId="77777777" w:rsidR="00ED2DB4" w:rsidRDefault="00000000">
            <w:pPr>
              <w:spacing w:line="200" w:lineRule="auto"/>
            </w:pPr>
            <w:r>
              <w:t>Categorical</w:t>
            </w:r>
          </w:p>
        </w:tc>
        <w:tc>
          <w:tcPr>
            <w:tcW w:w="0" w:type="auto"/>
            <w:tcMar>
              <w:top w:w="80" w:type="dxa"/>
              <w:left w:w="80" w:type="dxa"/>
              <w:bottom w:w="80" w:type="dxa"/>
              <w:right w:w="80" w:type="dxa"/>
            </w:tcMar>
            <w:vAlign w:val="center"/>
          </w:tcPr>
          <w:p w14:paraId="74C416DE"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21AE2D93" w14:textId="77777777" w:rsidR="00ED2DB4" w:rsidRDefault="00000000">
            <w:pPr>
              <w:spacing w:line="200" w:lineRule="auto"/>
            </w:pPr>
            <w:r>
              <w:t>45 (2.4%)</w:t>
            </w:r>
          </w:p>
        </w:tc>
        <w:tc>
          <w:tcPr>
            <w:tcW w:w="0" w:type="auto"/>
            <w:tcMar>
              <w:top w:w="80" w:type="dxa"/>
              <w:left w:w="80" w:type="dxa"/>
              <w:bottom w:w="80" w:type="dxa"/>
              <w:right w:w="80" w:type="dxa"/>
            </w:tcMar>
            <w:vAlign w:val="center"/>
          </w:tcPr>
          <w:p w14:paraId="32171BAC" w14:textId="77777777" w:rsidR="00ED2DB4" w:rsidRDefault="00000000">
            <w:pPr>
              <w:spacing w:line="200" w:lineRule="auto"/>
            </w:pPr>
            <w:r>
              <w:t>31 distinct coded values; requires standardization to 0/1/2</w:t>
            </w:r>
          </w:p>
        </w:tc>
      </w:tr>
      <w:tr w:rsidR="00ED2DB4" w14:paraId="0CD57DDE" w14:textId="77777777">
        <w:tblPrEx>
          <w:tblCellMar>
            <w:top w:w="0" w:type="dxa"/>
            <w:bottom w:w="0" w:type="dxa"/>
          </w:tblCellMar>
        </w:tblPrEx>
        <w:tc>
          <w:tcPr>
            <w:tcW w:w="0" w:type="auto"/>
            <w:tcMar>
              <w:top w:w="80" w:type="dxa"/>
              <w:left w:w="80" w:type="dxa"/>
              <w:bottom w:w="80" w:type="dxa"/>
              <w:right w:w="80" w:type="dxa"/>
            </w:tcMar>
            <w:vAlign w:val="center"/>
          </w:tcPr>
          <w:p w14:paraId="3A1A4A2A" w14:textId="77777777" w:rsidR="00ED2DB4" w:rsidRDefault="00000000">
            <w:pPr>
              <w:spacing w:line="200" w:lineRule="auto"/>
            </w:pPr>
            <w:r>
              <w:lastRenderedPageBreak/>
              <w:t>Destruction in the Nazi Years</w:t>
            </w:r>
          </w:p>
        </w:tc>
        <w:tc>
          <w:tcPr>
            <w:tcW w:w="0" w:type="auto"/>
            <w:tcMar>
              <w:top w:w="80" w:type="dxa"/>
              <w:left w:w="80" w:type="dxa"/>
              <w:bottom w:w="80" w:type="dxa"/>
              <w:right w:w="80" w:type="dxa"/>
            </w:tcMar>
            <w:vAlign w:val="center"/>
          </w:tcPr>
          <w:p w14:paraId="1D9BFC16" w14:textId="77777777" w:rsidR="00ED2DB4" w:rsidRDefault="00000000">
            <w:pPr>
              <w:spacing w:line="200" w:lineRule="auto"/>
            </w:pPr>
            <w:r>
              <w:t>String/Text</w:t>
            </w:r>
          </w:p>
        </w:tc>
        <w:tc>
          <w:tcPr>
            <w:tcW w:w="0" w:type="auto"/>
            <w:tcMar>
              <w:top w:w="80" w:type="dxa"/>
              <w:left w:w="80" w:type="dxa"/>
              <w:bottom w:w="80" w:type="dxa"/>
              <w:right w:w="80" w:type="dxa"/>
            </w:tcMar>
            <w:vAlign w:val="center"/>
          </w:tcPr>
          <w:p w14:paraId="04228EC5"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3CCBC693" w14:textId="77777777" w:rsidR="00ED2DB4" w:rsidRDefault="00000000">
            <w:pPr>
              <w:spacing w:line="200" w:lineRule="auto"/>
            </w:pPr>
            <w:r>
              <w:t>~100 (~5%)</w:t>
            </w:r>
          </w:p>
        </w:tc>
        <w:tc>
          <w:tcPr>
            <w:tcW w:w="0" w:type="auto"/>
            <w:tcMar>
              <w:top w:w="80" w:type="dxa"/>
              <w:left w:w="80" w:type="dxa"/>
              <w:bottom w:w="80" w:type="dxa"/>
              <w:right w:w="80" w:type="dxa"/>
            </w:tcMar>
            <w:vAlign w:val="center"/>
          </w:tcPr>
          <w:p w14:paraId="708DD947" w14:textId="77777777" w:rsidR="00ED2DB4" w:rsidRDefault="00000000">
            <w:pPr>
              <w:spacing w:line="200" w:lineRule="auto"/>
            </w:pPr>
            <w:r>
              <w:t>Multiple punctuation/case variants; needs canonicalization</w:t>
            </w:r>
          </w:p>
        </w:tc>
      </w:tr>
      <w:tr w:rsidR="00ED2DB4" w14:paraId="2FBAD330" w14:textId="77777777">
        <w:tblPrEx>
          <w:tblCellMar>
            <w:top w:w="0" w:type="dxa"/>
            <w:bottom w:w="0" w:type="dxa"/>
          </w:tblCellMar>
        </w:tblPrEx>
        <w:tc>
          <w:tcPr>
            <w:tcW w:w="0" w:type="auto"/>
            <w:tcMar>
              <w:top w:w="80" w:type="dxa"/>
              <w:left w:w="80" w:type="dxa"/>
              <w:bottom w:w="80" w:type="dxa"/>
              <w:right w:w="80" w:type="dxa"/>
            </w:tcMar>
            <w:vAlign w:val="center"/>
          </w:tcPr>
          <w:p w14:paraId="754A77E6" w14:textId="77777777" w:rsidR="00ED2DB4" w:rsidRDefault="00000000">
            <w:pPr>
              <w:spacing w:line="200" w:lineRule="auto"/>
            </w:pPr>
            <w:r>
              <w:t>Lexicon</w:t>
            </w:r>
          </w:p>
        </w:tc>
        <w:tc>
          <w:tcPr>
            <w:tcW w:w="0" w:type="auto"/>
            <w:tcMar>
              <w:top w:w="80" w:type="dxa"/>
              <w:left w:w="80" w:type="dxa"/>
              <w:bottom w:w="80" w:type="dxa"/>
              <w:right w:w="80" w:type="dxa"/>
            </w:tcMar>
            <w:vAlign w:val="center"/>
          </w:tcPr>
          <w:p w14:paraId="44E6B2FB" w14:textId="77777777" w:rsidR="00ED2DB4" w:rsidRDefault="00000000">
            <w:pPr>
              <w:spacing w:line="200" w:lineRule="auto"/>
            </w:pPr>
            <w:r>
              <w:t>Boolean</w:t>
            </w:r>
          </w:p>
        </w:tc>
        <w:tc>
          <w:tcPr>
            <w:tcW w:w="0" w:type="auto"/>
            <w:tcMar>
              <w:top w:w="80" w:type="dxa"/>
              <w:left w:w="80" w:type="dxa"/>
              <w:bottom w:w="80" w:type="dxa"/>
              <w:right w:w="80" w:type="dxa"/>
            </w:tcMar>
            <w:vAlign w:val="center"/>
          </w:tcPr>
          <w:p w14:paraId="616D2DC2"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34815EDE" w14:textId="77777777" w:rsidR="00ED2DB4" w:rsidRDefault="00000000">
            <w:pPr>
              <w:spacing w:line="200" w:lineRule="auto"/>
            </w:pPr>
            <w:r>
              <w:t>1,605 (84.7%)</w:t>
            </w:r>
          </w:p>
        </w:tc>
        <w:tc>
          <w:tcPr>
            <w:tcW w:w="0" w:type="auto"/>
            <w:tcMar>
              <w:top w:w="80" w:type="dxa"/>
              <w:left w:w="80" w:type="dxa"/>
              <w:bottom w:w="80" w:type="dxa"/>
              <w:right w:w="80" w:type="dxa"/>
            </w:tcMar>
            <w:vAlign w:val="center"/>
          </w:tcPr>
          <w:p w14:paraId="622139FF" w14:textId="77777777" w:rsidR="00ED2DB4" w:rsidRDefault="00000000">
            <w:pPr>
              <w:spacing w:line="200" w:lineRule="auto"/>
            </w:pPr>
            <w:r>
              <w:t>By design; only Alicke lexicon entries marked (yes/no)</w:t>
            </w:r>
          </w:p>
        </w:tc>
      </w:tr>
      <w:tr w:rsidR="00ED2DB4" w14:paraId="61BACD6C" w14:textId="77777777">
        <w:tblPrEx>
          <w:tblCellMar>
            <w:top w:w="0" w:type="dxa"/>
            <w:bottom w:w="0" w:type="dxa"/>
          </w:tblCellMar>
        </w:tblPrEx>
        <w:tc>
          <w:tcPr>
            <w:tcW w:w="0" w:type="auto"/>
            <w:tcMar>
              <w:top w:w="80" w:type="dxa"/>
              <w:left w:w="80" w:type="dxa"/>
              <w:bottom w:w="80" w:type="dxa"/>
              <w:right w:w="80" w:type="dxa"/>
            </w:tcMar>
            <w:vAlign w:val="center"/>
          </w:tcPr>
          <w:p w14:paraId="2D44B354" w14:textId="77777777" w:rsidR="00ED2DB4" w:rsidRDefault="00000000">
            <w:pPr>
              <w:spacing w:line="200" w:lineRule="auto"/>
            </w:pPr>
            <w:r>
              <w:t>Latitude</w:t>
            </w:r>
          </w:p>
        </w:tc>
        <w:tc>
          <w:tcPr>
            <w:tcW w:w="0" w:type="auto"/>
            <w:tcMar>
              <w:top w:w="80" w:type="dxa"/>
              <w:left w:w="80" w:type="dxa"/>
              <w:bottom w:w="80" w:type="dxa"/>
              <w:right w:w="80" w:type="dxa"/>
            </w:tcMar>
            <w:vAlign w:val="center"/>
          </w:tcPr>
          <w:p w14:paraId="3FA05DA8" w14:textId="77777777" w:rsidR="00ED2DB4" w:rsidRDefault="00000000">
            <w:pPr>
              <w:spacing w:line="200" w:lineRule="auto"/>
            </w:pPr>
            <w:r>
              <w:t>Decimal</w:t>
            </w:r>
          </w:p>
        </w:tc>
        <w:tc>
          <w:tcPr>
            <w:tcW w:w="0" w:type="auto"/>
            <w:tcMar>
              <w:top w:w="80" w:type="dxa"/>
              <w:left w:w="80" w:type="dxa"/>
              <w:bottom w:w="80" w:type="dxa"/>
              <w:right w:w="80" w:type="dxa"/>
            </w:tcMar>
            <w:vAlign w:val="center"/>
          </w:tcPr>
          <w:p w14:paraId="0635BC18"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567D91D3" w14:textId="77777777" w:rsidR="00ED2DB4" w:rsidRDefault="00000000">
            <w:pPr>
              <w:spacing w:line="200" w:lineRule="auto"/>
            </w:pPr>
            <w:r>
              <w:t>1,465 (77.3%)</w:t>
            </w:r>
          </w:p>
        </w:tc>
        <w:tc>
          <w:tcPr>
            <w:tcW w:w="0" w:type="auto"/>
            <w:tcMar>
              <w:top w:w="80" w:type="dxa"/>
              <w:left w:w="80" w:type="dxa"/>
              <w:bottom w:w="80" w:type="dxa"/>
              <w:right w:w="80" w:type="dxa"/>
            </w:tcMar>
            <w:vAlign w:val="center"/>
          </w:tcPr>
          <w:p w14:paraId="2A5032D5" w14:textId="77777777" w:rsidR="00ED2DB4" w:rsidRDefault="00000000">
            <w:pPr>
              <w:spacing w:line="200" w:lineRule="auto"/>
            </w:pPr>
            <w:r>
              <w:t>Only 430 records (22.7%) have coordinates; geocoding needed</w:t>
            </w:r>
          </w:p>
        </w:tc>
      </w:tr>
      <w:tr w:rsidR="00ED2DB4" w14:paraId="2BFB5F0E" w14:textId="77777777">
        <w:tblPrEx>
          <w:tblCellMar>
            <w:top w:w="0" w:type="dxa"/>
            <w:bottom w:w="0" w:type="dxa"/>
          </w:tblCellMar>
        </w:tblPrEx>
        <w:tc>
          <w:tcPr>
            <w:tcW w:w="0" w:type="auto"/>
            <w:tcMar>
              <w:top w:w="80" w:type="dxa"/>
              <w:left w:w="80" w:type="dxa"/>
              <w:bottom w:w="80" w:type="dxa"/>
              <w:right w:w="80" w:type="dxa"/>
            </w:tcMar>
            <w:vAlign w:val="center"/>
          </w:tcPr>
          <w:p w14:paraId="5667A357" w14:textId="77777777" w:rsidR="00ED2DB4" w:rsidRDefault="00000000">
            <w:pPr>
              <w:spacing w:line="200" w:lineRule="auto"/>
            </w:pPr>
            <w:r>
              <w:t>Longitude</w:t>
            </w:r>
          </w:p>
        </w:tc>
        <w:tc>
          <w:tcPr>
            <w:tcW w:w="0" w:type="auto"/>
            <w:tcMar>
              <w:top w:w="80" w:type="dxa"/>
              <w:left w:w="80" w:type="dxa"/>
              <w:bottom w:w="80" w:type="dxa"/>
              <w:right w:w="80" w:type="dxa"/>
            </w:tcMar>
            <w:vAlign w:val="center"/>
          </w:tcPr>
          <w:p w14:paraId="60F22B27" w14:textId="77777777" w:rsidR="00ED2DB4" w:rsidRDefault="00000000">
            <w:pPr>
              <w:spacing w:line="200" w:lineRule="auto"/>
            </w:pPr>
            <w:r>
              <w:t>Decimal</w:t>
            </w:r>
          </w:p>
        </w:tc>
        <w:tc>
          <w:tcPr>
            <w:tcW w:w="0" w:type="auto"/>
            <w:tcMar>
              <w:top w:w="80" w:type="dxa"/>
              <w:left w:w="80" w:type="dxa"/>
              <w:bottom w:w="80" w:type="dxa"/>
              <w:right w:w="80" w:type="dxa"/>
            </w:tcMar>
            <w:vAlign w:val="center"/>
          </w:tcPr>
          <w:p w14:paraId="456E5C3F" w14:textId="77777777" w:rsidR="00ED2DB4" w:rsidRDefault="00000000">
            <w:pPr>
              <w:spacing w:line="200" w:lineRule="auto"/>
            </w:pPr>
            <w:r>
              <w:t>1,895</w:t>
            </w:r>
          </w:p>
        </w:tc>
        <w:tc>
          <w:tcPr>
            <w:tcW w:w="0" w:type="auto"/>
            <w:tcMar>
              <w:top w:w="80" w:type="dxa"/>
              <w:left w:w="80" w:type="dxa"/>
              <w:bottom w:w="80" w:type="dxa"/>
              <w:right w:w="80" w:type="dxa"/>
            </w:tcMar>
            <w:vAlign w:val="center"/>
          </w:tcPr>
          <w:p w14:paraId="35D5B800" w14:textId="77777777" w:rsidR="00ED2DB4" w:rsidRDefault="00000000">
            <w:pPr>
              <w:spacing w:line="200" w:lineRule="auto"/>
            </w:pPr>
            <w:r>
              <w:t>1,495 (78.9%)</w:t>
            </w:r>
          </w:p>
        </w:tc>
        <w:tc>
          <w:tcPr>
            <w:tcW w:w="0" w:type="auto"/>
            <w:tcMar>
              <w:top w:w="80" w:type="dxa"/>
              <w:left w:w="80" w:type="dxa"/>
              <w:bottom w:w="80" w:type="dxa"/>
              <w:right w:w="80" w:type="dxa"/>
            </w:tcMar>
            <w:vAlign w:val="center"/>
          </w:tcPr>
          <w:p w14:paraId="6300AD0B" w14:textId="77777777" w:rsidR="00ED2DB4" w:rsidRDefault="00000000">
            <w:pPr>
              <w:spacing w:line="200" w:lineRule="auto"/>
            </w:pPr>
            <w:r>
              <w:t>Only 400 records (21.1%) have coordinates; geocoding needed</w:t>
            </w:r>
          </w:p>
        </w:tc>
      </w:tr>
    </w:tbl>
    <w:p w14:paraId="657A70AE" w14:textId="77777777" w:rsidR="00ED2DB4" w:rsidRDefault="00ED2DB4">
      <w:pPr>
        <w:spacing w:after="400"/>
      </w:pPr>
    </w:p>
    <w:p w14:paraId="25419FD3" w14:textId="77777777" w:rsidR="00ED2DB4" w:rsidRDefault="00000000">
      <w:pPr>
        <w:pStyle w:val="Heading2"/>
        <w:spacing w:after="200"/>
      </w:pPr>
      <w:r>
        <w:t>2.3 Geographic Coverage</w:t>
      </w:r>
    </w:p>
    <w:p w14:paraId="619D289C" w14:textId="77777777" w:rsidR="00ED2DB4" w:rsidRDefault="00000000">
      <w:pPr>
        <w:spacing w:after="200"/>
        <w:jc w:val="both"/>
      </w:pPr>
      <w:r>
        <w:t>The 1,895 records are distributed across the major German Bundesländer (states) and Austria. Current geographic representation by region includes: North Rhine-Westphalia (NRW, n=349), Hesse (Hessen, n=344), Rhineland-Palatinate (Rheinland-Pfalz, n=265), Bavaria (Bayern, n=223), Baden-Württemberg (n=186), and additional representation in all other German states and Austria. This distribution reflects both the historical geography of German-Jewish settlement (concentrated in the Rhineland, Hesse, and major urban centers) and the completeness of available records by region. Notably, coordinate coverage remains severely limited, with only 430 records (22.7%) possessing latitude values and 400 records (21.1%) possessing longitude values. The geographic enrichment phase of this workflow will focus on closing this critical gap.</w:t>
      </w:r>
    </w:p>
    <w:p w14:paraId="652BC309" w14:textId="77777777" w:rsidR="00ED2DB4" w:rsidRDefault="00000000">
      <w:pPr>
        <w:spacing w:after="200"/>
        <w:jc w:val="both"/>
      </w:pPr>
      <w:r>
        <w:t>An important finding from preliminary geographic analysis reveals that 89.8% of all institutions in the dataset were destroyed during the Nazi period, concentrated especially during the Kristallnacht period itself, when 367 records (19.4% of the total database) show destruction on November 9-10, 1938. This extraordinarily high destruction rate underscores both the scope of the violence and the potential analytical insights that systematic geographic analysis may yield.</w:t>
      </w:r>
    </w:p>
    <w:p w14:paraId="5AE60C5B" w14:textId="77777777" w:rsidR="00ED2DB4" w:rsidRDefault="00000000">
      <w:pPr>
        <w:pStyle w:val="Heading1"/>
        <w:spacing w:after="200"/>
      </w:pPr>
      <w:r>
        <w:t>3. Research Questions Enabled by This Dataset</w:t>
      </w:r>
    </w:p>
    <w:p w14:paraId="4674E1F7" w14:textId="77777777" w:rsidR="00ED2DB4" w:rsidRDefault="00000000">
      <w:pPr>
        <w:spacing w:after="200"/>
        <w:jc w:val="both"/>
      </w:pPr>
      <w:r>
        <w:t>This cleaned and enriched dataset will enable investigation of several fundamental questions regarding the spatial, temporal, and institutional dimensions of anti-Jewish violence in Central Europe:</w:t>
      </w:r>
    </w:p>
    <w:p w14:paraId="0D0D9195" w14:textId="77777777" w:rsidR="00ED2DB4" w:rsidRDefault="00000000">
      <w:pPr>
        <w:spacing w:after="200"/>
        <w:jc w:val="both"/>
      </w:pPr>
      <w:r>
        <w:t>• [object Object] Were synagogues and Jewish institutions geographically clustered in particular cities, districts, or regions? Can we identify neighborhoods or communities that possessed particularly dense Jewish institutional infrastructure? How did institutional density relate to population concentration of Jewish communities? Do spatial patterns of institutional clustering predict patterns of destruction or survival?</w:t>
      </w:r>
    </w:p>
    <w:p w14:paraId="5C96B43B" w14:textId="77777777" w:rsidR="00ED2DB4" w:rsidRDefault="00000000">
      <w:pPr>
        <w:spacing w:after="200"/>
        <w:jc w:val="both"/>
      </w:pPr>
      <w:r>
        <w:t>• [object Object] What was the timeline of institutional destruction from 1933 to 1938? Was destruction relatively gradual and continuous, or concentrated in particular periods (e.g., following specific legislation or policy shifts)? How dramatically did destruction intensity change around November 9-10, 1938? Can we distinguish between pre-Kristallnacht, Kristallnacht-period, and post-Kristallnacht destructions?</w:t>
      </w:r>
    </w:p>
    <w:p w14:paraId="1C8D10A1" w14:textId="77777777" w:rsidR="00ED2DB4" w:rsidRDefault="00000000">
      <w:pPr>
        <w:spacing w:after="200"/>
        <w:jc w:val="both"/>
      </w:pPr>
      <w:r>
        <w:t>• [object Object] Did the intensity and timing of institutional destruction vary significantly across German Bundesländer and Austrian territories? Can we identify regional variation in whether perpetrators targeted primarily synagogues versus other Jewish institutions? Does regional variation correlate with political factors (NSDAP organizational strength, local Nazi leadership composition) or demographic factors (size of local Jewish community)?</w:t>
      </w:r>
    </w:p>
    <w:p w14:paraId="6AC3B81E" w14:textId="77777777" w:rsidR="00ED2DB4" w:rsidRDefault="00000000">
      <w:pPr>
        <w:spacing w:after="200"/>
        <w:jc w:val="both"/>
      </w:pPr>
      <w:r>
        <w:t>• [object Object] The Kristallnacht pogrom occurred in a single night across the entire German and Austrian territories, yet the precise sequence and timing of destruction varied by location. Can spatiotemporal patterns reveal whether destructions were more likely in neighboring cities (suggesting coordinated propagation waves) or more randomly distributed (suggesting independent local initiation)?</w:t>
      </w:r>
    </w:p>
    <w:p w14:paraId="717B499C" w14:textId="77777777" w:rsidR="00ED2DB4" w:rsidRDefault="00000000">
      <w:pPr>
        <w:spacing w:after="200"/>
        <w:jc w:val="both"/>
      </w:pPr>
      <w:r>
        <w:t>• [object Object] What institutional or geographic characteristics predicted survival of Jewish institutions through 1938? Were certain types of institutions (e.g., cemeteries, schools, community centers) differentially targeted compared to synagogues? Did location in rural versus urban areas affect destruction risk? Did congregation size or historical prominence correlate with survival probability?</w:t>
      </w:r>
    </w:p>
    <w:p w14:paraId="21C3E966" w14:textId="77777777" w:rsidR="00ED2DB4" w:rsidRDefault="00000000">
      <w:pPr>
        <w:spacing w:after="200"/>
        <w:jc w:val="both"/>
      </w:pPr>
      <w:r>
        <w:lastRenderedPageBreak/>
        <w:t>• [object Object] Using the pre-destruction locations and other institutional data, can we reconstruct the geography of Jewish religious life in Central Europe as it existed in early 1933? What did the spatial distribution of Jewish institutions reveal about community size, prosperity, historical settlement patterns, and institutional complexity?</w:t>
      </w:r>
    </w:p>
    <w:p w14:paraId="73DDADF7" w14:textId="77777777" w:rsidR="00ED2DB4" w:rsidRDefault="00000000">
      <w:pPr>
        <w:pStyle w:val="Heading1"/>
        <w:spacing w:after="200"/>
      </w:pPr>
      <w:r>
        <w:t>4. Data Cleaning Workflow (Phase 1)</w:t>
      </w:r>
    </w:p>
    <w:p w14:paraId="1A67DA9D" w14:textId="77777777" w:rsidR="00ED2DB4" w:rsidRDefault="00000000">
      <w:pPr>
        <w:spacing w:after="200"/>
        <w:jc w:val="both"/>
      </w:pPr>
      <w:r>
        <w:t>The data cleaning phase addresses systematic data quality issues that prevent analytical use of the raw dataset. This phase employs automated techniques combined with expert judgment to standardize fields, resolve inconsistencies, and prepare data for verification and enrichment.</w:t>
      </w:r>
    </w:p>
    <w:p w14:paraId="1D3A7282" w14:textId="77777777" w:rsidR="00ED2DB4" w:rsidRDefault="00000000">
      <w:pPr>
        <w:pStyle w:val="Heading2"/>
        <w:spacing w:after="200"/>
      </w:pPr>
      <w:r>
        <w:t>4.1 Standardization of Text Fields</w:t>
      </w:r>
    </w:p>
    <w:p w14:paraId="6647A4EA" w14:textId="77777777" w:rsidR="00ED2DB4" w:rsidRDefault="00000000">
      <w:pPr>
        <w:spacing w:after="200"/>
        <w:jc w:val="both"/>
      </w:pPr>
      <w:r>
        <w:t>[object Object] Normalize free-text and semi-structured fields to eliminate variant representations of identical concepts, which prevent grouping, comparison, and analysis.</w:t>
      </w:r>
    </w:p>
    <w:p w14:paraId="658E8DFB" w14:textId="77777777" w:rsidR="00ED2DB4" w:rsidRDefault="00000000">
      <w:pPr>
        <w:spacing w:after="200"/>
        <w:jc w:val="both"/>
      </w:pPr>
      <w:r>
        <w:t>[object Object] The dataset contains multiple representations of null or missing data: 'no information', 'No information', 'No Information', 'N/A', 'NA', empty cells, and related variants. Similarly, destruction narratives contain punctuation inconsistencies ('Not destroyed, no information about desecration' versus 'Not destroyed. No information about desecration'). The 'Street' field contains inconsistent spacing, case variations, and abbreviation choices (e.g., 'Str.' versus 'Strasse' versus 'Straße').</w:t>
      </w:r>
    </w:p>
    <w:p w14:paraId="28E9C262" w14:textId="77777777" w:rsidR="00ED2DB4" w:rsidRDefault="00000000">
      <w:pPr>
        <w:spacing w:after="200"/>
        <w:jc w:val="both"/>
      </w:pPr>
      <w:r>
        <w:t>[object Object] Using Python with the pandas library, we will apply systematic text normalization operations: (1) Trim leading and trailing whitespace from all text fields; (2) Convert all text to proper case (title case for proper nouns like street names and cities) using domain-aware rules; (3) Standardize null representations to a single canonical form (Python's None/NaN); (4) Create a standardization mapping table for common abbreviations and variants; (5) Use regular expressions to normalize punctuation in narrative fields.</w:t>
      </w:r>
    </w:p>
    <w:p w14:paraId="2AD2E82B" w14:textId="77777777" w:rsidR="00ED2DB4" w:rsidRDefault="00000000">
      <w:pPr>
        <w:spacing w:after="200"/>
        <w:jc w:val="both"/>
      </w:pPr>
      <w:r>
        <w:t>[object Object] Python (pandas, numpy), OpenRefine for interactive quality assessment and pattern identification</w:t>
      </w:r>
    </w:p>
    <w:p w14:paraId="782186CB" w14:textId="77777777" w:rsidR="00ED2DB4" w:rsidRDefault="00000000">
      <w:pPr>
        <w:spacing w:after="200"/>
        <w:jc w:val="both"/>
      </w:pPr>
      <w:r>
        <w:t>[object Object] A cleaned dataset with consistent text field representation; a mapping table documenting all applied transformations.</w:t>
      </w:r>
    </w:p>
    <w:p w14:paraId="393D1D65" w14:textId="77777777" w:rsidR="00ED2DB4" w:rsidRDefault="00000000">
      <w:pPr>
        <w:pStyle w:val="Heading2"/>
        <w:spacing w:after="200"/>
      </w:pPr>
      <w:r>
        <w:t>4.2 Standardization of Damage Indicator Column</w:t>
      </w:r>
    </w:p>
    <w:p w14:paraId="789D8B12" w14:textId="77777777" w:rsidR="00ED2DB4" w:rsidRDefault="00000000">
      <w:pPr>
        <w:spacing w:after="200"/>
        <w:jc w:val="both"/>
      </w:pPr>
      <w:r>
        <w:t>[object Object] Convert the 'Damaged during Reichskristallnacht' column from 31 inconsistent coded values into a clean, three-level categorical variable.</w:t>
      </w:r>
    </w:p>
    <w:p w14:paraId="4EED3A82" w14:textId="77777777" w:rsidR="00ED2DB4" w:rsidRDefault="00000000">
      <w:pPr>
        <w:spacing w:after="200"/>
        <w:jc w:val="both"/>
      </w:pPr>
      <w:r>
        <w:t>[object Object] The damage indicator field currently contains at least 31 distinct code values including: 0, 1, 2, '0', '1', '2', '1 (?)' '0 (?)', '2 (?)', '0 (1)', '2 (1)', mixed numeric/text representations, null values (n=45), and potentially other variants. This coding chaos prevents any analysis relying on damage status.</w:t>
      </w:r>
    </w:p>
    <w:p w14:paraId="7DEA6890" w14:textId="77777777" w:rsidR="00ED2DB4" w:rsidRDefault="00000000">
      <w:pPr>
        <w:spacing w:after="200"/>
        <w:jc w:val="both"/>
      </w:pPr>
      <w:r>
        <w:t>[object Object] Establish a clean three-level taxonomy: (0) = Not damaged during Kristallnacht / Not targeted; (1) = Damaged on November 9-10, 1938 (confirmed or highly probable); (2) = Damaged by Nazis but timing uncertain or occurred outside the Kristallnacht period. For the 31 current code variants, develop a comprehensive mapping document showing each variant and its assignment to the 0/1/2 taxonomy, with documentation of decision rules. Codes with uncertainty indicators (e.g., '2 (?)') will be assigned based on the primary code but flagged with a confidence score (high/medium/low) in a separate field. Records with truly ambiguous codes will be flagged for expert review and assigned to the 'unknown/uncertain' category initially.</w:t>
      </w:r>
    </w:p>
    <w:p w14:paraId="24BA4643" w14:textId="77777777" w:rsidR="00ED2DB4" w:rsidRDefault="00000000">
      <w:pPr>
        <w:spacing w:after="200"/>
        <w:jc w:val="both"/>
      </w:pPr>
      <w:r>
        <w:t>[object Object] Create a data dictionary entry explaining the three-level coding: (0) represents institutions not damaged during the Kristallnacht period (November 9-10, 1938) or that survived the period undamaged; (1) indicates documented or highly probable damage specifically on November 9-10, 1938; (2) applies to institutions damaged sometime during 1933-1938 but for which specific timing is uncertain or which were damaged outside the Kristallnacht period.</w:t>
      </w:r>
    </w:p>
    <w:p w14:paraId="19264C0A" w14:textId="77777777" w:rsidR="00ED2DB4" w:rsidRDefault="00000000">
      <w:pPr>
        <w:spacing w:after="200"/>
        <w:jc w:val="both"/>
      </w:pPr>
      <w:r>
        <w:t>[object Object] Python with pandas and mapping dictionaries</w:t>
      </w:r>
    </w:p>
    <w:p w14:paraId="6D3FCAFC" w14:textId="77777777" w:rsidR="00ED2DB4" w:rsidRDefault="00000000">
      <w:pPr>
        <w:spacing w:after="200"/>
        <w:jc w:val="both"/>
      </w:pPr>
      <w:r>
        <w:t>[object Object] Cleaned 'Damage_Code' column with values 0/1/2; 'Damage_Confidence' column with ratings (high/medium/low/unknown); 'Damage_Code_Original' preserving original values for audit trail; mapping table documenting all code assignments.</w:t>
      </w:r>
    </w:p>
    <w:p w14:paraId="435B1DF5" w14:textId="77777777" w:rsidR="00ED2DB4" w:rsidRDefault="00000000">
      <w:pPr>
        <w:pStyle w:val="Heading2"/>
        <w:spacing w:after="200"/>
      </w:pPr>
      <w:r>
        <w:lastRenderedPageBreak/>
        <w:t>4.3 Standardization of Date and Temporal Fields</w:t>
      </w:r>
    </w:p>
    <w:p w14:paraId="199915F3" w14:textId="77777777" w:rsidR="00ED2DB4" w:rsidRDefault="00000000">
      <w:pPr>
        <w:spacing w:after="200"/>
        <w:jc w:val="both"/>
      </w:pPr>
      <w:r>
        <w:t>[object Object] Convert the heterogeneous 'End of Use' field into standardized ISO 8601 date format and create derived temporal variables for analysis.</w:t>
      </w:r>
    </w:p>
    <w:p w14:paraId="20EBCBDE" w14:textId="77777777" w:rsidR="00ED2DB4" w:rsidRDefault="00000000">
      <w:pPr>
        <w:spacing w:after="200"/>
        <w:jc w:val="both"/>
      </w:pPr>
      <w:r>
        <w:t>[object Object] The 'End of Use' field contains dates in multiple formats: 'November 9-10, 1938', 'November 9 1938', '1938', 'November 1938', '9.11.1938', '9/11/1938', and partial dates. Some entries represent date ranges (e.g., Nov 9-10, 1938), others exact dates, still others only years.</w:t>
      </w:r>
    </w:p>
    <w:p w14:paraId="10F8CD28" w14:textId="77777777" w:rsidR="00ED2DB4" w:rsidRDefault="00000000">
      <w:pPr>
        <w:spacing w:after="200"/>
        <w:jc w:val="both"/>
      </w:pPr>
      <w:r>
        <w:t>[object Object] Parse 'End of Use' values into three standardized fields: (1) End_Date_ISO8601: Date in format YYYY-MM-DD, with incomplete dates represented by placeholder values (e.g., 1938-11-15 for 'November 1938' using 15th as default mid-month date); (2) End_Date_Granularity: Categorical field indicating precision level (full_date / month / year / unknown); (3) End_Date_Original: Preserve original value for audit trail. Create derived variables: (4) End_Date_Year; (5) End_Date_Month; (6) Period_Category with four categories: (a) 'Pre_Kristallnacht' (dates before 1938-11-09), (b) 'Kristallnacht_Period' (dates 1938-11-09 to 1938-11-10), (c) 'Post_Kristallnacht' (dates after 1938-11-10), (d) 'Unknown/Ambiguous' (unresolved date ranges or no date provided).</w:t>
      </w:r>
    </w:p>
    <w:p w14:paraId="33E33247" w14:textId="77777777" w:rsidR="00ED2DB4" w:rsidRDefault="00000000">
      <w:pPr>
        <w:spacing w:after="200"/>
        <w:jc w:val="both"/>
      </w:pPr>
      <w:r>
        <w:t>[object Object] For entries like 'November 9-10, 1938', we will create a separate boolean field Is_Date_Range and store both start and end dates. For analysis, the start date will typically be used as the primary date of destruction.</w:t>
      </w:r>
    </w:p>
    <w:p w14:paraId="2E0C90DB" w14:textId="77777777" w:rsidR="00ED2DB4" w:rsidRDefault="00000000">
      <w:pPr>
        <w:spacing w:after="200"/>
        <w:jc w:val="both"/>
      </w:pPr>
      <w:r>
        <w:t>[object Object] Python with datetime, dateutil, and pandas libraries</w:t>
      </w:r>
    </w:p>
    <w:p w14:paraId="331DEAD7" w14:textId="77777777" w:rsidR="00ED2DB4" w:rsidRDefault="00000000">
      <w:pPr>
        <w:spacing w:after="200"/>
        <w:jc w:val="both"/>
      </w:pPr>
      <w:r>
        <w:t>[object Object] Standardized date fields; derived temporal variables; data quality report on resolution rates and precision distributions.</w:t>
      </w:r>
    </w:p>
    <w:p w14:paraId="1DC7064F" w14:textId="77777777" w:rsidR="00ED2DB4" w:rsidRDefault="00000000">
      <w:pPr>
        <w:pStyle w:val="Heading2"/>
        <w:spacing w:after="200"/>
      </w:pPr>
      <w:r>
        <w:t>4.4 Address Completion and Street Name Standardization</w:t>
      </w:r>
    </w:p>
    <w:p w14:paraId="7749D41F" w14:textId="77777777" w:rsidR="00ED2DB4" w:rsidRDefault="00000000">
      <w:pPr>
        <w:spacing w:after="200"/>
        <w:jc w:val="both"/>
      </w:pPr>
      <w:r>
        <w:t>[object Object] Complete missing street address information (n=255, 13.5% of records) through cross-reference with known sources.</w:t>
      </w:r>
    </w:p>
    <w:p w14:paraId="665B97C7" w14:textId="77777777" w:rsidR="00ED2DB4" w:rsidRDefault="00000000">
      <w:pPr>
        <w:spacing w:after="200"/>
        <w:jc w:val="both"/>
      </w:pPr>
      <w:r>
        <w:t>[object Object] For records missing street addresses, employ sequential cross-referencing strategies: (1) For records already marked as in the Alicke Lexicon, cross-reference the Alicke source directly to obtain street addresses; (2) Consult secondary reference works including Germania Judaica Vol. III, Pinkas Hakehillot (Yad Vashem Encyclopedia), and the Yad Vashem Encyclopedia of Jewish Communities in Germany; (3) Search online databases including the EHRI (European Holocaust Research Infrastructure) Portal, Jewish Virtual Library, and community-specific resources; (4) For the remaining unresolved records, flag as requiring archival research or expert consultation.</w:t>
      </w:r>
    </w:p>
    <w:p w14:paraId="62DAAA7F" w14:textId="77777777" w:rsidR="00ED2DB4" w:rsidRDefault="00000000">
      <w:pPr>
        <w:spacing w:after="200"/>
        <w:jc w:val="both"/>
      </w:pPr>
      <w:r>
        <w:t>[object Object] Jewish communities may have occupied buildings on streets that were renamed during or after the Nazi period. We will develop a historical street name dictionary noting alternative names and time periods of validity, allowing future geocoding operations to match addresses correctly.</w:t>
      </w:r>
    </w:p>
    <w:p w14:paraId="79CBB7FA" w14:textId="77777777" w:rsidR="00ED2DB4" w:rsidRDefault="00000000">
      <w:pPr>
        <w:spacing w:after="200"/>
        <w:jc w:val="both"/>
      </w:pPr>
      <w:r>
        <w:t>[object Object] Spreadsheet-based tracking, cross-reference with Alicke and secondary sources, EHRI Portal API access where available</w:t>
      </w:r>
    </w:p>
    <w:p w14:paraId="175DFCF7" w14:textId="77777777" w:rsidR="00ED2DB4" w:rsidRDefault="00000000">
      <w:pPr>
        <w:spacing w:after="200"/>
        <w:jc w:val="both"/>
      </w:pPr>
      <w:r>
        <w:t>[object Object] Updated Street field with completion rate &gt;95%; supplementary 'Street_Alternative_Names' field where historical variants are known; 'Street_Source' field tracking provenance of each street value.</w:t>
      </w:r>
    </w:p>
    <w:p w14:paraId="0BBE4F0C" w14:textId="77777777" w:rsidR="00ED2DB4" w:rsidRDefault="00000000">
      <w:pPr>
        <w:pStyle w:val="Heading2"/>
        <w:spacing w:after="200"/>
      </w:pPr>
      <w:r>
        <w:t>4.5 Duplicate Detection and Initial Flagging</w:t>
      </w:r>
    </w:p>
    <w:p w14:paraId="1EEB457F" w14:textId="77777777" w:rsidR="00ED2DB4" w:rsidRDefault="00000000">
      <w:pPr>
        <w:spacing w:after="200"/>
        <w:jc w:val="both"/>
      </w:pPr>
      <w:r>
        <w:t>[object Object] Identify and flag potential duplicate records representing the same institution.</w:t>
      </w:r>
    </w:p>
    <w:p w14:paraId="42D5CD36" w14:textId="77777777" w:rsidR="00ED2DB4" w:rsidRDefault="00000000">
      <w:pPr>
        <w:spacing w:after="200"/>
        <w:jc w:val="both"/>
      </w:pPr>
      <w:r>
        <w:t>[object Object] Preliminary duplicate detection will employ both automated and manual strategies: (1) Automated matching: Use city + first 3 characters of street name as blocking criteria (to reduce comparison space); (2) Jaro-Winkler string similarity scoring: Calculate similarity between full street name pairs within same city; flag pairs with similarity &gt;0.85 as potential duplicates; (3) Manual review: Create a spreadsheet of all flagged pairs for expert assessment. Do not merge at this stage; focus only on identification.</w:t>
      </w:r>
    </w:p>
    <w:p w14:paraId="1F2E73AD" w14:textId="77777777" w:rsidR="00ED2DB4" w:rsidRDefault="00000000">
      <w:pPr>
        <w:spacing w:after="200"/>
        <w:jc w:val="both"/>
      </w:pPr>
      <w:r>
        <w:lastRenderedPageBreak/>
        <w:t>[object Object] Based on manual spot-checking, we estimate duplicates will comprise approximately 3-5% of records (57-95 records). Most duplicates are expected to result from records representing the same institution added from different source citations.</w:t>
      </w:r>
    </w:p>
    <w:p w14:paraId="54186C45" w14:textId="77777777" w:rsidR="00ED2DB4" w:rsidRDefault="00000000">
      <w:pPr>
        <w:spacing w:after="200"/>
        <w:jc w:val="both"/>
      </w:pPr>
      <w:r>
        <w:t>[object Object] Python fuzzywuzzy library for string matching, visual inspection</w:t>
      </w:r>
    </w:p>
    <w:p w14:paraId="47FE644A" w14:textId="77777777" w:rsidR="00ED2DB4" w:rsidRDefault="00000000">
      <w:pPr>
        <w:spacing w:after="200"/>
        <w:jc w:val="both"/>
      </w:pPr>
      <w:r>
        <w:t>[object Object] Duplicate_Flag column (yes/no); Potential_Duplicate_Pair_ID linking duplicate pairs; flagged pairs in separate spreadsheet for Phase 4 merge resolution.</w:t>
      </w:r>
    </w:p>
    <w:p w14:paraId="055A40D4" w14:textId="77777777" w:rsidR="00ED2DB4" w:rsidRDefault="00000000">
      <w:pPr>
        <w:pStyle w:val="Heading1"/>
        <w:spacing w:after="200"/>
      </w:pPr>
      <w:r>
        <w:t>5. Data Verification Workflow (Phase 2)</w:t>
      </w:r>
    </w:p>
    <w:p w14:paraId="7275C59A" w14:textId="77777777" w:rsidR="00ED2DB4" w:rsidRDefault="00000000">
      <w:pPr>
        <w:spacing w:after="200"/>
        <w:jc w:val="both"/>
      </w:pPr>
      <w:r>
        <w:t>Phase 2 engages authoritative sources and domain experts to validate cleaned data against known information, cross-reference against reliable references, and identify remaining errors.</w:t>
      </w:r>
    </w:p>
    <w:p w14:paraId="2B2A94D1" w14:textId="77777777" w:rsidR="00ED2DB4" w:rsidRDefault="00000000">
      <w:pPr>
        <w:pStyle w:val="Heading2"/>
        <w:spacing w:after="200"/>
      </w:pPr>
      <w:r>
        <w:t>5.1 Geographic Verification</w:t>
      </w:r>
    </w:p>
    <w:p w14:paraId="1B9BD0BF" w14:textId="77777777" w:rsidR="00ED2DB4" w:rsidRDefault="00000000">
      <w:pPr>
        <w:spacing w:after="200"/>
        <w:jc w:val="both"/>
      </w:pPr>
      <w:r>
        <w:t>[object Object] Validate existing geographic data and prepare for targeted geocoding of missing coordinates.</w:t>
      </w:r>
    </w:p>
    <w:p w14:paraId="43A3F96A" w14:textId="77777777" w:rsidR="00ED2DB4" w:rsidRDefault="00000000">
      <w:pPr>
        <w:spacing w:after="200"/>
        <w:jc w:val="both"/>
      </w:pPr>
      <w:r>
        <w:t>[object Object] (1) For the 430 records with existing latitude values and 400 with longitude values, cross-check coordinates against known reference points (city centroids, historical administrative centers) to identify outliers or obvious errors. Records whose coordinates place them &gt;50 km from the stated city will be flagged for review; (2) Verify that all coordinates fall within modern German and Austrian bounding boxes and correspond to reasonable locations within the stated city/region; (3) Cross-check city and federal state assignments against historical administrative boundaries (noting that administrative divisions changed during the 1933-1945 period due to Nazi territorial reorganizations).</w:t>
      </w:r>
    </w:p>
    <w:p w14:paraId="04A44309" w14:textId="77777777" w:rsidR="00ED2DB4" w:rsidRDefault="00000000">
      <w:pPr>
        <w:spacing w:after="200"/>
        <w:jc w:val="both"/>
      </w:pPr>
      <w:r>
        <w:t>[object Object] German administrative divisions changed during the Nazi period through annexations (Austria, Sudetenland) and territorial reorganizations. For Austrian records, we must verify that pre-Anschluss (pre-March 1938) administrative data is used appropriately. We will reference historical maps and boundary datasets to ensure coordinates and administrative assignments are consistent with the historical period.</w:t>
      </w:r>
    </w:p>
    <w:p w14:paraId="2CAC567C" w14:textId="77777777" w:rsidR="00ED2DB4" w:rsidRDefault="00000000">
      <w:pPr>
        <w:spacing w:after="200"/>
        <w:jc w:val="both"/>
      </w:pPr>
      <w:r>
        <w:t>[object Object] QGIS, spatial validation scripts, historical administrative boundary data, Germany/Austria digital boundary files</w:t>
      </w:r>
    </w:p>
    <w:p w14:paraId="6A7E9EF2" w14:textId="77777777" w:rsidR="00ED2DB4" w:rsidRDefault="00000000">
      <w:pPr>
        <w:spacing w:after="200"/>
        <w:jc w:val="both"/>
      </w:pPr>
      <w:r>
        <w:t>[object Object] Validation report identifying coordinate inconsistencies; flagged records for expert review; confirmed geographic reference data for use in Phase 3 geocoding.</w:t>
      </w:r>
    </w:p>
    <w:p w14:paraId="16A4AA32" w14:textId="77777777" w:rsidR="00ED2DB4" w:rsidRDefault="00000000">
      <w:pPr>
        <w:pStyle w:val="Heading2"/>
        <w:spacing w:after="200"/>
      </w:pPr>
      <w:r>
        <w:t>5.2 Cross-Reference Verification Against Authoritative Sources</w:t>
      </w:r>
    </w:p>
    <w:p w14:paraId="4621F271" w14:textId="77777777" w:rsidR="00ED2DB4" w:rsidRDefault="00000000">
      <w:pPr>
        <w:spacing w:after="200"/>
        <w:jc w:val="both"/>
      </w:pPr>
      <w:r>
        <w:t>[object Object] Lexikon der jüdischen Gemeinden im deutschen Sprachraum (Alicke, 2008). This comprehensive reference work describes all known German and Austrian Jewish communities in the modern period, with historical information extending back centuries. The lexicon includes community histories, synagogue locations, and documentation of institutional fates during the Holocaust. Approximately 1,605 of our 1,895 records (84.7%) are already marked as corresponding to entries in the Alicke lexicon.</w:t>
      </w:r>
    </w:p>
    <w:p w14:paraId="1F5EAE52" w14:textId="77777777" w:rsidR="00ED2DB4" w:rsidRDefault="00000000">
      <w:pPr>
        <w:spacing w:after="200"/>
        <w:jc w:val="both"/>
      </w:pPr>
      <w:r>
        <w:t>[object Object] (1) Germania Judaica Volume III: The Encyclopaedia of Jewish Communities in Germany (from Middle Ages to 1815), with modern supplement covering to 1933, covering communities that continued into the modern period; (2) Pinkas Hakehillot (Yad Vashem Encyclopedia of Jewish Communities): Comprehensive records of Jewish communities prepared by the Israeli institution Yad Vashem, based on survivor testimonies and archival research, particularly strong on community demographics and institutional organization; (3) Yad Vashem Encyclopedia of Jewish Communities in Germany; (4) Jewish Virtual Library community profiles and institutional directories; (5) EHRI (European Holocaust Research Infrastructure) Portal, which aggregates archival documents, oral histories, and scholarly descriptions of Jewish communities and institutional destructions.</w:t>
      </w:r>
    </w:p>
    <w:p w14:paraId="0E524E64" w14:textId="77777777" w:rsidR="00ED2DB4" w:rsidRDefault="00000000">
      <w:pPr>
        <w:spacing w:after="200"/>
        <w:jc w:val="both"/>
      </w:pPr>
      <w:r>
        <w:t xml:space="preserve">[object Object] We will conduct two complementary verification strategies: (a) Systematic verification of all Austrian records: Austria's smaller total size and well-documented archival record permit comprehensive verification of all Austrian entries against reference sources. Target: 100% verification of Austrian subset (approximately 400-500 records); (b) Random sampling verification of German records: For the larger German dataset, conduct stratified random sampling, selecting 10% of records systematically across all Bundesländer (approximately 190 records). For sampled records, verify against Alicke, cross-check institutional details, confirm </w:t>
      </w:r>
      <w:r>
        <w:lastRenderedPageBreak/>
        <w:t>geographic location, and validate destruction claims. Use findings to assess error rates and identify systematic patterns of error.</w:t>
      </w:r>
    </w:p>
    <w:p w14:paraId="06961A90" w14:textId="77777777" w:rsidR="00ED2DB4" w:rsidRDefault="00000000">
      <w:pPr>
        <w:spacing w:after="200"/>
        <w:jc w:val="both"/>
      </w:pPr>
      <w:r>
        <w:t>[object Object] Alicke lexicon (printed and digital versions), EHRI Portal, Yad Vashem databases, spreadsheet tracking, expert historian consultation</w:t>
      </w:r>
    </w:p>
    <w:p w14:paraId="4785BDAF" w14:textId="77777777" w:rsidR="00ED2DB4" w:rsidRDefault="00000000">
      <w:pPr>
        <w:spacing w:after="200"/>
        <w:jc w:val="both"/>
      </w:pPr>
      <w:r>
        <w:t>[object Object] Verification completion rates by source and region; error detection report; updated records with sources and confidence ratings.</w:t>
      </w:r>
    </w:p>
    <w:p w14:paraId="70CAC554" w14:textId="77777777" w:rsidR="00ED2DB4" w:rsidRDefault="00000000">
      <w:pPr>
        <w:pStyle w:val="Heading2"/>
        <w:spacing w:after="200"/>
      </w:pPr>
      <w:r>
        <w:t>5.3 Expert Review Panel and Structured Annotation</w:t>
      </w:r>
    </w:p>
    <w:p w14:paraId="2E0110CB" w14:textId="77777777" w:rsidR="00ED2DB4" w:rsidRDefault="00000000">
      <w:pPr>
        <w:spacing w:after="200"/>
        <w:jc w:val="both"/>
      </w:pPr>
      <w:r>
        <w:t>[object Object] Engage subject matter experts to validate cleaned data, resolve ambiguities, and ensure historically accurate characterization of institutions and destruction.</w:t>
      </w:r>
    </w:p>
    <w:p w14:paraId="79EDF729" w14:textId="77777777" w:rsidR="00ED2DB4" w:rsidRDefault="00000000">
      <w:pPr>
        <w:spacing w:after="200"/>
        <w:jc w:val="both"/>
      </w:pPr>
      <w:r>
        <w:t>[object Object] Assemble a panel of approximately 4-6 historians with specializations in German-Jewish history, the Holocaust, and regional German/Austrian history: (1) Two general historians of German and Austrian Jewish communities; (2) One specialist in the Holocaust and violence studies; (3) Regional experts (one for each major region: Rhineland/Westphalia, Hesse, Bavaria, Baden-Württemberg, and Austria). Panel members should have publication records demonstrating expertise and familiarity with primary sources and reference works.</w:t>
      </w:r>
    </w:p>
    <w:p w14:paraId="392FE1AC" w14:textId="77777777" w:rsidR="00ED2DB4" w:rsidRDefault="00000000">
      <w:pPr>
        <w:spacing w:after="200"/>
        <w:jc w:val="both"/>
      </w:pPr>
      <w:r>
        <w:t>[object Object] Flagged records and ambiguous cases will be presented to the expert panel using a standardized annotation template capturing: (1) Original database values; (2) Verification status against reference sources; (3) Specific questions or uncertainties; (4) Expert response options (confirm / flag as error / request additional research / uncertain); (5) Expert annotations and confidence ratings. Responses will be tracked and reconciled.</w:t>
      </w:r>
    </w:p>
    <w:p w14:paraId="7CF14E09" w14:textId="77777777" w:rsidR="00ED2DB4" w:rsidRDefault="00000000">
      <w:pPr>
        <w:spacing w:after="200"/>
        <w:jc w:val="both"/>
      </w:pPr>
      <w:r>
        <w:t>[object Object] Digital annotation system (spreadsheet or specialized database), video conferencing for expert consultation, reference library access</w:t>
      </w:r>
    </w:p>
    <w:p w14:paraId="504BA535" w14:textId="77777777" w:rsidR="00ED2DB4" w:rsidRDefault="00000000">
      <w:pPr>
        <w:spacing w:after="200"/>
        <w:jc w:val="both"/>
      </w:pPr>
      <w:r>
        <w:t>[object Object] Verified and expert-reviewed dataset with confidence ratings per record; annotations documenting uncertain or contested cases; expert review report.</w:t>
      </w:r>
    </w:p>
    <w:p w14:paraId="010DB85A" w14:textId="77777777" w:rsidR="00ED2DB4" w:rsidRDefault="00000000">
      <w:pPr>
        <w:pStyle w:val="Heading1"/>
        <w:spacing w:after="200"/>
      </w:pPr>
      <w:r>
        <w:t>6. Data Enrichment Workflow (Phase 3)</w:t>
      </w:r>
    </w:p>
    <w:p w14:paraId="0665FCDC" w14:textId="77777777" w:rsidR="00ED2DB4" w:rsidRDefault="00000000">
      <w:pPr>
        <w:spacing w:after="200"/>
        <w:jc w:val="both"/>
      </w:pPr>
      <w:r>
        <w:t>Phase 3 transforms the verified and cleaned dataset by adding geographic coordinates to the majority of records and by enriching the dataset with additional institutional and contextual variables.</w:t>
      </w:r>
    </w:p>
    <w:p w14:paraId="11A24530" w14:textId="77777777" w:rsidR="00ED2DB4" w:rsidRDefault="00000000">
      <w:pPr>
        <w:pStyle w:val="Heading2"/>
        <w:spacing w:after="200"/>
      </w:pPr>
      <w:r>
        <w:t>6.1 Comprehensive Geocoding to Complete Geographic Coverage</w:t>
      </w:r>
    </w:p>
    <w:p w14:paraId="1945096F" w14:textId="77777777" w:rsidR="00ED2DB4" w:rsidRDefault="00000000">
      <w:pPr>
        <w:spacing w:after="200"/>
        <w:jc w:val="both"/>
      </w:pPr>
      <w:r>
        <w:t>[object Object] Assign geographic coordinates (latitude, longitude) to the 1,465 records currently lacking coordinates, raising geographic coverage from 22.7% to &gt;85% of total records.</w:t>
      </w:r>
    </w:p>
    <w:p w14:paraId="0887B1FE" w14:textId="77777777" w:rsidR="00ED2DB4" w:rsidRDefault="00000000">
      <w:pPr>
        <w:spacing w:after="200"/>
        <w:jc w:val="both"/>
      </w:pPr>
      <w:r>
        <w:t>[object Object] We will employ a three-tier geocoding strategy, progressing from most to least precise:</w:t>
      </w:r>
    </w:p>
    <w:p w14:paraId="58C4241E" w14:textId="77777777" w:rsidR="00ED2DB4" w:rsidRDefault="00000000">
      <w:pPr>
        <w:spacing w:after="200"/>
        <w:jc w:val="both"/>
      </w:pPr>
      <w:r>
        <w:t>(1) Precise address geocoding: For records with complete street addresses, use Nominatim (OpenStreetMap) with historical street name mapping to obtain precise coordinates. Nominatim is preferred for historical accuracy because it is community-maintained, open-source, and allows customization with historical street names. Cross-reference results with Google Maps Geocoding API as validation. Records geocoded successfully to precise address level receive confidence score 'Precise_Address'.</w:t>
      </w:r>
    </w:p>
    <w:p w14:paraId="77AA75FD" w14:textId="77777777" w:rsidR="00ED2DB4" w:rsidRDefault="00000000">
      <w:pPr>
        <w:spacing w:after="200"/>
        <w:jc w:val="both"/>
      </w:pPr>
      <w:r>
        <w:t>(2) City centroid fallback: For records lacking street addresses or where address geocoding fails, assign coordinates to the centroid of the municipality/city. This is still valuable for spatial analysis and mapping, though less precise. These records receive confidence score 'City_Centroid'.</w:t>
      </w:r>
    </w:p>
    <w:p w14:paraId="617D6065" w14:textId="77777777" w:rsidR="00ED2DB4" w:rsidRDefault="00000000">
      <w:pPr>
        <w:spacing w:after="200"/>
        <w:jc w:val="both"/>
      </w:pPr>
      <w:r>
        <w:t>(3) Manual geocoding for special cases: For records where automated methods fail but historical information suggests a specific location (e.g., institution in a particular neighborhood known from sources), allow GIS specialist to research and manually assign coordinates with documentation. These receive confidence score 'Manual_Historical_Research'.</w:t>
      </w:r>
    </w:p>
    <w:p w14:paraId="21E7FBB4" w14:textId="77777777" w:rsidR="00ED2DB4" w:rsidRDefault="00000000">
      <w:pPr>
        <w:spacing w:after="200"/>
        <w:jc w:val="both"/>
      </w:pPr>
      <w:r>
        <w:t xml:space="preserve">[object Object] Create a mapping table of historical street names to modern names for locations where streets have been renamed since 1938. This is essential because many streets in Germany were renamed during or after WWII </w:t>
      </w:r>
      <w:r>
        <w:lastRenderedPageBreak/>
        <w:t>(either erasing Nazi nomenclature or due to post-war territorial reorganizations). The mapping will include: original 1938 street name, modern street name, city, time period of validity.</w:t>
      </w:r>
    </w:p>
    <w:p w14:paraId="5BAFE947" w14:textId="77777777" w:rsidR="00ED2DB4" w:rsidRDefault="00000000">
      <w:pPr>
        <w:spacing w:after="200"/>
        <w:jc w:val="both"/>
      </w:pPr>
      <w:r>
        <w:t>[object Object] Assign a six-point confidence score to each geocoded location: (1) Precise_Address (coordinates derived from full street address); (2) City_Centroid (coordinates from city center); (3) Regional_Centroid (coordinates from Landkreis/district center); (4) Manual_Research (historian-verified from historical records); (5) Pre_Existing (coordinates already in database); (6) Unable_to_Geocode (record remains without coordinates despite effort).</w:t>
      </w:r>
    </w:p>
    <w:p w14:paraId="06952E2D" w14:textId="77777777" w:rsidR="00ED2DB4" w:rsidRDefault="00000000">
      <w:pPr>
        <w:spacing w:after="200"/>
        <w:jc w:val="both"/>
      </w:pPr>
      <w:r>
        <w:t>[object Object] QGIS (geographic information system), Nominatim/OpenStreetMap geocoding API, Google Maps Geocoding API, historical street name dictionary, Python geopy library for batch geocoding</w:t>
      </w:r>
    </w:p>
    <w:p w14:paraId="24191E9C" w14:textId="77777777" w:rsidR="00ED2DB4" w:rsidRDefault="00000000">
      <w:pPr>
        <w:spacing w:after="200"/>
        <w:jc w:val="both"/>
      </w:pPr>
      <w:r>
        <w:t>[object Object] Latitude and Longitude fields populated for &gt;85% of records; Geocoding_Confidence field indicating precision level for each coordinate; Geocoding_Notes field documenting methodology and any special considerations; data quality report on geocoding success rates by region and method.</w:t>
      </w:r>
    </w:p>
    <w:p w14:paraId="72B80B3A" w14:textId="77777777" w:rsidR="00ED2DB4" w:rsidRDefault="00000000">
      <w:pPr>
        <w:pStyle w:val="Heading2"/>
        <w:spacing w:after="200"/>
      </w:pPr>
      <w:r>
        <w:t>6.2 Institutional Type and Categorical Enrichment</w:t>
      </w:r>
    </w:p>
    <w:p w14:paraId="1993B7FE" w14:textId="77777777" w:rsidR="00ED2DB4" w:rsidRDefault="00000000">
      <w:pPr>
        <w:spacing w:after="200"/>
        <w:jc w:val="both"/>
      </w:pPr>
      <w:r>
        <w:t>[object Object] Identify institution type and add contextual demographic and institutional variables to enable richer analysis.</w:t>
      </w:r>
    </w:p>
    <w:p w14:paraId="530651C8" w14:textId="77777777" w:rsidR="00ED2DB4" w:rsidRDefault="00000000">
      <w:pPr>
        <w:spacing w:after="200"/>
        <w:jc w:val="both"/>
      </w:pPr>
      <w:r>
        <w:t>[object Object] Create a new field Institution_Type that classifies each record into one or more categories: (1) Synagogue (main prayer house, often architecturally significant); (2) Prayer_House (smaller Betsaal or prayer room); (3) Community_Center (community administration or social service facility); (4) School (Jewish educational institution); (5) Mikveh (ritual bath); (6) Cemetery (Jewish burial ground); (7) Other (includes social welfare facilities, hospitals, etc.). Many institutions may have served multiple functions; the field should allow multiple values. Populate this field through consultation of Alicke and other reference sources, and through expert assessment.</w:t>
      </w:r>
    </w:p>
    <w:p w14:paraId="347C3C93" w14:textId="77777777" w:rsidR="00ED2DB4" w:rsidRDefault="00000000">
      <w:pPr>
        <w:spacing w:after="200"/>
        <w:jc w:val="both"/>
      </w:pPr>
      <w:r>
        <w:t>[object Object] Where available from Alicke, add Congregation_Size_1933 (number of Jewish residents in community based on 1933 census or best estimate). This provides important context for understanding institution-community fit and may correlate with institutional survival.</w:t>
      </w:r>
    </w:p>
    <w:p w14:paraId="1D2CA1DB" w14:textId="77777777" w:rsidR="00ED2DB4" w:rsidRDefault="00000000">
      <w:pPr>
        <w:spacing w:after="200"/>
        <w:jc w:val="both"/>
      </w:pPr>
      <w:r>
        <w:t>[object Object] Link 1933 German Census data (Statistisches Reichsamt) to extract Jewish population figures for each municipality. This creates City_Jewish_Population_1933 and derived field Population_Size_Category (e.g., &gt;5000 / 1000-5000 / 100-1000 / &lt;100), enabling comparative analysis of patterns by community size.</w:t>
      </w:r>
    </w:p>
    <w:p w14:paraId="544A08DA" w14:textId="77777777" w:rsidR="00ED2DB4" w:rsidRDefault="00000000">
      <w:pPr>
        <w:spacing w:after="200"/>
        <w:jc w:val="both"/>
      </w:pPr>
      <w:r>
        <w:t>[object Object] Alicke and other references, German Federal Statistical Office (Statistisches Reichsamt) census archives, USHMM institutional database, Yad Vashem database cross-reference</w:t>
      </w:r>
    </w:p>
    <w:p w14:paraId="3742792C" w14:textId="77777777" w:rsidR="00ED2DB4" w:rsidRDefault="00000000">
      <w:pPr>
        <w:spacing w:after="200"/>
        <w:jc w:val="both"/>
      </w:pPr>
      <w:r>
        <w:t>[object Object] Institution_Type field with categorization; Congregation_Size fields; demographic variables; data completeness report for new fields.</w:t>
      </w:r>
    </w:p>
    <w:p w14:paraId="0C2F6EFE" w14:textId="77777777" w:rsidR="00ED2DB4" w:rsidRDefault="00000000">
      <w:pPr>
        <w:pStyle w:val="Heading2"/>
        <w:spacing w:after="200"/>
      </w:pPr>
      <w:r>
        <w:t>6.3 Perpetrator and Destruction Context Enrichment</w:t>
      </w:r>
    </w:p>
    <w:p w14:paraId="12C1D03B" w14:textId="77777777" w:rsidR="00ED2DB4" w:rsidRDefault="00000000">
      <w:pPr>
        <w:spacing w:after="200"/>
        <w:jc w:val="both"/>
      </w:pPr>
      <w:r>
        <w:t>[object Object] Where documented, add information about perpetrators and circumstantial context of destruction.</w:t>
      </w:r>
    </w:p>
    <w:p w14:paraId="305E25A0" w14:textId="77777777" w:rsidR="00ED2DB4" w:rsidRDefault="00000000">
      <w:pPr>
        <w:spacing w:after="200"/>
        <w:jc w:val="both"/>
      </w:pPr>
      <w:r>
        <w:t>[object Object] For records where destruction is documented, research and record where possible the documented or probable perpetrating group(s): (1) SA (Stormtroopers); (2) SS; (3) Local mob / civilian population; (4) Nazi authorities / administration; (5) Unknown/undocumented. Create Perpetrator_Type field allowing multiple values, with Perpetrator_Source documenting basis for attribution (archival document, scholarly source, oral history, etc.).</w:t>
      </w:r>
    </w:p>
    <w:p w14:paraId="26D63BD3" w14:textId="77777777" w:rsidR="00ED2DB4" w:rsidRDefault="00000000">
      <w:pPr>
        <w:spacing w:after="200"/>
        <w:jc w:val="both"/>
      </w:pPr>
      <w:r>
        <w:t>[object Object] Add fields describing the fate of destroyed buildings and current status: (1) Building_Fate_Post_1938: Was the building demolished, converted to other use, destroyed during WWII bombing, or unknown? (2) Current_Status: Does the building still stand today? If destroyed, when? If standing, current use? (3) Memorial_Status: Is there currently a memorial plaque, art installation, or other commemoration on the site?</w:t>
      </w:r>
    </w:p>
    <w:p w14:paraId="03C1D92F" w14:textId="77777777" w:rsidR="00ED2DB4" w:rsidRDefault="00000000">
      <w:pPr>
        <w:spacing w:after="200"/>
        <w:jc w:val="both"/>
      </w:pPr>
      <w:r>
        <w:t>[object Object] USHMM institutional database, EHRI Portal, scholarly Holocaust literature, municipal records and memorial registries (Stolpersteine project, etc.), Google Street View for current visual verification</w:t>
      </w:r>
    </w:p>
    <w:p w14:paraId="3EB59726" w14:textId="77777777" w:rsidR="00ED2DB4" w:rsidRDefault="00000000">
      <w:pPr>
        <w:spacing w:after="200"/>
        <w:jc w:val="both"/>
      </w:pPr>
      <w:r>
        <w:lastRenderedPageBreak/>
        <w:t>[object Object] Perpetrator_Type, Perpetrator_Source, Building_Fate, Current_Status, Memorial_Status fields; sources documenting perpetrator and fate information.</w:t>
      </w:r>
    </w:p>
    <w:p w14:paraId="577453B0" w14:textId="77777777" w:rsidR="00ED2DB4" w:rsidRDefault="00000000">
      <w:pPr>
        <w:pStyle w:val="Heading2"/>
        <w:spacing w:after="200"/>
      </w:pPr>
      <w:r>
        <w:t>6.4 Linking to External Authoritative Datasets</w:t>
      </w:r>
    </w:p>
    <w:p w14:paraId="24BB5A56" w14:textId="77777777" w:rsidR="00ED2DB4" w:rsidRDefault="00000000">
      <w:pPr>
        <w:spacing w:after="200"/>
        <w:jc w:val="both"/>
      </w:pPr>
      <w:r>
        <w:t>[object Object] Establish documented links to records in major Holocaust and Jewish historical databases, enabling cross-validation and enrichment.</w:t>
      </w:r>
    </w:p>
    <w:p w14:paraId="42854F16" w14:textId="77777777" w:rsidR="00ED2DB4" w:rsidRDefault="00000000">
      <w:pPr>
        <w:spacing w:after="200"/>
        <w:jc w:val="both"/>
      </w:pPr>
      <w:r>
        <w:t>[object Object] (1) Alicke Lexicon: Create Alicke_ID field linking to entries in the 2008 lexicon edition (already partially available in our Lexicon column); (2) USHMM Institutional Database: Where entries exist, link USHMM_ID enabling enrichment with USHMM holdings; (3) Yad Vashem Names Database: For larger communities, cross-reference community leadership names to identify potential documentary links; (4) EHRI Portal: Create EHRI_Collection_IDs where documents relevant to specific institutions are indexed.</w:t>
      </w:r>
    </w:p>
    <w:p w14:paraId="0F37E187" w14:textId="77777777" w:rsidR="00ED2DB4" w:rsidRDefault="00000000">
      <w:pPr>
        <w:spacing w:after="200"/>
        <w:jc w:val="both"/>
      </w:pPr>
      <w:r>
        <w:t>[object Object] For each enriched variable, document: source database, date accessed, linking method (exact ID match vs. fuzzy matching), confidence in link accuracy.</w:t>
      </w:r>
    </w:p>
    <w:p w14:paraId="6DD3A60C" w14:textId="77777777" w:rsidR="00ED2DB4" w:rsidRDefault="00000000">
      <w:pPr>
        <w:spacing w:after="200"/>
        <w:jc w:val="both"/>
      </w:pPr>
      <w:r>
        <w:t>[object Object] Direct API access to databases where available, manual cross-reference for complex records, spreadsheet tracking</w:t>
      </w:r>
    </w:p>
    <w:p w14:paraId="6B96086D" w14:textId="77777777" w:rsidR="00ED2DB4" w:rsidRDefault="00000000">
      <w:pPr>
        <w:spacing w:after="200"/>
        <w:jc w:val="both"/>
      </w:pPr>
      <w:r>
        <w:t>[object Object] New ID fields linking to external databases; comprehensive source documentation; data quality report on link success rates.</w:t>
      </w:r>
    </w:p>
    <w:p w14:paraId="75CE375A" w14:textId="77777777" w:rsidR="00ED2DB4" w:rsidRDefault="00000000">
      <w:pPr>
        <w:pStyle w:val="Heading2"/>
        <w:spacing w:after="200"/>
      </w:pPr>
      <w:r>
        <w:t>6.5 Administrative Boundary Harmonization</w:t>
      </w:r>
    </w:p>
    <w:p w14:paraId="032E7E58" w14:textId="77777777" w:rsidR="00ED2DB4" w:rsidRDefault="00000000">
      <w:pPr>
        <w:spacing w:after="200"/>
        <w:jc w:val="both"/>
      </w:pPr>
      <w:r>
        <w:t>[object Object] Ensure consistency of Federal State (Bundesland) designation across time period and territory, accounting for Anschluss and pre-1938 annexations.</w:t>
      </w:r>
    </w:p>
    <w:p w14:paraId="29B1B92E" w14:textId="77777777" w:rsidR="00ED2DB4" w:rsidRDefault="00000000">
      <w:pPr>
        <w:spacing w:after="200"/>
        <w:jc w:val="both"/>
      </w:pPr>
      <w:r>
        <w:t>[object Object] Create multiple administrative representations: (1) Federal_State_1938: Original designation in 1938 using contemporary administrative divisions (relevant for Austrian territories after March 1938, and German territories after Sudetenland annexation); (2) Federal_State_Modern: Mapping of 1938 units to current Bundesland where applicable; (3) Federal_State_Category: Broader regional groupings (North, West/Rhine, South, Austria) for comparative analysis. For Austrian records, document that they represent post-Anschluss territories (March 1938 onward).</w:t>
      </w:r>
    </w:p>
    <w:p w14:paraId="2219F0EF" w14:textId="77777777" w:rsidR="00ED2DB4" w:rsidRDefault="00000000">
      <w:pPr>
        <w:spacing w:after="200"/>
        <w:jc w:val="both"/>
      </w:pPr>
      <w:r>
        <w:t>[object Object] Historical maps, administrative reference materials, QGIS spatial joining with boundary files</w:t>
      </w:r>
    </w:p>
    <w:p w14:paraId="583CB56C" w14:textId="77777777" w:rsidR="00ED2DB4" w:rsidRDefault="00000000">
      <w:pPr>
        <w:spacing w:after="200"/>
        <w:jc w:val="both"/>
      </w:pPr>
      <w:r>
        <w:t>[object Object] Multiple Federal_State fields capturing both historical and modern administrative designations; documentation of boundary changes and mapping rules.</w:t>
      </w:r>
    </w:p>
    <w:p w14:paraId="2C08DDB5" w14:textId="77777777" w:rsidR="00ED2DB4" w:rsidRDefault="00000000">
      <w:pPr>
        <w:pStyle w:val="Heading1"/>
        <w:spacing w:after="200"/>
      </w:pPr>
      <w:r>
        <w:t>7. Deduplication Strategy (Phase 4)</w:t>
      </w:r>
    </w:p>
    <w:p w14:paraId="6B2E2AB0" w14:textId="77777777" w:rsidR="00ED2DB4" w:rsidRDefault="00000000">
      <w:pPr>
        <w:spacing w:after="200"/>
        <w:jc w:val="both"/>
      </w:pPr>
      <w:r>
        <w:t>Following data cleaning, verification, and enrichment, Phase 4 focuses on identifying and merging remaining duplicate records with careful attention to preserving all available information.</w:t>
      </w:r>
    </w:p>
    <w:p w14:paraId="65289C25" w14:textId="77777777" w:rsidR="00ED2DB4" w:rsidRDefault="00000000">
      <w:pPr>
        <w:pStyle w:val="Heading2"/>
        <w:spacing w:after="200"/>
      </w:pPr>
      <w:r>
        <w:t>7.1 Refined Duplicate Detection Using Advanced Linkage Methods</w:t>
      </w:r>
    </w:p>
    <w:p w14:paraId="61FB1B2B" w14:textId="77777777" w:rsidR="00ED2DB4" w:rsidRDefault="00000000">
      <w:pPr>
        <w:spacing w:after="200"/>
        <w:jc w:val="both"/>
      </w:pPr>
      <w:r>
        <w:t>[object Object] To reduce computational complexity of comparing 1,900+ records, use blocking on (City, first 3 characters of Street). This reduces the comparison space to pairs where city and street prefix match, which is expected to encompass nearly all duplicates while eliminating most non-duplicates from comparison.</w:t>
      </w:r>
    </w:p>
    <w:p w14:paraId="794E37C1" w14:textId="77777777" w:rsidR="00ED2DB4" w:rsidRDefault="00000000">
      <w:pPr>
        <w:spacing w:after="200"/>
        <w:jc w:val="both"/>
      </w:pPr>
      <w:r>
        <w:t>[object Object] For blocked pairs, calculate similarity scores using multiple string matching methods: (1) Jaro-Winkler distance on full street names (optimal for misspellings and rearrangements); (2) Levenshtein distance as validation; (3) Exact match on city and institution type (if available). Combine scores into overall similarity metric.</w:t>
      </w:r>
    </w:p>
    <w:p w14:paraId="48BDDFF9" w14:textId="77777777" w:rsidR="00ED2DB4" w:rsidRDefault="00000000">
      <w:pPr>
        <w:spacing w:after="200"/>
        <w:jc w:val="both"/>
      </w:pPr>
      <w:r>
        <w:t>[object Object] Flag all pairs with combined similarity score &gt;0.85 as potential duplicates. Flag additionally any pairs with identical city + identical coordinates (if coordinates present), which strongly suggest duplication.</w:t>
      </w:r>
    </w:p>
    <w:p w14:paraId="37462CD9" w14:textId="77777777" w:rsidR="00ED2DB4" w:rsidRDefault="00000000">
      <w:pPr>
        <w:spacing w:after="200"/>
        <w:jc w:val="both"/>
      </w:pPr>
      <w:r>
        <w:lastRenderedPageBreak/>
        <w:t>[object Object] Python recordlinkage library or dedupe.io (specialized deduplication tool). The recordlinkage library is open-source and integrates well with pandas. Dedupe.io is commercial but provides interactive review interface for flagged pairs.</w:t>
      </w:r>
    </w:p>
    <w:p w14:paraId="1A334F0F" w14:textId="77777777" w:rsidR="00ED2DB4" w:rsidRDefault="00000000">
      <w:pPr>
        <w:spacing w:after="200"/>
        <w:jc w:val="both"/>
      </w:pPr>
      <w:r>
        <w:t>[object Object] List of all flagged duplicate pairs with similarity scores and reasoning; spreadsheet for expert review.</w:t>
      </w:r>
    </w:p>
    <w:p w14:paraId="3D6CBE34" w14:textId="77777777" w:rsidR="00ED2DB4" w:rsidRDefault="00000000">
      <w:pPr>
        <w:pStyle w:val="Heading2"/>
        <w:spacing w:after="200"/>
      </w:pPr>
      <w:r>
        <w:t>7.2 Expert Review and Merge Resolution</w:t>
      </w:r>
    </w:p>
    <w:p w14:paraId="0FC99CDF" w14:textId="77777777" w:rsidR="00ED2DB4" w:rsidRDefault="00000000">
      <w:pPr>
        <w:spacing w:after="200"/>
        <w:jc w:val="both"/>
      </w:pPr>
      <w:r>
        <w:t>[object Object] Flagged duplicate pairs will be presented to project team and expert panel with original data from both potential duplicate records. For each flagged pair, determine: (1) Is this actually a duplicate (same institution recorded twice)? Or are these two distinct institutions with similar names/locations? (2) If duplicate, which record contains more complete information? (3) Are there any conflicts in information between the two records that require special handling?</w:t>
      </w:r>
    </w:p>
    <w:p w14:paraId="4493D188" w14:textId="77777777" w:rsidR="00ED2DB4" w:rsidRDefault="00000000">
      <w:pPr>
        <w:spacing w:after="200"/>
        <w:jc w:val="both"/>
      </w:pPr>
      <w:r>
        <w:t>[object Object] When merging duplicates, adopt these rules: (1) Preserve record with more complete information (fewer null values); (2) For conflicting values (e.g., different Street addresses or damage codes for same institution), preserve the entry with higher confidence or source priority; (3) For categorical fields, preserve the more specific or detailed category; (4) For coordinates, prefer precise address-derived coordinates over city centroids; (5) For all fields, document the merge decision and preserve both original values in a 'Data_Merge_Notes' field.</w:t>
      </w:r>
    </w:p>
    <w:p w14:paraId="75DA22EC" w14:textId="77777777" w:rsidR="00ED2DB4" w:rsidRDefault="00000000">
      <w:pPr>
        <w:spacing w:after="200"/>
        <w:jc w:val="both"/>
      </w:pPr>
      <w:r>
        <w:t>[object Object] Based on preliminary review, we estimate 3-5% of records are duplicates (57-95 records). This conservative estimate suggests duplicates will not dramatically change sample size but their resolution is important for data quality and analysis accuracy.</w:t>
      </w:r>
    </w:p>
    <w:p w14:paraId="4C7AB3BE" w14:textId="77777777" w:rsidR="00ED2DB4" w:rsidRDefault="00000000">
      <w:pPr>
        <w:spacing w:after="200"/>
        <w:jc w:val="both"/>
      </w:pPr>
      <w:r>
        <w:t>[object Object] Cleaned dataset with duplicates merged; merge decision log documenting all resolutions; final record count and deduplication statistics.</w:t>
      </w:r>
    </w:p>
    <w:p w14:paraId="1A4E4B2E" w14:textId="77777777" w:rsidR="00ED2DB4" w:rsidRDefault="00000000">
      <w:pPr>
        <w:pStyle w:val="Heading1"/>
        <w:spacing w:after="200"/>
      </w:pPr>
      <w:r>
        <w:t>8. Analytical Readiness Criteria (Phase 5)</w:t>
      </w:r>
    </w:p>
    <w:p w14:paraId="48A6DE4E" w14:textId="77777777" w:rsidR="00ED2DB4" w:rsidRDefault="00000000">
      <w:pPr>
        <w:spacing w:after="200"/>
        <w:jc w:val="both"/>
      </w:pPr>
      <w:r>
        <w:t>Phase 5 establishes and validates a comprehensive set of quality criteria ensuring the dataset is suitable for publication, sharing, and publication-quality research.</w:t>
      </w:r>
    </w:p>
    <w:p w14:paraId="44AB31D3" w14:textId="77777777" w:rsidR="00ED2DB4" w:rsidRDefault="00000000">
      <w:pPr>
        <w:pStyle w:val="Heading2"/>
        <w:spacing w:after="200"/>
      </w:pPr>
      <w:r>
        <w:t>8.1 Completeness Targets</w:t>
      </w:r>
    </w:p>
    <w:p w14:paraId="76A33D2C" w14:textId="77777777" w:rsidR="00ED2DB4" w:rsidRDefault="00000000">
      <w:pPr>
        <w:spacing w:after="200"/>
        <w:jc w:val="both"/>
      </w:pPr>
      <w:r>
        <w:t>Target minimum completeness levels by field:</w:t>
      </w:r>
    </w:p>
    <w:p w14:paraId="6F6EB2CC" w14:textId="77777777" w:rsidR="00ED2DB4" w:rsidRDefault="00000000">
      <w:pPr>
        <w:spacing w:after="200"/>
        <w:jc w:val="both"/>
      </w:pPr>
      <w:r>
        <w:t>• City: &gt;99% (expect 100%; essential for geographic analysis)</w:t>
      </w:r>
    </w:p>
    <w:p w14:paraId="04CE3905" w14:textId="77777777" w:rsidR="00ED2DB4" w:rsidRDefault="00000000">
      <w:pPr>
        <w:spacing w:after="200"/>
        <w:jc w:val="both"/>
      </w:pPr>
      <w:r>
        <w:t>• Federal State: &gt;99% (expect 100%)</w:t>
      </w:r>
    </w:p>
    <w:p w14:paraId="766E207F" w14:textId="77777777" w:rsidR="00ED2DB4" w:rsidRDefault="00000000">
      <w:pPr>
        <w:spacing w:after="200"/>
        <w:jc w:val="both"/>
      </w:pPr>
      <w:r>
        <w:t>• Street: &gt;95% (currently 86.5%; Phase 1 cleaning and enrichment will improve)</w:t>
      </w:r>
    </w:p>
    <w:p w14:paraId="79E1A45D" w14:textId="77777777" w:rsidR="00ED2DB4" w:rsidRDefault="00000000">
      <w:pPr>
        <w:spacing w:after="200"/>
        <w:jc w:val="both"/>
      </w:pPr>
      <w:r>
        <w:t>• End of Use / Destruction Date: &gt;95% (currently ~97%; parsing and standardization will achieve target)</w:t>
      </w:r>
    </w:p>
    <w:p w14:paraId="606B8A21" w14:textId="77777777" w:rsidR="00ED2DB4" w:rsidRDefault="00000000">
      <w:pPr>
        <w:spacing w:after="200"/>
        <w:jc w:val="both"/>
      </w:pPr>
      <w:r>
        <w:t>• Damage Code: &gt;98% (currently 97.6%; Phase 1 standardization will resolve remaining ambiguities)</w:t>
      </w:r>
    </w:p>
    <w:p w14:paraId="189F080E" w14:textId="77777777" w:rsidR="00ED2DB4" w:rsidRDefault="00000000">
      <w:pPr>
        <w:spacing w:after="200"/>
        <w:jc w:val="both"/>
      </w:pPr>
      <w:r>
        <w:t>• Coordinates (Lat/Long): &gt;75% (currently 22.7%; Phase 3 geocoding will dramatically improve)</w:t>
      </w:r>
    </w:p>
    <w:p w14:paraId="2804C26D" w14:textId="77777777" w:rsidR="00ED2DB4" w:rsidRDefault="00000000">
      <w:pPr>
        <w:spacing w:after="200"/>
        <w:jc w:val="both"/>
      </w:pPr>
      <w:r>
        <w:t>• Institution Type: &gt;90% (determined through research)</w:t>
      </w:r>
    </w:p>
    <w:p w14:paraId="59A3920F" w14:textId="77777777" w:rsidR="00ED2DB4" w:rsidRDefault="00000000">
      <w:pPr>
        <w:spacing w:after="200"/>
        <w:jc w:val="both"/>
      </w:pPr>
      <w:r>
        <w:t>• Destruction Documentation: &gt;95% (determined through reference sources)</w:t>
      </w:r>
    </w:p>
    <w:p w14:paraId="732727B5" w14:textId="77777777" w:rsidR="00ED2DB4" w:rsidRDefault="00000000">
      <w:pPr>
        <w:pStyle w:val="Heading2"/>
        <w:spacing w:after="200"/>
      </w:pPr>
      <w:r>
        <w:t>8.2 Consistency and Validity Verification</w:t>
      </w:r>
    </w:p>
    <w:p w14:paraId="402B37ED" w14:textId="77777777" w:rsidR="00ED2DB4" w:rsidRDefault="00000000">
      <w:pPr>
        <w:spacing w:after="200"/>
        <w:jc w:val="both"/>
      </w:pPr>
      <w:r>
        <w:t>[object Object] Automated validation scripts will verify: (1) All text categorical fields contain only canonical values from approved lists (no variant spellings); (2) All date fields are parseable as ISO 8601 dates; (3) All coordinates are numeric decimals with appropriate precision (6 decimal places = ~10cm precision); (4) No duplicate records remain (post-Phase 4); (5) Relationships between fields are logically consistent (e.g., an institution marked as 'Damaged_Code=0' should not have a destruction date in Kristallnacht period).</w:t>
      </w:r>
    </w:p>
    <w:p w14:paraId="550D4B99" w14:textId="77777777" w:rsidR="00ED2DB4" w:rsidRDefault="00000000">
      <w:pPr>
        <w:spacing w:after="200"/>
        <w:jc w:val="both"/>
      </w:pPr>
      <w:r>
        <w:lastRenderedPageBreak/>
        <w:t>[object Object] All coordinates must fall within established bounding boxes: Germany (6°E-15°E, 47°N-55°N) and Austria (10°E-17°E, 47°N-49°N). Coordinates outside these bounds will be flagged and corrected or removed.</w:t>
      </w:r>
    </w:p>
    <w:p w14:paraId="7A1A17E0" w14:textId="77777777" w:rsidR="00ED2DB4" w:rsidRDefault="00000000">
      <w:pPr>
        <w:spacing w:after="200"/>
        <w:jc w:val="both"/>
      </w:pPr>
      <w:r>
        <w:t>[object Object] All dates must fall within project scope (1933-1945, with focus on 1933-1938). Dates outside this range will be flagged and corrected through expert review.</w:t>
      </w:r>
    </w:p>
    <w:p w14:paraId="5612F0C6" w14:textId="77777777" w:rsidR="00ED2DB4" w:rsidRDefault="00000000">
      <w:pPr>
        <w:pStyle w:val="Heading2"/>
        <w:spacing w:after="200"/>
      </w:pPr>
      <w:r>
        <w:t>8.3 Documentation Requirements</w:t>
      </w:r>
    </w:p>
    <w:p w14:paraId="2FABB445" w14:textId="77777777" w:rsidR="00ED2DB4" w:rsidRDefault="00000000">
      <w:pPr>
        <w:spacing w:after="200"/>
        <w:jc w:val="both"/>
      </w:pPr>
      <w:r>
        <w:t>[object Object] Comprehensive documentation of all fields including: field name, data type, acceptable values (for categorical fields), null value handling, data source, derivation method (for calculated fields), constraints and validation rules. Dictionary will be provided in both human-readable format (Word/PDF) and machine-readable format (JSON schema).</w:t>
      </w:r>
    </w:p>
    <w:p w14:paraId="692F9AD3" w14:textId="77777777" w:rsidR="00ED2DB4" w:rsidRDefault="00000000">
      <w:pPr>
        <w:spacing w:after="200"/>
        <w:jc w:val="both"/>
      </w:pPr>
      <w:r>
        <w:t>[object Object] For each record, document: original data source(s), any transformations applied, cross-reference linkages to external databases, expert review and modifications, final confidence rating.</w:t>
      </w:r>
    </w:p>
    <w:p w14:paraId="62536FBC" w14:textId="77777777" w:rsidR="00ED2DB4" w:rsidRDefault="00000000">
      <w:pPr>
        <w:spacing w:after="200"/>
        <w:jc w:val="both"/>
      </w:pPr>
      <w:r>
        <w:t>[object Object] Comprehensive log of all modifications to the dataset during the five phases: what was changed, why, when, by whom. Enables transparency and audit trail.</w:t>
      </w:r>
    </w:p>
    <w:p w14:paraId="35F26C65" w14:textId="77777777" w:rsidR="00ED2DB4" w:rsidRDefault="00000000">
      <w:pPr>
        <w:spacing w:after="200"/>
        <w:jc w:val="both"/>
      </w:pPr>
      <w:r>
        <w:t>[object Object] Comprehensive report describing data quality assessment, completeness statistics by field, consistency check results, validation results, known limitations, recommendations for use.</w:t>
      </w:r>
    </w:p>
    <w:p w14:paraId="30352427" w14:textId="77777777" w:rsidR="00ED2DB4" w:rsidRDefault="00000000">
      <w:pPr>
        <w:pStyle w:val="Heading2"/>
        <w:spacing w:after="200"/>
      </w:pPr>
      <w:r>
        <w:t>8.4 Output Formats</w:t>
      </w:r>
    </w:p>
    <w:p w14:paraId="01B8AE42" w14:textId="77777777" w:rsidR="00ED2DB4" w:rsidRDefault="00000000">
      <w:pPr>
        <w:spacing w:after="200"/>
        <w:jc w:val="both"/>
      </w:pPr>
      <w:r>
        <w:t>The final analytical dataset will be provided in multiple formats to support different use cases and analytical tools:</w:t>
      </w:r>
    </w:p>
    <w:p w14:paraId="2501D566" w14:textId="77777777" w:rsidR="00ED2DB4" w:rsidRDefault="00000000">
      <w:pPr>
        <w:spacing w:after="200"/>
        <w:jc w:val="both"/>
      </w:pPr>
      <w:r>
        <w:t>• XLSX format: Microsoft Excel spreadsheet with multiple sheets (main data, data dictionary, reference tables), enabling use by researchers without specialized GIS or statistical software</w:t>
      </w:r>
    </w:p>
    <w:p w14:paraId="52645F1B" w14:textId="77777777" w:rsidR="00ED2DB4" w:rsidRDefault="00000000">
      <w:pPr>
        <w:spacing w:after="200"/>
        <w:jc w:val="both"/>
      </w:pPr>
      <w:r>
        <w:t>• CSV format: Standard comma-separated values format for import into R, Python, SPSS, Stata, and other statistical analysis platforms</w:t>
      </w:r>
    </w:p>
    <w:p w14:paraId="6FA1705D" w14:textId="77777777" w:rsidR="00ED2DB4" w:rsidRDefault="00000000">
      <w:pPr>
        <w:spacing w:after="200"/>
        <w:jc w:val="both"/>
      </w:pPr>
      <w:r>
        <w:t>• GeoJSON format: Geographic JSON format enabling direct mapping and spatial analysis in web mapping libraries (Leaflet, Mapbox) and GIS software</w:t>
      </w:r>
    </w:p>
    <w:p w14:paraId="1F608CA9" w14:textId="77777777" w:rsidR="00ED2DB4" w:rsidRDefault="00000000">
      <w:pPr>
        <w:spacing w:after="200"/>
        <w:jc w:val="both"/>
      </w:pPr>
      <w:r>
        <w:t>• QGIS project file: A configured QGIS project file providing a pre-built mapping interface with appropriate layer styling, base maps, and analytical overlays ready for immediate use by historians and researchers</w:t>
      </w:r>
    </w:p>
    <w:p w14:paraId="5600E006" w14:textId="77777777" w:rsidR="00ED2DB4" w:rsidRDefault="00000000">
      <w:pPr>
        <w:spacing w:after="200"/>
        <w:jc w:val="both"/>
      </w:pPr>
      <w:r>
        <w:t>• JSON/API format: Structured JSON representation enabling integration with web applications and programmatic access</w:t>
      </w:r>
    </w:p>
    <w:p w14:paraId="7A9F1B98" w14:textId="77777777" w:rsidR="00ED2DB4" w:rsidRDefault="00000000">
      <w:pPr>
        <w:pStyle w:val="Heading1"/>
        <w:spacing w:after="200"/>
      </w:pPr>
      <w:r>
        <w:t>9. Timeline and Resource Requirements</w:t>
      </w:r>
    </w:p>
    <w:p w14:paraId="44F2991E" w14:textId="77777777" w:rsidR="00ED2DB4" w:rsidRDefault="00000000">
      <w:pPr>
        <w:pStyle w:val="Heading2"/>
        <w:spacing w:after="200"/>
      </w:pPr>
      <w:r>
        <w:t>9.1 Project Timeline and Personnel</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703"/>
        <w:gridCol w:w="2137"/>
        <w:gridCol w:w="885"/>
        <w:gridCol w:w="2140"/>
        <w:gridCol w:w="3145"/>
      </w:tblGrid>
      <w:tr w:rsidR="00ED2DB4" w14:paraId="4F28C142" w14:textId="77777777">
        <w:tblPrEx>
          <w:tblCellMar>
            <w:top w:w="0" w:type="dxa"/>
            <w:bottom w:w="0" w:type="dxa"/>
          </w:tblCellMar>
        </w:tblPrEx>
        <w:tc>
          <w:tcPr>
            <w:tcW w:w="0" w:type="auto"/>
            <w:shd w:val="clear" w:color="70AD47" w:fill="auto"/>
            <w:tcMar>
              <w:top w:w="80" w:type="dxa"/>
              <w:left w:w="80" w:type="dxa"/>
              <w:bottom w:w="80" w:type="dxa"/>
              <w:right w:w="80" w:type="dxa"/>
            </w:tcMar>
            <w:vAlign w:val="center"/>
          </w:tcPr>
          <w:p w14:paraId="29E8FA54" w14:textId="77777777" w:rsidR="00ED2DB4" w:rsidRDefault="00000000">
            <w:pPr>
              <w:spacing w:line="200" w:lineRule="auto"/>
              <w:jc w:val="center"/>
            </w:pPr>
            <w:r>
              <w:t>Phase</w:t>
            </w:r>
          </w:p>
        </w:tc>
        <w:tc>
          <w:tcPr>
            <w:tcW w:w="0" w:type="auto"/>
            <w:shd w:val="clear" w:color="70AD47" w:fill="auto"/>
            <w:tcMar>
              <w:top w:w="80" w:type="dxa"/>
              <w:left w:w="80" w:type="dxa"/>
              <w:bottom w:w="80" w:type="dxa"/>
              <w:right w:w="80" w:type="dxa"/>
            </w:tcMar>
            <w:vAlign w:val="center"/>
          </w:tcPr>
          <w:p w14:paraId="69D8279A" w14:textId="77777777" w:rsidR="00ED2DB4" w:rsidRDefault="00000000">
            <w:pPr>
              <w:spacing w:line="200" w:lineRule="auto"/>
              <w:jc w:val="center"/>
            </w:pPr>
            <w:r>
              <w:t>Primary Task</w:t>
            </w:r>
          </w:p>
        </w:tc>
        <w:tc>
          <w:tcPr>
            <w:tcW w:w="0" w:type="auto"/>
            <w:shd w:val="clear" w:color="70AD47" w:fill="auto"/>
            <w:tcMar>
              <w:top w:w="80" w:type="dxa"/>
              <w:left w:w="80" w:type="dxa"/>
              <w:bottom w:w="80" w:type="dxa"/>
              <w:right w:w="80" w:type="dxa"/>
            </w:tcMar>
            <w:vAlign w:val="center"/>
          </w:tcPr>
          <w:p w14:paraId="24743CE7" w14:textId="77777777" w:rsidR="00ED2DB4" w:rsidRDefault="00000000">
            <w:pPr>
              <w:spacing w:line="200" w:lineRule="auto"/>
              <w:jc w:val="center"/>
            </w:pPr>
            <w:r>
              <w:t>Duration</w:t>
            </w:r>
          </w:p>
        </w:tc>
        <w:tc>
          <w:tcPr>
            <w:tcW w:w="0" w:type="auto"/>
            <w:shd w:val="clear" w:color="70AD47" w:fill="auto"/>
            <w:tcMar>
              <w:top w:w="80" w:type="dxa"/>
              <w:left w:w="80" w:type="dxa"/>
              <w:bottom w:w="80" w:type="dxa"/>
              <w:right w:w="80" w:type="dxa"/>
            </w:tcMar>
            <w:vAlign w:val="center"/>
          </w:tcPr>
          <w:p w14:paraId="1A512A5C" w14:textId="77777777" w:rsidR="00ED2DB4" w:rsidRDefault="00000000">
            <w:pPr>
              <w:spacing w:line="200" w:lineRule="auto"/>
              <w:jc w:val="center"/>
            </w:pPr>
            <w:r>
              <w:t>Personnel</w:t>
            </w:r>
          </w:p>
        </w:tc>
        <w:tc>
          <w:tcPr>
            <w:tcW w:w="0" w:type="auto"/>
            <w:shd w:val="clear" w:color="70AD47" w:fill="auto"/>
            <w:tcMar>
              <w:top w:w="80" w:type="dxa"/>
              <w:left w:w="80" w:type="dxa"/>
              <w:bottom w:w="80" w:type="dxa"/>
              <w:right w:w="80" w:type="dxa"/>
            </w:tcMar>
            <w:vAlign w:val="center"/>
          </w:tcPr>
          <w:p w14:paraId="36D2C6FE" w14:textId="77777777" w:rsidR="00ED2DB4" w:rsidRDefault="00000000">
            <w:pPr>
              <w:spacing w:line="200" w:lineRule="auto"/>
              <w:jc w:val="center"/>
            </w:pPr>
            <w:r>
              <w:t>Key Tools</w:t>
            </w:r>
          </w:p>
        </w:tc>
      </w:tr>
      <w:tr w:rsidR="00ED2DB4" w14:paraId="55BFC3F8" w14:textId="77777777">
        <w:tblPrEx>
          <w:tblCellMar>
            <w:top w:w="0" w:type="dxa"/>
            <w:bottom w:w="0" w:type="dxa"/>
          </w:tblCellMar>
        </w:tblPrEx>
        <w:tc>
          <w:tcPr>
            <w:tcW w:w="0" w:type="auto"/>
            <w:tcMar>
              <w:top w:w="80" w:type="dxa"/>
              <w:left w:w="80" w:type="dxa"/>
              <w:bottom w:w="80" w:type="dxa"/>
              <w:right w:w="80" w:type="dxa"/>
            </w:tcMar>
            <w:vAlign w:val="center"/>
          </w:tcPr>
          <w:p w14:paraId="698AE9A6" w14:textId="77777777" w:rsidR="00ED2DB4" w:rsidRDefault="00000000">
            <w:pPr>
              <w:spacing w:line="200" w:lineRule="auto"/>
            </w:pPr>
            <w:r>
              <w:t>Phase 1</w:t>
            </w:r>
          </w:p>
        </w:tc>
        <w:tc>
          <w:tcPr>
            <w:tcW w:w="0" w:type="auto"/>
            <w:tcMar>
              <w:top w:w="80" w:type="dxa"/>
              <w:left w:w="80" w:type="dxa"/>
              <w:bottom w:w="80" w:type="dxa"/>
              <w:right w:w="80" w:type="dxa"/>
            </w:tcMar>
            <w:vAlign w:val="center"/>
          </w:tcPr>
          <w:p w14:paraId="11327BFF" w14:textId="77777777" w:rsidR="00ED2DB4" w:rsidRDefault="00000000">
            <w:pPr>
              <w:spacing w:line="200" w:lineRule="auto"/>
            </w:pPr>
            <w:r>
              <w:t>Data Cleaning &amp; Standardization</w:t>
            </w:r>
          </w:p>
        </w:tc>
        <w:tc>
          <w:tcPr>
            <w:tcW w:w="0" w:type="auto"/>
            <w:tcMar>
              <w:top w:w="80" w:type="dxa"/>
              <w:left w:w="80" w:type="dxa"/>
              <w:bottom w:w="80" w:type="dxa"/>
              <w:right w:w="80" w:type="dxa"/>
            </w:tcMar>
            <w:vAlign w:val="center"/>
          </w:tcPr>
          <w:p w14:paraId="58CB8E52" w14:textId="77777777" w:rsidR="00ED2DB4" w:rsidRDefault="00000000">
            <w:pPr>
              <w:spacing w:line="200" w:lineRule="auto"/>
            </w:pPr>
            <w:r>
              <w:t>3 months</w:t>
            </w:r>
          </w:p>
        </w:tc>
        <w:tc>
          <w:tcPr>
            <w:tcW w:w="0" w:type="auto"/>
            <w:tcMar>
              <w:top w:w="80" w:type="dxa"/>
              <w:left w:w="80" w:type="dxa"/>
              <w:bottom w:w="80" w:type="dxa"/>
              <w:right w:w="80" w:type="dxa"/>
            </w:tcMar>
            <w:vAlign w:val="center"/>
          </w:tcPr>
          <w:p w14:paraId="141FD1D5" w14:textId="77777777" w:rsidR="00ED2DB4" w:rsidRDefault="00000000">
            <w:pPr>
              <w:spacing w:line="200" w:lineRule="auto"/>
            </w:pPr>
            <w:r>
              <w:t>1 RA + PI</w:t>
            </w:r>
          </w:p>
        </w:tc>
        <w:tc>
          <w:tcPr>
            <w:tcW w:w="0" w:type="auto"/>
            <w:tcMar>
              <w:top w:w="80" w:type="dxa"/>
              <w:left w:w="80" w:type="dxa"/>
              <w:bottom w:w="80" w:type="dxa"/>
              <w:right w:w="80" w:type="dxa"/>
            </w:tcMar>
            <w:vAlign w:val="center"/>
          </w:tcPr>
          <w:p w14:paraId="23C19D64" w14:textId="77777777" w:rsidR="00ED2DB4" w:rsidRDefault="00000000">
            <w:pPr>
              <w:spacing w:line="200" w:lineRule="auto"/>
            </w:pPr>
            <w:r>
              <w:t>Python (pandas), OpenRefine, regex</w:t>
            </w:r>
          </w:p>
        </w:tc>
      </w:tr>
      <w:tr w:rsidR="00ED2DB4" w14:paraId="1FCD4B74" w14:textId="77777777">
        <w:tblPrEx>
          <w:tblCellMar>
            <w:top w:w="0" w:type="dxa"/>
            <w:bottom w:w="0" w:type="dxa"/>
          </w:tblCellMar>
        </w:tblPrEx>
        <w:tc>
          <w:tcPr>
            <w:tcW w:w="0" w:type="auto"/>
            <w:tcMar>
              <w:top w:w="80" w:type="dxa"/>
              <w:left w:w="80" w:type="dxa"/>
              <w:bottom w:w="80" w:type="dxa"/>
              <w:right w:w="80" w:type="dxa"/>
            </w:tcMar>
            <w:vAlign w:val="center"/>
          </w:tcPr>
          <w:p w14:paraId="38CDD53D" w14:textId="77777777" w:rsidR="00ED2DB4" w:rsidRDefault="00000000">
            <w:pPr>
              <w:spacing w:line="200" w:lineRule="auto"/>
            </w:pPr>
            <w:r>
              <w:t>Phase 2</w:t>
            </w:r>
          </w:p>
        </w:tc>
        <w:tc>
          <w:tcPr>
            <w:tcW w:w="0" w:type="auto"/>
            <w:tcMar>
              <w:top w:w="80" w:type="dxa"/>
              <w:left w:w="80" w:type="dxa"/>
              <w:bottom w:w="80" w:type="dxa"/>
              <w:right w:w="80" w:type="dxa"/>
            </w:tcMar>
            <w:vAlign w:val="center"/>
          </w:tcPr>
          <w:p w14:paraId="4B7A5E53" w14:textId="77777777" w:rsidR="00ED2DB4" w:rsidRDefault="00000000">
            <w:pPr>
              <w:spacing w:line="200" w:lineRule="auto"/>
            </w:pPr>
            <w:r>
              <w:t>Verification &amp; Cross-reference</w:t>
            </w:r>
          </w:p>
        </w:tc>
        <w:tc>
          <w:tcPr>
            <w:tcW w:w="0" w:type="auto"/>
            <w:tcMar>
              <w:top w:w="80" w:type="dxa"/>
              <w:left w:w="80" w:type="dxa"/>
              <w:bottom w:w="80" w:type="dxa"/>
              <w:right w:w="80" w:type="dxa"/>
            </w:tcMar>
            <w:vAlign w:val="center"/>
          </w:tcPr>
          <w:p w14:paraId="308175D6" w14:textId="77777777" w:rsidR="00ED2DB4" w:rsidRDefault="00000000">
            <w:pPr>
              <w:spacing w:line="200" w:lineRule="auto"/>
            </w:pPr>
            <w:r>
              <w:t>6 months</w:t>
            </w:r>
          </w:p>
        </w:tc>
        <w:tc>
          <w:tcPr>
            <w:tcW w:w="0" w:type="auto"/>
            <w:tcMar>
              <w:top w:w="80" w:type="dxa"/>
              <w:left w:w="80" w:type="dxa"/>
              <w:bottom w:w="80" w:type="dxa"/>
              <w:right w:w="80" w:type="dxa"/>
            </w:tcMar>
            <w:vAlign w:val="center"/>
          </w:tcPr>
          <w:p w14:paraId="71926ADB" w14:textId="77777777" w:rsidR="00ED2DB4" w:rsidRDefault="00000000">
            <w:pPr>
              <w:spacing w:line="200" w:lineRule="auto"/>
            </w:pPr>
            <w:r>
              <w:t>2 RAs + domain experts (4 historians)</w:t>
            </w:r>
          </w:p>
        </w:tc>
        <w:tc>
          <w:tcPr>
            <w:tcW w:w="0" w:type="auto"/>
            <w:tcMar>
              <w:top w:w="80" w:type="dxa"/>
              <w:left w:w="80" w:type="dxa"/>
              <w:bottom w:w="80" w:type="dxa"/>
              <w:right w:w="80" w:type="dxa"/>
            </w:tcMar>
            <w:vAlign w:val="center"/>
          </w:tcPr>
          <w:p w14:paraId="191A44C7" w14:textId="77777777" w:rsidR="00ED2DB4" w:rsidRDefault="00000000">
            <w:pPr>
              <w:spacing w:line="200" w:lineRule="auto"/>
            </w:pPr>
            <w:r>
              <w:t>EHRI portal, Alicke lexicon, archival resources</w:t>
            </w:r>
          </w:p>
        </w:tc>
      </w:tr>
      <w:tr w:rsidR="00ED2DB4" w14:paraId="7C47E0EF" w14:textId="77777777">
        <w:tblPrEx>
          <w:tblCellMar>
            <w:top w:w="0" w:type="dxa"/>
            <w:bottom w:w="0" w:type="dxa"/>
          </w:tblCellMar>
        </w:tblPrEx>
        <w:tc>
          <w:tcPr>
            <w:tcW w:w="0" w:type="auto"/>
            <w:tcMar>
              <w:top w:w="80" w:type="dxa"/>
              <w:left w:w="80" w:type="dxa"/>
              <w:bottom w:w="80" w:type="dxa"/>
              <w:right w:w="80" w:type="dxa"/>
            </w:tcMar>
            <w:vAlign w:val="center"/>
          </w:tcPr>
          <w:p w14:paraId="21D46DB8" w14:textId="77777777" w:rsidR="00ED2DB4" w:rsidRDefault="00000000">
            <w:pPr>
              <w:spacing w:line="200" w:lineRule="auto"/>
            </w:pPr>
            <w:r>
              <w:t>Phase 3</w:t>
            </w:r>
          </w:p>
        </w:tc>
        <w:tc>
          <w:tcPr>
            <w:tcW w:w="0" w:type="auto"/>
            <w:tcMar>
              <w:top w:w="80" w:type="dxa"/>
              <w:left w:w="80" w:type="dxa"/>
              <w:bottom w:w="80" w:type="dxa"/>
              <w:right w:w="80" w:type="dxa"/>
            </w:tcMar>
            <w:vAlign w:val="center"/>
          </w:tcPr>
          <w:p w14:paraId="6D81F7BE" w14:textId="77777777" w:rsidR="00ED2DB4" w:rsidRDefault="00000000">
            <w:pPr>
              <w:spacing w:line="200" w:lineRule="auto"/>
            </w:pPr>
            <w:r>
              <w:t>Enrichment &amp; Geocoding</w:t>
            </w:r>
          </w:p>
        </w:tc>
        <w:tc>
          <w:tcPr>
            <w:tcW w:w="0" w:type="auto"/>
            <w:tcMar>
              <w:top w:w="80" w:type="dxa"/>
              <w:left w:w="80" w:type="dxa"/>
              <w:bottom w:w="80" w:type="dxa"/>
              <w:right w:w="80" w:type="dxa"/>
            </w:tcMar>
            <w:vAlign w:val="center"/>
          </w:tcPr>
          <w:p w14:paraId="2E0A344D" w14:textId="77777777" w:rsidR="00ED2DB4" w:rsidRDefault="00000000">
            <w:pPr>
              <w:spacing w:line="200" w:lineRule="auto"/>
            </w:pPr>
            <w:r>
              <w:t>6 months</w:t>
            </w:r>
          </w:p>
        </w:tc>
        <w:tc>
          <w:tcPr>
            <w:tcW w:w="0" w:type="auto"/>
            <w:tcMar>
              <w:top w:w="80" w:type="dxa"/>
              <w:left w:w="80" w:type="dxa"/>
              <w:bottom w:w="80" w:type="dxa"/>
              <w:right w:w="80" w:type="dxa"/>
            </w:tcMar>
            <w:vAlign w:val="center"/>
          </w:tcPr>
          <w:p w14:paraId="5885469D" w14:textId="77777777" w:rsidR="00ED2DB4" w:rsidRDefault="00000000">
            <w:pPr>
              <w:spacing w:line="200" w:lineRule="auto"/>
            </w:pPr>
            <w:r>
              <w:t>2 RAs + GIS specialist</w:t>
            </w:r>
          </w:p>
        </w:tc>
        <w:tc>
          <w:tcPr>
            <w:tcW w:w="0" w:type="auto"/>
            <w:tcMar>
              <w:top w:w="80" w:type="dxa"/>
              <w:left w:w="80" w:type="dxa"/>
              <w:bottom w:w="80" w:type="dxa"/>
              <w:right w:w="80" w:type="dxa"/>
            </w:tcMar>
            <w:vAlign w:val="center"/>
          </w:tcPr>
          <w:p w14:paraId="0BF2CA4F" w14:textId="77777777" w:rsidR="00ED2DB4" w:rsidRDefault="00000000">
            <w:pPr>
              <w:spacing w:line="200" w:lineRule="auto"/>
            </w:pPr>
            <w:r>
              <w:t>QGIS, Nominatim, Google Maps API, historical gazetteers</w:t>
            </w:r>
          </w:p>
        </w:tc>
      </w:tr>
      <w:tr w:rsidR="00ED2DB4" w14:paraId="2188CB91" w14:textId="77777777">
        <w:tblPrEx>
          <w:tblCellMar>
            <w:top w:w="0" w:type="dxa"/>
            <w:bottom w:w="0" w:type="dxa"/>
          </w:tblCellMar>
        </w:tblPrEx>
        <w:tc>
          <w:tcPr>
            <w:tcW w:w="0" w:type="auto"/>
            <w:tcMar>
              <w:top w:w="80" w:type="dxa"/>
              <w:left w:w="80" w:type="dxa"/>
              <w:bottom w:w="80" w:type="dxa"/>
              <w:right w:w="80" w:type="dxa"/>
            </w:tcMar>
            <w:vAlign w:val="center"/>
          </w:tcPr>
          <w:p w14:paraId="6C8D1F6A" w14:textId="77777777" w:rsidR="00ED2DB4" w:rsidRDefault="00000000">
            <w:pPr>
              <w:spacing w:line="200" w:lineRule="auto"/>
            </w:pPr>
            <w:r>
              <w:t>Phase 4</w:t>
            </w:r>
          </w:p>
        </w:tc>
        <w:tc>
          <w:tcPr>
            <w:tcW w:w="0" w:type="auto"/>
            <w:tcMar>
              <w:top w:w="80" w:type="dxa"/>
              <w:left w:w="80" w:type="dxa"/>
              <w:bottom w:w="80" w:type="dxa"/>
              <w:right w:w="80" w:type="dxa"/>
            </w:tcMar>
            <w:vAlign w:val="center"/>
          </w:tcPr>
          <w:p w14:paraId="7CFB299A" w14:textId="77777777" w:rsidR="00ED2DB4" w:rsidRDefault="00000000">
            <w:pPr>
              <w:spacing w:line="200" w:lineRule="auto"/>
            </w:pPr>
            <w:r>
              <w:t>Deduplication &amp; Merging</w:t>
            </w:r>
          </w:p>
        </w:tc>
        <w:tc>
          <w:tcPr>
            <w:tcW w:w="0" w:type="auto"/>
            <w:tcMar>
              <w:top w:w="80" w:type="dxa"/>
              <w:left w:w="80" w:type="dxa"/>
              <w:bottom w:w="80" w:type="dxa"/>
              <w:right w:w="80" w:type="dxa"/>
            </w:tcMar>
            <w:vAlign w:val="center"/>
          </w:tcPr>
          <w:p w14:paraId="4A780224" w14:textId="77777777" w:rsidR="00ED2DB4" w:rsidRDefault="00000000">
            <w:pPr>
              <w:spacing w:line="200" w:lineRule="auto"/>
            </w:pPr>
            <w:r>
              <w:t>1 month</w:t>
            </w:r>
          </w:p>
        </w:tc>
        <w:tc>
          <w:tcPr>
            <w:tcW w:w="0" w:type="auto"/>
            <w:tcMar>
              <w:top w:w="80" w:type="dxa"/>
              <w:left w:w="80" w:type="dxa"/>
              <w:bottom w:w="80" w:type="dxa"/>
              <w:right w:w="80" w:type="dxa"/>
            </w:tcMar>
            <w:vAlign w:val="center"/>
          </w:tcPr>
          <w:p w14:paraId="78F6E907" w14:textId="77777777" w:rsidR="00ED2DB4" w:rsidRDefault="00000000">
            <w:pPr>
              <w:spacing w:line="200" w:lineRule="auto"/>
            </w:pPr>
            <w:r>
              <w:t>1 RA + PI</w:t>
            </w:r>
          </w:p>
        </w:tc>
        <w:tc>
          <w:tcPr>
            <w:tcW w:w="0" w:type="auto"/>
            <w:tcMar>
              <w:top w:w="80" w:type="dxa"/>
              <w:left w:w="80" w:type="dxa"/>
              <w:bottom w:w="80" w:type="dxa"/>
              <w:right w:w="80" w:type="dxa"/>
            </w:tcMar>
            <w:vAlign w:val="center"/>
          </w:tcPr>
          <w:p w14:paraId="3356BC76" w14:textId="77777777" w:rsidR="00ED2DB4" w:rsidRDefault="00000000">
            <w:pPr>
              <w:spacing w:line="200" w:lineRule="auto"/>
            </w:pPr>
            <w:r>
              <w:t>Python recordlinkage, dedupe.io</w:t>
            </w:r>
          </w:p>
        </w:tc>
      </w:tr>
      <w:tr w:rsidR="00ED2DB4" w14:paraId="35284B14" w14:textId="77777777">
        <w:tblPrEx>
          <w:tblCellMar>
            <w:top w:w="0" w:type="dxa"/>
            <w:bottom w:w="0" w:type="dxa"/>
          </w:tblCellMar>
        </w:tblPrEx>
        <w:tc>
          <w:tcPr>
            <w:tcW w:w="0" w:type="auto"/>
            <w:tcMar>
              <w:top w:w="80" w:type="dxa"/>
              <w:left w:w="80" w:type="dxa"/>
              <w:bottom w:w="80" w:type="dxa"/>
              <w:right w:w="80" w:type="dxa"/>
            </w:tcMar>
            <w:vAlign w:val="center"/>
          </w:tcPr>
          <w:p w14:paraId="17F64535" w14:textId="77777777" w:rsidR="00ED2DB4" w:rsidRDefault="00000000">
            <w:pPr>
              <w:spacing w:line="200" w:lineRule="auto"/>
            </w:pPr>
            <w:r>
              <w:t>Phase 5</w:t>
            </w:r>
          </w:p>
        </w:tc>
        <w:tc>
          <w:tcPr>
            <w:tcW w:w="0" w:type="auto"/>
            <w:tcMar>
              <w:top w:w="80" w:type="dxa"/>
              <w:left w:w="80" w:type="dxa"/>
              <w:bottom w:w="80" w:type="dxa"/>
              <w:right w:w="80" w:type="dxa"/>
            </w:tcMar>
            <w:vAlign w:val="center"/>
          </w:tcPr>
          <w:p w14:paraId="5DC9B953" w14:textId="77777777" w:rsidR="00ED2DB4" w:rsidRDefault="00000000">
            <w:pPr>
              <w:spacing w:line="200" w:lineRule="auto"/>
            </w:pPr>
            <w:r>
              <w:t>QA &amp; Documentation</w:t>
            </w:r>
          </w:p>
        </w:tc>
        <w:tc>
          <w:tcPr>
            <w:tcW w:w="0" w:type="auto"/>
            <w:tcMar>
              <w:top w:w="80" w:type="dxa"/>
              <w:left w:w="80" w:type="dxa"/>
              <w:bottom w:w="80" w:type="dxa"/>
              <w:right w:w="80" w:type="dxa"/>
            </w:tcMar>
            <w:vAlign w:val="center"/>
          </w:tcPr>
          <w:p w14:paraId="1ED79266" w14:textId="77777777" w:rsidR="00ED2DB4" w:rsidRDefault="00000000">
            <w:pPr>
              <w:spacing w:line="200" w:lineRule="auto"/>
            </w:pPr>
            <w:r>
              <w:t>2 months</w:t>
            </w:r>
          </w:p>
        </w:tc>
        <w:tc>
          <w:tcPr>
            <w:tcW w:w="0" w:type="auto"/>
            <w:tcMar>
              <w:top w:w="80" w:type="dxa"/>
              <w:left w:w="80" w:type="dxa"/>
              <w:bottom w:w="80" w:type="dxa"/>
              <w:right w:w="80" w:type="dxa"/>
            </w:tcMar>
            <w:vAlign w:val="center"/>
          </w:tcPr>
          <w:p w14:paraId="4F182673" w14:textId="77777777" w:rsidR="00ED2DB4" w:rsidRDefault="00000000">
            <w:pPr>
              <w:spacing w:line="200" w:lineRule="auto"/>
            </w:pPr>
            <w:r>
              <w:t>PI + RA + full review team</w:t>
            </w:r>
          </w:p>
        </w:tc>
        <w:tc>
          <w:tcPr>
            <w:tcW w:w="0" w:type="auto"/>
            <w:tcMar>
              <w:top w:w="80" w:type="dxa"/>
              <w:left w:w="80" w:type="dxa"/>
              <w:bottom w:w="80" w:type="dxa"/>
              <w:right w:w="80" w:type="dxa"/>
            </w:tcMar>
            <w:vAlign w:val="center"/>
          </w:tcPr>
          <w:p w14:paraId="6C87E9FC" w14:textId="77777777" w:rsidR="00ED2DB4" w:rsidRDefault="00000000">
            <w:pPr>
              <w:spacing w:line="200" w:lineRule="auto"/>
            </w:pPr>
            <w:r>
              <w:t>Data dictionary, change logs, validation scripts</w:t>
            </w:r>
          </w:p>
        </w:tc>
      </w:tr>
    </w:tbl>
    <w:p w14:paraId="65D512B5" w14:textId="77777777" w:rsidR="00ED2DB4" w:rsidRDefault="00ED2DB4">
      <w:pPr>
        <w:spacing w:after="400"/>
      </w:pPr>
    </w:p>
    <w:p w14:paraId="3A3B9ECB" w14:textId="77777777" w:rsidR="00ED2DB4" w:rsidRDefault="00000000">
      <w:pPr>
        <w:spacing w:after="200"/>
        <w:jc w:val="both"/>
      </w:pPr>
      <w:r>
        <w:lastRenderedPageBreak/>
        <w:t>[object Object] 18 months</w:t>
      </w:r>
    </w:p>
    <w:p w14:paraId="1C47A0F3" w14:textId="77777777" w:rsidR="00ED2DB4" w:rsidRDefault="00000000">
      <w:pPr>
        <w:spacing w:after="200"/>
        <w:jc w:val="both"/>
      </w:pPr>
      <w:r>
        <w:t>[object Object] (1) Principal Investigator (Prof. Ami Pedahzur): Overall project direction, expert review, decision-making on ambiguous cases (0.25 FTE, 18 months); (2) Research Associate 1 (RA1, full-time, 18 months): Lead data cleaning (Phase 1), assist with verification and enrichment; (3) Research Associate 2 (RA2, full-time, 12-18 months): Focus on verification and enrichment phases, expert panel coordination; (4) GIS Specialist (0.5 FTE, 6 months): Coordinate geocoding and spatial validation; (5) Historian Experts (4-6 part-time, 6 months): Expert review panel; (6) Graduate student assistants (2, part-time): Support tasks (data entry, verification assistance).</w:t>
      </w:r>
    </w:p>
    <w:p w14:paraId="02F63D88" w14:textId="77777777" w:rsidR="00ED2DB4" w:rsidRDefault="00000000">
      <w:pPr>
        <w:spacing w:after="200"/>
        <w:jc w:val="both"/>
      </w:pPr>
      <w:r>
        <w:t>[object Object] Personnel costs for 18 months approximately EUR 180,000-220,000 (depending on regional salary scales); software licenses and data access EUR 15,000-20,000; computing resources and APIs EUR 5,000-10,000; travel for expert panel meetings and archival research EUR 10,000-15,000; publication and dissemination costs EUR 5,000. Total project cost estimate: EUR 215,000-270,000.</w:t>
      </w:r>
    </w:p>
    <w:p w14:paraId="3BA3472C" w14:textId="77777777" w:rsidR="00ED2DB4" w:rsidRDefault="00000000">
      <w:pPr>
        <w:pStyle w:val="Heading1"/>
        <w:spacing w:after="200"/>
      </w:pPr>
      <w:r>
        <w:t>10. Ethical Considerations and Data Governance</w:t>
      </w:r>
    </w:p>
    <w:p w14:paraId="01EE48BE" w14:textId="77777777" w:rsidR="00ED2DB4" w:rsidRDefault="00000000">
      <w:pPr>
        <w:pStyle w:val="Heading2"/>
        <w:spacing w:after="200"/>
      </w:pPr>
      <w:r>
        <w:t>10.1 Privacy and Sensitivity</w:t>
      </w:r>
    </w:p>
    <w:p w14:paraId="2D695EC4" w14:textId="77777777" w:rsidR="00ED2DB4" w:rsidRDefault="00000000">
      <w:pPr>
        <w:spacing w:after="200"/>
        <w:jc w:val="both"/>
      </w:pPr>
      <w:r>
        <w:t>[object Object] The dataset documents historical records of destroyed institutions, not living persons. No names of individuals, no contact information, no genealogical data. The institutions themselves are historical entities that no longer exist. Accordingly, the dataset presents minimal privacy concerns. However, we recognize that this dataset documents a tragic historical period and involves sensitive subject matter. We commit to treating the data and the subject matter with appropriate scholarly respect.</w:t>
      </w:r>
    </w:p>
    <w:p w14:paraId="3E655275" w14:textId="77777777" w:rsidR="00ED2DB4" w:rsidRDefault="00000000">
      <w:pPr>
        <w:pStyle w:val="Heading2"/>
        <w:spacing w:after="200"/>
      </w:pPr>
      <w:r>
        <w:t>10.2 Data Sharing and Infrastructure</w:t>
      </w:r>
    </w:p>
    <w:p w14:paraId="50192766" w14:textId="77777777" w:rsidR="00ED2DB4" w:rsidRDefault="00000000">
      <w:pPr>
        <w:spacing w:after="200"/>
        <w:jc w:val="both"/>
      </w:pPr>
      <w:r>
        <w:t>[object Object] The cleaned, verified, and analytically-ready dataset will be made openly available through established Holocaust research infrastructure: (1) EHRI Portal (European Holocaust Research Infrastructure): The primary venue for Holocaust datasets and scholarship; (2) Yad Vashem Database Portal: The foremost Holocaust research institution; (3) Open Science repositories (Zenodo, OSF): For long-term preservation and open access. The dataset will be released under Creative Commons Attribution 4.0 (CC-BY-4.0) license, enabling academic and non-commercial use with attribution.</w:t>
      </w:r>
    </w:p>
    <w:p w14:paraId="7009462C" w14:textId="77777777" w:rsidR="00ED2DB4" w:rsidRDefault="00000000">
      <w:pPr>
        <w:spacing w:after="200"/>
        <w:jc w:val="both"/>
      </w:pPr>
      <w:r>
        <w:t>[object Object] All shared data will be accompanied by comprehensive documentation: data dictionary, methodology, quality assessment, known limitations, recommended citation. Clear guidance will be provided on appropriate use, limitations, and proper interpretation.</w:t>
      </w:r>
    </w:p>
    <w:p w14:paraId="2ED6092F" w14:textId="77777777" w:rsidR="00ED2DB4" w:rsidRDefault="00000000">
      <w:pPr>
        <w:pStyle w:val="Heading2"/>
        <w:spacing w:after="200"/>
      </w:pPr>
      <w:r>
        <w:t>10.3 Collaboration and Stakeholder Engagement</w:t>
      </w:r>
    </w:p>
    <w:p w14:paraId="642B2C02" w14:textId="77777777" w:rsidR="00ED2DB4" w:rsidRDefault="00000000">
      <w:pPr>
        <w:spacing w:after="200"/>
        <w:jc w:val="both"/>
      </w:pPr>
      <w:r>
        <w:t>[object Object] We will establish formal collaborations with: (1) Yad Vashem (Israel): World Center for Holocaust Education and Research; (2) USHMM (United States Holocaust Memorial Museum): Leading source for Holocaust documentation; (3) German memorial institutions (Gedenkstätten): Sites of destroyed synagogues and museums of local Holocaust history; (4) Austrian memorial institutions: Equivalent Austrian partners. These partnerships will facilitate expert review, provide access to archival materials, and ensure the final dataset reaches appropriate scholarly and educational communities.</w:t>
      </w:r>
    </w:p>
    <w:p w14:paraId="6744440E" w14:textId="77777777" w:rsidR="00ED2DB4" w:rsidRDefault="00000000">
      <w:pPr>
        <w:pStyle w:val="Heading2"/>
        <w:spacing w:after="200"/>
      </w:pPr>
      <w:r>
        <w:t>10.4 Commitment to Open Science and Reproducibility</w:t>
      </w:r>
    </w:p>
    <w:p w14:paraId="40F3CC8A" w14:textId="77777777" w:rsidR="00ED2DB4" w:rsidRDefault="00000000">
      <w:pPr>
        <w:spacing w:after="200"/>
        <w:jc w:val="both"/>
      </w:pPr>
      <w:r>
        <w:t>All data processing code (Python scripts, R code) will be made publicly available through GitHub or equivalent repository, enabling transparency, reproducibility, and enabling other researchers to build upon this work. Publications arising from this dataset will follow FAIR data principles (Findable, Accessible, Interoperable, Reusable) and include sufficient methodological detail for reproduction.</w:t>
      </w:r>
    </w:p>
    <w:p w14:paraId="63FAA2D9" w14:textId="77777777" w:rsidR="00ED2DB4" w:rsidRDefault="00000000">
      <w:pPr>
        <w:pStyle w:val="Heading1"/>
        <w:spacing w:after="200"/>
      </w:pPr>
      <w:r>
        <w:t>11. Conclusion</w:t>
      </w:r>
    </w:p>
    <w:p w14:paraId="21463B12" w14:textId="77777777" w:rsidR="00ED2DB4" w:rsidRDefault="00000000">
      <w:pPr>
        <w:spacing w:after="200"/>
        <w:jc w:val="both"/>
      </w:pPr>
      <w:r>
        <w:t xml:space="preserve">This proposal describes a comprehensive, phased workflow transforming raw historical records of synagogues and Jewish institutions in Germany and Austria (1933-1938) into a high-quality, analytically-ready research dataset. The Kristallnacht Database represents an extraordinary historical resource documenting the geographic and institutional dimensions of anti-Jewish violence in its earliest phase. Currently, data quality challenges prevent systematic analysis. The proposed five-phase workflow—data cleaning, verification, enrichment, deduplication, </w:t>
      </w:r>
      <w:r>
        <w:lastRenderedPageBreak/>
        <w:t>and analytical readiness assessment—systematically addresses each quality dimension, employing both automated techniques and expert judgment. The resulting verified, complete, and enriched dataset will enable sophisticated spatial analysis, temporal analysis, regional comparative studies, and network analysis revealing new insights into the patterns and perpetrators of anti-Jewish violence, the pre-Holocaust geography of Jewish religious life, and regional variation in Nazi persecution. The dataset will be shared openly through established Holocaust research infrastructure, contributing to Holocaust education, historical scholarship, and the digital preservation of this crucial historical record.</w:t>
      </w:r>
    </w:p>
    <w:p w14:paraId="1E54EC05" w14:textId="77777777" w:rsidR="00ED2DB4" w:rsidRDefault="00ED2DB4">
      <w:pPr>
        <w:spacing w:after="400"/>
      </w:pPr>
    </w:p>
    <w:sectPr w:rsidR="00ED2DB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4124" w14:textId="77777777" w:rsidR="00997F00" w:rsidRDefault="00997F00">
      <w:r>
        <w:separator/>
      </w:r>
    </w:p>
  </w:endnote>
  <w:endnote w:type="continuationSeparator" w:id="0">
    <w:p w14:paraId="346E1CE3" w14:textId="77777777" w:rsidR="00997F00" w:rsidRDefault="00997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75DD0" w14:textId="77777777" w:rsidR="00ED2DB4" w:rsidRDefault="00000000">
    <w:pPr>
      <w:jc w:val="center"/>
    </w:pPr>
    <w:r>
      <w:t xml:space="preserve">Page </w:t>
    </w:r>
    <w:r>
      <w:fldChar w:fldCharType="begin"/>
    </w:r>
    <w:r>
      <w:instrText>PAGE</w:instrText>
    </w:r>
    <w:r>
      <w:fldChar w:fldCharType="separate"/>
    </w:r>
    <w:r w:rsidR="003708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6308E" w14:textId="77777777" w:rsidR="00997F00" w:rsidRDefault="00997F00">
      <w:r>
        <w:separator/>
      </w:r>
    </w:p>
  </w:footnote>
  <w:footnote w:type="continuationSeparator" w:id="0">
    <w:p w14:paraId="719821DD" w14:textId="77777777" w:rsidR="00997F00" w:rsidRDefault="00997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09BC" w14:textId="77777777" w:rsidR="00ED2DB4" w:rsidRDefault="00000000">
    <w:pPr>
      <w:jc w:val="right"/>
    </w:pPr>
    <w:r>
      <w:t>Kristallnacht Database Development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0357F"/>
    <w:multiLevelType w:val="hybridMultilevel"/>
    <w:tmpl w:val="EE80607C"/>
    <w:lvl w:ilvl="0" w:tplc="DAA0BB78">
      <w:start w:val="1"/>
      <w:numFmt w:val="bullet"/>
      <w:lvlText w:val="●"/>
      <w:lvlJc w:val="left"/>
      <w:pPr>
        <w:ind w:left="720" w:hanging="360"/>
      </w:pPr>
    </w:lvl>
    <w:lvl w:ilvl="1" w:tplc="7F30B616">
      <w:start w:val="1"/>
      <w:numFmt w:val="bullet"/>
      <w:lvlText w:val="○"/>
      <w:lvlJc w:val="left"/>
      <w:pPr>
        <w:ind w:left="1440" w:hanging="360"/>
      </w:pPr>
    </w:lvl>
    <w:lvl w:ilvl="2" w:tplc="EA7E6F82">
      <w:start w:val="1"/>
      <w:numFmt w:val="bullet"/>
      <w:lvlText w:val="■"/>
      <w:lvlJc w:val="left"/>
      <w:pPr>
        <w:ind w:left="2160" w:hanging="360"/>
      </w:pPr>
    </w:lvl>
    <w:lvl w:ilvl="3" w:tplc="5394C9CC">
      <w:start w:val="1"/>
      <w:numFmt w:val="bullet"/>
      <w:lvlText w:val="●"/>
      <w:lvlJc w:val="left"/>
      <w:pPr>
        <w:ind w:left="2880" w:hanging="360"/>
      </w:pPr>
    </w:lvl>
    <w:lvl w:ilvl="4" w:tplc="3C805E04">
      <w:start w:val="1"/>
      <w:numFmt w:val="bullet"/>
      <w:lvlText w:val="○"/>
      <w:lvlJc w:val="left"/>
      <w:pPr>
        <w:ind w:left="3600" w:hanging="360"/>
      </w:pPr>
    </w:lvl>
    <w:lvl w:ilvl="5" w:tplc="585A0EE0">
      <w:start w:val="1"/>
      <w:numFmt w:val="bullet"/>
      <w:lvlText w:val="■"/>
      <w:lvlJc w:val="left"/>
      <w:pPr>
        <w:ind w:left="4320" w:hanging="360"/>
      </w:pPr>
    </w:lvl>
    <w:lvl w:ilvl="6" w:tplc="113EC66C">
      <w:start w:val="1"/>
      <w:numFmt w:val="bullet"/>
      <w:lvlText w:val="●"/>
      <w:lvlJc w:val="left"/>
      <w:pPr>
        <w:ind w:left="5040" w:hanging="360"/>
      </w:pPr>
    </w:lvl>
    <w:lvl w:ilvl="7" w:tplc="CED8C2D0">
      <w:start w:val="1"/>
      <w:numFmt w:val="bullet"/>
      <w:lvlText w:val="●"/>
      <w:lvlJc w:val="left"/>
      <w:pPr>
        <w:ind w:left="5760" w:hanging="360"/>
      </w:pPr>
    </w:lvl>
    <w:lvl w:ilvl="8" w:tplc="316A2DDA">
      <w:start w:val="1"/>
      <w:numFmt w:val="bullet"/>
      <w:lvlText w:val="●"/>
      <w:lvlJc w:val="left"/>
      <w:pPr>
        <w:ind w:left="6480" w:hanging="360"/>
      </w:pPr>
    </w:lvl>
  </w:abstractNum>
  <w:num w:numId="1" w16cid:durableId="1174146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DB4"/>
    <w:rsid w:val="00356C88"/>
    <w:rsid w:val="00370860"/>
    <w:rsid w:val="00997F00"/>
    <w:rsid w:val="00D84888"/>
    <w:rsid w:val="00ED2DB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decimalSymbol w:val="."/>
  <w:listSeparator w:val=","/>
  <w14:docId w14:val="3ED164FF"/>
  <w15:docId w15:val="{F0FE3288-D499-FE4B-B0EB-24EA7F21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5602</Words>
  <Characters>37483</Characters>
  <Application>Microsoft Office Word</Application>
  <DocSecurity>0</DocSecurity>
  <Lines>576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עמי משה פדהצור</cp:lastModifiedBy>
  <cp:revision>2</cp:revision>
  <dcterms:created xsi:type="dcterms:W3CDTF">2026-02-19T01:34:00Z</dcterms:created>
  <dcterms:modified xsi:type="dcterms:W3CDTF">2026-02-19T01:34:00Z</dcterms:modified>
</cp:coreProperties>
</file>