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FEC07" w14:textId="77777777" w:rsidR="00666716" w:rsidRDefault="00000000">
      <w:pPr>
        <w:pStyle w:val="Heading1"/>
      </w:pPr>
      <w:bookmarkStart w:id="0" w:name="X044c5b51bdfb6efdebc3398248567c8ee3fa513"/>
      <w:r>
        <w:t>Embedded Response Capacity: Decentralized Crisis Response After the Collapse of Command and Control</w:t>
      </w:r>
      <w:bookmarkEnd w:id="0"/>
    </w:p>
    <w:p w14:paraId="4A0EB989" w14:textId="77777777" w:rsidR="00666716" w:rsidRDefault="00000000">
      <w:pPr>
        <w:pStyle w:val="Heading2"/>
      </w:pPr>
      <w:bookmarkStart w:id="1" w:name="abstract"/>
      <w:r>
        <w:t>Abstract</w:t>
      </w:r>
      <w:bookmarkEnd w:id="1"/>
    </w:p>
    <w:p w14:paraId="31F09350" w14:textId="77777777" w:rsidR="00666716" w:rsidRDefault="00000000">
      <w:r>
        <w:t>How do security organizations maintain operational effectiveness when centralized command-and-control systems collapse? Existing theories of crisis governance, high-reliability organizations, and organizational resilience assume that at least some formal coordination mechanisms remain functional during emergencies. We introduce the concept of Embedded Response Capacity (ERC)—the latent ability of trained personnel within a security system to initiate and coordinate effective tactical responses without direct command authority—and test it empirically through analysis of the Israeli response to the October 7, 2023 Hamas attack. Using a mixed-method design combining two original datasets (a combat participation dataset mapping 242 unit-location observations across 32 locations, and a fatality dataset documenting 369 security personnel killed during the fighting) with qualitative institutional analysis, we find that 40.8% of fatalities were self-joining responders who mobilized without formal orders. Self-joining was strongly predicted by special operations membership (OR = 14.06), reserve status (OR = 13.48), and officer rank (OR = 3.11). Cross-organizational ad hoc teams formed at 56% of combat locations. These findings demonstrate that distributed tactical competence, initiative culture, and role identity—embedded through conscription, reserve service, and shared doctrinal training—can sustain coordinated organizational response even when hierarchical command structures are destroyed.</w:t>
      </w:r>
    </w:p>
    <w:p w14:paraId="75503608" w14:textId="77777777" w:rsidR="00666716" w:rsidRDefault="00000000">
      <w:r>
        <w:rPr>
          <w:b/>
        </w:rPr>
        <w:lastRenderedPageBreak/>
        <w:t>Keywords:</w:t>
      </w:r>
      <w:r>
        <w:t xml:space="preserve"> crisis response, organizational resilience, command and control, decentralized coordination, terrorism, public administration</w:t>
      </w:r>
    </w:p>
    <w:p w14:paraId="2135C62C" w14:textId="77777777" w:rsidR="00666716" w:rsidRDefault="00000000">
      <w:pPr>
        <w:pStyle w:val="Heading2"/>
      </w:pPr>
      <w:bookmarkStart w:id="2" w:name="introduction"/>
      <w:r>
        <w:t>Introduction</w:t>
      </w:r>
      <w:bookmarkEnd w:id="2"/>
    </w:p>
    <w:p w14:paraId="270043CD" w14:textId="77777777" w:rsidR="00666716" w:rsidRDefault="00000000">
      <w:r>
        <w:t>On Saturday, October 7, 2023, at 6:29 A.M., approximately 6,000 Hamas militants crossed the Israel–Gaza border at 119 points along what Israel had constructed as a technologically advanced barrier system—often referred to as the “smart barrier.” Shortly after crossing, forces from Hamas’s elite Nukhba unit reached Re’im Base, the headquarters of Israel’s Gaza Division, and knocked out its communication infrastructure (Meniv, 2024).</w:t>
      </w:r>
    </w:p>
    <w:p w14:paraId="5035E3B1" w14:textId="77777777" w:rsidR="00666716" w:rsidRDefault="00000000">
      <w:r>
        <w:t>When a military organization loses its command-and-control systems, the expectation is operational paralysis. Without situation reports flowing in, information being processed, and orders going out, units on the ground cannot coordinate a coherent response (Van Creveld, 1985). On October 7, however, the Israeli response defied this expectation. Thousands of combat soldiers—conscripts, reservists, police officers, Shin Bet personnel—began converging on the Gaza border shortly after the attack began. Many moved without formal orders, without functioning communication systems, and in some cases without full combat equipment. Within several hours, they had halted the attack’s expansion and regained control of most civilian communities.</w:t>
      </w:r>
    </w:p>
    <w:p w14:paraId="3E6CDD6F" w14:textId="77777777" w:rsidR="00666716" w:rsidRDefault="00000000">
      <w:r>
        <w:t xml:space="preserve">The October 7 attack was a textbook swarm attack: coordinated violence in which numerous units strike multiple targets simultaneously across dispersed locations (Arquilla &amp; Ronfeldt, 2000). Rather than concentrating force, swarm attacks overwhelm defensive systems by saturating them with concurrent threats. Mumbai (2008) and Paris (2015) illustrate the growing use of these tactics by non-state actors (Edwards, 2000; Moghadam &amp; Marco, 2025). Swarm attacks pose particular difficulties for organizations that rely on centralized command, because </w:t>
      </w:r>
      <w:r>
        <w:lastRenderedPageBreak/>
        <w:t>they compress decision time and multiply simultaneous threats beyond any headquarters’ processing capacity (Alberts &amp; Hayes, 2003). The challenge intensifies when attackers deliberately target communication infrastructure, as Hamas did (Seloom, 2025; Toth, 2025).</w:t>
      </w:r>
    </w:p>
    <w:p w14:paraId="7177C6E2" w14:textId="77777777" w:rsidR="00666716" w:rsidRDefault="00000000">
      <w:r>
        <w:t>From a public administration perspective, large-scale terrorist attacks stress-test the administrative systems responsible for coordinating public response (Carter, 2001). They also create rare opportunities to examine how public organizations maintain effectiveness when formal coordination mechanisms suddenly fail (Toth, 2025). We ask a straightforward question: what conditions allowed an effective military response despite the collapse of centralized command and control?</w:t>
      </w:r>
    </w:p>
    <w:p w14:paraId="1B15CAF5" w14:textId="77777777" w:rsidR="00666716" w:rsidRDefault="00000000">
      <w:r>
        <w:t>To answer it, we introduce the concept of Embedded Response Capacity (ERC) and evaluate its explanatory power through empirical analysis of the October 7 events. ERC refers to the latent ability of trained actors within a security system to initiate coordinated responses when formal command structures and communication systems have been disrupted. Rather than relying exclusively on hierarchical coordination, ERC emphasizes the distributed operational competence embedded within trained personnel across an organization.</w:t>
      </w:r>
    </w:p>
    <w:p w14:paraId="2E17E069" w14:textId="77777777" w:rsidR="00666716" w:rsidRDefault="00000000">
      <w:r>
        <w:t>Existing research on crisis governance and organizational resilience treats leadership, coordination mechanisms, and institutional preparedness as key determinants of effective crisis response (Boin et al., 2005; Comfort, 2007; Moynihan, 2008). This literature has significantly advanced our understanding of how public organizations handle extreme events, but it focuses primarily on the functioning of formal command structures. ERC complements this perspective by highlighting how operational competence embedded within individuals and training systems can sustain organizational performance even when centralized coordination has temporarily collapsed (Edri-Peer, Cohen, &amp; Gilad, 2025).</w:t>
      </w:r>
    </w:p>
    <w:p w14:paraId="6508F9F4" w14:textId="77777777" w:rsidR="00666716" w:rsidRDefault="00000000">
      <w:r>
        <w:lastRenderedPageBreak/>
        <w:t>We test these ideas using a mixed-method research design that combines quantitative analysis of original datasets with qualitative institutional analysis. The quantitative component relies on two newly constructed databases documenting the units that engaged Hamas forces during the October 7 battles and the security personnel killed during the first two days of fighting. The qualitative component examines the institutional characteristics of the Israeli security system that may have generated ERC. Methodologically, we introduce a novel approach to reconstructing battlefield participation using casualty data as a proxy for mapping tactical mobilization under conditions where operational documentation is incomplete.</w:t>
      </w:r>
    </w:p>
    <w:p w14:paraId="2469EF5E" w14:textId="77777777" w:rsidR="00666716" w:rsidRDefault="00000000">
      <w:pPr>
        <w:pStyle w:val="Heading2"/>
      </w:pPr>
      <w:bookmarkStart w:id="3" w:name="Xaf036185ec3354a99acec3c8203793b2748df60"/>
      <w:r>
        <w:t>Organizational Resilience and the Limits of Existing Frameworks</w:t>
      </w:r>
      <w:bookmarkEnd w:id="3"/>
    </w:p>
    <w:p w14:paraId="0F10A7F1" w14:textId="77777777" w:rsidR="00666716" w:rsidRDefault="00000000">
      <w:r>
        <w:t>The puzzle we identify—how security organizations generate effective responses when command-and-control systems collapse—cannot be resolved by existing theories of crisis management alone. We argue that a new mid-range theoretical construct is required. Four bodies of literature are directly relevant; each contributes essential building blocks, but none is sufficient on its own.</w:t>
      </w:r>
    </w:p>
    <w:p w14:paraId="0D078446" w14:textId="77777777" w:rsidR="00666716" w:rsidRDefault="00000000">
      <w:r>
        <w:rPr>
          <w:b/>
        </w:rPr>
        <w:t>High Reliability Organizations.</w:t>
      </w:r>
      <w:r>
        <w:t xml:space="preserve"> The most influential framework for understanding organizational performance under extreme conditions is HRO theory (Weick et al., 1999; Weick &amp; Sutcliffe, 2015; Roberts, 1990; La Porte &amp; Consolini, 1991). HRO research identifies five organizing principles—preoccupation with failure, reluctance to simplify, sensitivity to operations, commitment to resilience, and deference to expertise—that together produce </w:t>
      </w:r>
      <w:r>
        <w:rPr>
          <w:i/>
        </w:rPr>
        <w:t>collective mindfulness</w:t>
      </w:r>
      <w:r>
        <w:t xml:space="preserve">: a state of heightened organizational awareness enabling rapid detection and correction of incipient failures (Weick et al., 1999, p. 87). For our purposes, deference to expertise matters most. It implies that decision-making authority should migrate to wherever </w:t>
      </w:r>
      <w:r>
        <w:lastRenderedPageBreak/>
        <w:t>situational knowledge is most concentrated, regardless of hierarchical rank (pp. 104–107)—a logic that anticipates effective small-unit action when headquarters are unavailable.</w:t>
      </w:r>
    </w:p>
    <w:p w14:paraId="746A1BFC" w14:textId="77777777" w:rsidR="00666716" w:rsidRDefault="00000000">
      <w:r>
        <w:t xml:space="preserve">But HRO theory has a fundamental limitation: it is a theory of </w:t>
      </w:r>
      <w:r>
        <w:rPr>
          <w:i/>
        </w:rPr>
        <w:t>prevention</w:t>
      </w:r>
      <w:r>
        <w:t xml:space="preserve">, not recovery. All five principles operate within an intact organizational framework and aim to stop catastrophic failure before it occurs. When prevention fails—when catastrophe arrives—HRO theory offers no mechanism for explaining continued effective action. Frederickson and LaPorte (2002) identify a deeper problem they call the “problem of rationality”: when HRO security systems succeed, their very effectiveness undermines future investment in them, creating cyclical degradation (pp. 42–43). October 7 was precisely the realization of this trap—years of institutional complacency following perceived deterrence success produced catastrophic intelligence and C2 failure. ERC addresses what HRO theory cannot: how security organizations perform </w:t>
      </w:r>
      <w:r>
        <w:rPr>
          <w:i/>
        </w:rPr>
        <w:t>after</w:t>
      </w:r>
      <w:r>
        <w:t xml:space="preserve"> the moment HRO principles have failed.</w:t>
      </w:r>
    </w:p>
    <w:p w14:paraId="25C09958" w14:textId="77777777" w:rsidR="00666716" w:rsidRDefault="00000000">
      <w:r>
        <w:rPr>
          <w:b/>
        </w:rPr>
        <w:t>Latent Organizing.</w:t>
      </w:r>
      <w:r>
        <w:t xml:space="preserve"> Latent organizing (LO) describes deliberate design strategies in which capabilities remain dormant within host organizations until activated by an emergency, with “responsiveness to unpredictable emergencies aris[ing] from access to well-trained people, rather than a detailed system of formal contracts” (Van Fenema &amp; Romme, 2020, Table 1). LO is ERC’s closest conceptual relative and deserves careful differentiation. Van Fenema and Romme explicitly restrict LO to task domains </w:t>
      </w:r>
      <w:r>
        <w:rPr>
          <w:i/>
        </w:rPr>
        <w:t>different</w:t>
      </w:r>
      <w:r>
        <w:t xml:space="preserve"> from the host organization’s regular operations—deploying military reservists in their own military domain falls outside their framework. More fundamentally, LO assumes activation through formal protocols and legal mechanisms. ERC theorizes activation through role identity and cultural norms: trained personnel self-deploy because of </w:t>
      </w:r>
      <w:r>
        <w:rPr>
          <w:i/>
        </w:rPr>
        <w:t>who they are</w:t>
      </w:r>
      <w:r>
        <w:t xml:space="preserve">, not because someone has triggered a formal activation protocol. ERC </w:t>
      </w:r>
      <w:r>
        <w:lastRenderedPageBreak/>
        <w:t>also operates at the level of intra-organizational distributed competence rather than inter-organizational system design.</w:t>
      </w:r>
    </w:p>
    <w:p w14:paraId="68C7961D" w14:textId="77777777" w:rsidR="00666716" w:rsidRDefault="00000000">
      <w:r>
        <w:rPr>
          <w:b/>
        </w:rPr>
        <w:t>Naturalistic Decision-Making and Improvisation.</w:t>
      </w:r>
      <w:r>
        <w:t xml:space="preserve"> Klein’s (1998) Recognition-Primed Decision (RPD) model demonstrates that experienced actors in high-stakes, time-pressured environments recognize situations as prototypes from prior experience, immediately suggesting viable courses of action without explicit deliberation. Weick (1998) argues that effective improvisation materializes around prior structures, with richer organizational memory producing better improvisation. Moorman and Miner (1998) show empirically that organizations possessing both procedural memory (“knowing how”) and declarative memory (“knowing that”) generate improvised action that is simultaneously coherent, novel, and rapid. These frameworks provide ERC’s cognitive microfoundations, but they operate at the individual level. They do not explain how multiple RPD-capable individuals simultaneously deploy and coordinate into effective ad hoc teams.</w:t>
      </w:r>
    </w:p>
    <w:p w14:paraId="4BD6CBDF" w14:textId="77777777" w:rsidR="00666716" w:rsidRDefault="00000000">
      <w:r>
        <w:rPr>
          <w:b/>
        </w:rPr>
        <w:t>Crisis Governance and Street-Level Discretion.</w:t>
      </w:r>
      <w:r>
        <w:t xml:space="preserve"> Ansell, Boin, and Keller (2010) identify four building blocks of effective multi-organizational crisis response—distributed sensemaking, networked coordination, surge capacity, and formal scaling structures—but they presuppose that at least some coordination mechanisms remain functional. Kettl’s (2003) contingent coordination framework similarly assumes that designed coordination systems remain available. At the individual level, Lipsky’s (1980) account of street-level bureaucrats—and Edri-Peer, Cohen, and Gilad’s (2025) direct application to October 7 police officers—confirms that self-deployment was norm-driven. But Lipsky’s framework operates within a functioning organizational context. ERC addresses a categorically different condition: what happens when the organizational scaffolding itself has been destroyed.</w:t>
      </w:r>
    </w:p>
    <w:p w14:paraId="0A581516" w14:textId="77777777" w:rsidR="00666716" w:rsidRDefault="00000000">
      <w:r>
        <w:lastRenderedPageBreak/>
        <w:t xml:space="preserve">Running through all these frameworks is a tension that Landau (1969) identified as foundational: redundancy is not waste but the essential mechanism through which complex systems maintain performance under stress. Traditional applications emphasize </w:t>
      </w:r>
      <w:r>
        <w:rPr>
          <w:i/>
        </w:rPr>
        <w:t>structural</w:t>
      </w:r>
      <w:r>
        <w:t xml:space="preserve"> redundancy—duplicate units, backup command centers. We extend Landau’s insight to </w:t>
      </w:r>
      <w:r>
        <w:rPr>
          <w:i/>
        </w:rPr>
        <w:t>cognitive and capability redundancy</w:t>
      </w:r>
      <w:r>
        <w:t xml:space="preserve"> embedded in human capital. Unlike structural redundancy, cognitive redundancy persists as long as trained individuals survive.</w:t>
      </w:r>
    </w:p>
    <w:p w14:paraId="702DB61F" w14:textId="77777777" w:rsidR="00666716" w:rsidRDefault="00000000">
      <w:r>
        <w:t>In short, existing frameworks explain how organizations prevent failure, how individuals make rapid decisions, and how coordination networks function under strain. None explains what happens when all of these fail simultaneously. That is the gap ERC addresses.</w:t>
      </w:r>
    </w:p>
    <w:p w14:paraId="24B0A7E4" w14:textId="77777777" w:rsidR="00666716" w:rsidRDefault="00000000">
      <w:pPr>
        <w:pStyle w:val="Heading2"/>
      </w:pPr>
      <w:bookmarkStart w:id="4" w:name="X69959441b16fe87a3c6ff36037ac89168171739"/>
      <w:r>
        <w:t>Embedded Response Capacity: A Mid-Range Theory</w:t>
      </w:r>
      <w:bookmarkEnd w:id="4"/>
    </w:p>
    <w:p w14:paraId="2825AD92" w14:textId="77777777" w:rsidR="00666716" w:rsidRDefault="00000000">
      <w:r>
        <w:t xml:space="preserve">We define ERC as: </w:t>
      </w:r>
      <w:r>
        <w:rPr>
          <w:b/>
        </w:rPr>
        <w:t>the latent ability of trained personnel within a security system to initiate and coordinate effective tactical responses without direct command authority, generated by the prior institutional embedding of distributed competence, role identity, and social network ties across the force.</w:t>
      </w:r>
      <w:r>
        <w:t xml:space="preserve"> Four features distinguish it from prior frameworks.</w:t>
      </w:r>
    </w:p>
    <w:p w14:paraId="4880886A" w14:textId="77777777" w:rsidR="00666716" w:rsidRDefault="00000000">
      <w:r>
        <w:t xml:space="preserve">First, ERC is </w:t>
      </w:r>
      <w:r>
        <w:rPr>
          <w:i/>
        </w:rPr>
        <w:t>latent</w:t>
      </w:r>
      <w:r>
        <w:t xml:space="preserve">: it exists before any crisis occurs. This sets it apart from improvisation frameworks that locate response capacity in the moment of action. Second, ERC is specifically triggered by </w:t>
      </w:r>
      <w:r>
        <w:rPr>
          <w:i/>
        </w:rPr>
        <w:t>C2 collapse</w:t>
      </w:r>
      <w:r>
        <w:t xml:space="preserve">, distinguishing it from HRO theory (which assumes intact organizations), latent organizing (which relies on formal activation protocols), and crisis governance frameworks (which assume functioning coordination). Third, ERC is </w:t>
      </w:r>
      <w:r>
        <w:rPr>
          <w:i/>
        </w:rPr>
        <w:t>organizational</w:t>
      </w:r>
      <w:r>
        <w:t xml:space="preserve">, not individual—it emerges from the interaction of distributed capabilities across many individuals who share training, doctrine, and social ties. Fourth, ERC produces </w:t>
      </w:r>
      <w:r>
        <w:rPr>
          <w:i/>
        </w:rPr>
        <w:t>coordinated</w:t>
      </w:r>
      <w:r>
        <w:t xml:space="preserve"> action, not merely independent action: shared tactical doctrine functions as a coordination grammar that enables strangers trained in compatible systems to operate together.</w:t>
      </w:r>
    </w:p>
    <w:p w14:paraId="05FE2433" w14:textId="77777777" w:rsidR="00666716" w:rsidRDefault="00000000">
      <w:r>
        <w:lastRenderedPageBreak/>
        <w:t>We propose five institutional mechanisms through which ERC operates, each independently present or absent. The mechanisms are partially substitutable—a system with very high levels of three or four may generate significant ERC even without the fifth—but full ERC requires all five.</w:t>
      </w:r>
    </w:p>
    <w:p w14:paraId="01BF7C44" w14:textId="77777777" w:rsidR="00666716" w:rsidRDefault="00000000">
      <w:r>
        <w:rPr>
          <w:b/>
        </w:rPr>
        <w:t>Mechanism 1: Distributed Tactical Competence.</w:t>
      </w:r>
      <w:r>
        <w:t xml:space="preserve"> When training in core tactical procedures—particularly urban combat, close-quarters battle, and counterterrorism operations—is widely shared across multiple units and personnel categories, the system develops what Moorman and Miner (1998) term deep procedural memory: knowledge embedded in skilled action that requires no deliberate recall. Personnel from different units who share this procedural memory can coordinate effectively without prior joint planning because they share a common action vocabulary. The breadth of this competence determines the density of the latent response network.</w:t>
      </w:r>
    </w:p>
    <w:p w14:paraId="2A0EF7F9" w14:textId="77777777" w:rsidR="00666716" w:rsidRDefault="00000000">
      <w:r>
        <w:rPr>
          <w:b/>
        </w:rPr>
        <w:t>Mechanism 2: Initiative Culture.</w:t>
      </w:r>
      <w:r>
        <w:t xml:space="preserve"> Military doctrines that prioritize mission command (Shamir, 2011)—specifying objectives while granting subordinates discretion over execution—cultivate habits of independent decision-making and reinforce the expectation that personnel should act when confronted with threats, even without explicit orders. The IDF’s cultural emphasis on </w:t>
      </w:r>
      <w:r>
        <w:rPr>
          <w:i/>
        </w:rPr>
        <w:t>rosh gadol</w:t>
      </w:r>
      <w:r>
        <w:t xml:space="preserve"> (taking initiative) over </w:t>
      </w:r>
      <w:r>
        <w:rPr>
          <w:i/>
        </w:rPr>
        <w:t>rosh katan</w:t>
      </w:r>
      <w:r>
        <w:t xml:space="preserve"> (passive compliance) represents a specific institutionalization of this mechanism. Critically, ERC extends beyond mission command: where Shamir’s framework presupposes a functioning chain of command within which initiative operates, ERC theorizes initiative that activates </w:t>
      </w:r>
      <w:r>
        <w:rPr>
          <w:i/>
        </w:rPr>
        <w:t>in the absence</w:t>
      </w:r>
      <w:r>
        <w:t xml:space="preserve"> of any chain of command.</w:t>
      </w:r>
    </w:p>
    <w:p w14:paraId="1B4BD8F0" w14:textId="77777777" w:rsidR="00666716" w:rsidRDefault="00000000">
      <w:r>
        <w:rPr>
          <w:b/>
        </w:rPr>
        <w:t>Mechanism 3: Role Identity as Mobilization Trigger.</w:t>
      </w:r>
      <w:r>
        <w:t xml:space="preserve"> Drawing on Lipsky (1980) and Edri-Peer et al. (2025), we theorize professional role identity as the psychological mechanism that activates latent capacity. When trained personnel strongly internalize their professional </w:t>
      </w:r>
      <w:r>
        <w:lastRenderedPageBreak/>
        <w:t>identity—as soldiers, police officers, security agents—that identity generates intrinsic motivation to deploy when threats materialize, independent of formal authorization. Role identity also channels action: it gives personnel a clear sense of what to do once deployed, reducing decision uncertainty in chaotic environments.</w:t>
      </w:r>
    </w:p>
    <w:p w14:paraId="47CE329F" w14:textId="77777777" w:rsidR="00666716" w:rsidRDefault="00000000">
      <w:r>
        <w:rPr>
          <w:b/>
        </w:rPr>
        <w:t>Mechanism 4: Social Network Ties.</w:t>
      </w:r>
      <w:r>
        <w:t xml:space="preserve"> Effective ad hoc team formation under C2 collapse depends not only on shared competence but on social ties through which individuals recognize each other as trustworthy coordination partners. Reserve service and multi-unit career paths create overlapping social networks across organizational boundaries (Powley, 2009). These ties reduce coordination costs when individuals encounter each other under crisis conditions.</w:t>
      </w:r>
    </w:p>
    <w:p w14:paraId="4C78E9E2" w14:textId="77777777" w:rsidR="00666716" w:rsidRDefault="00000000">
      <w:r>
        <w:rPr>
          <w:b/>
        </w:rPr>
        <w:t>Mechanism 5: Cognitive Redundancy Through Personnel System Design.</w:t>
      </w:r>
      <w:r>
        <w:t xml:space="preserve"> Extending Landau’s (1969) insight from structural to cognitive redundancy, we theorize that personnel systems—particularly those relying on conscription and reserve service—distribute tactical competence throughout society. Ben-Ari, Rosman, and Shamir (2023) document how Israel’s hybrid conscript-volunteer model ensures that virtually all regulars and reservists have served as conscripts, producing a reserve population with homogeneous baseline training. Lomsky-Feder, Gazit, and Ben-Ari (2008) show that reservists function as “transmigrants” continuously moving between military and civilian social spheres, maintaining competencies and network ties during civilian life. This mechanism creates the latent operational network that becomes a tactical asset when formal structures collapse.</w:t>
      </w:r>
    </w:p>
    <w:p w14:paraId="55B16110" w14:textId="77777777" w:rsidR="00666716" w:rsidRDefault="00000000">
      <w:r>
        <w:rPr>
          <w:b/>
        </w:rPr>
        <w:t>Boundary Conditions.</w:t>
      </w:r>
      <w:r>
        <w:t xml:space="preserve"> We expect ERC to degrade under four conditions: doctrinal fragmentation (incompatible tactical systems producing conflicting action); extreme information fragmentation (trained personnel unable to identify the threat); role identity erosion (extended periods without active training); and adversarial exploitation of decentralized gaps.</w:t>
      </w:r>
    </w:p>
    <w:p w14:paraId="10E5741D" w14:textId="77777777" w:rsidR="00666716" w:rsidRDefault="00000000">
      <w:r>
        <w:rPr>
          <w:b/>
        </w:rPr>
        <w:lastRenderedPageBreak/>
        <w:t>The Israeli Case.</w:t>
      </w:r>
      <w:r>
        <w:t xml:space="preserve"> Israel’s defense structure combines all five mechanisms: universal male conscription with decades of reserve service distributing tactical competence across an exceptionally large population (Ben-Ari et al., 2023; Horowitz &amp; Kimmerling, 1974); doctrinal emphasis on small-unit initiative (Shamir, 2011); overlapping counterterrorism environments creating cross-organizational networks; and reserve service cycles maintaining transmigrant identities (Lomsky-Feder et al., 2008). If the theory holds, we should observe several patterns: a two-wave response structure; substantial decentralized mobilization; self-joining behavior predicted by institutional markers of ERC; and cross-organizational ad hoc team formation.</w:t>
      </w:r>
    </w:p>
    <w:p w14:paraId="4DA43315" w14:textId="77777777" w:rsidR="00666716" w:rsidRDefault="00000000">
      <w:pPr>
        <w:pStyle w:val="Heading2"/>
      </w:pPr>
      <w:bookmarkStart w:id="5" w:name="hypotheses"/>
      <w:r>
        <w:t>Hypotheses</w:t>
      </w:r>
      <w:bookmarkEnd w:id="5"/>
    </w:p>
    <w:p w14:paraId="2F488F76" w14:textId="77777777" w:rsidR="00666716" w:rsidRDefault="00000000">
      <w:r>
        <w:rPr>
          <w:b/>
        </w:rPr>
        <w:t>H1 (Two-Wave Response):</w:t>
      </w:r>
      <w:r>
        <w:t xml:space="preserve"> The Israeli response occurred in two distinguishable waves: (1) stationed personnel present at attack onset and (2) responders who joined independently after the attack began.</w:t>
      </w:r>
    </w:p>
    <w:p w14:paraId="0DB46BC0" w14:textId="77777777" w:rsidR="00666716" w:rsidRDefault="00000000">
      <w:r>
        <w:rPr>
          <w:b/>
        </w:rPr>
        <w:t>H2 (Voluntary Mobilization):</w:t>
      </w:r>
      <w:r>
        <w:t xml:space="preserve"> A substantial proportion of responding forces joined the fighting independently rather than being formally deployed in the combat zone.</w:t>
      </w:r>
    </w:p>
    <w:p w14:paraId="5D965BF8" w14:textId="77777777" w:rsidR="00666716" w:rsidRDefault="00000000">
      <w:r>
        <w:rPr>
          <w:b/>
        </w:rPr>
        <w:t>H3 (ERC Profile):</w:t>
      </w:r>
      <w:r>
        <w:t xml:space="preserve"> Personnel who joined independently are more likely to possess characteristics associated with ERC—such as special operations training, officer status, and reserve service—than stationed personnel.</w:t>
      </w:r>
    </w:p>
    <w:p w14:paraId="6C533446" w14:textId="77777777" w:rsidR="00666716" w:rsidRDefault="00000000">
      <w:r>
        <w:rPr>
          <w:b/>
        </w:rPr>
        <w:t>H4 (Ad Hoc Team Formation):</w:t>
      </w:r>
      <w:r>
        <w:t xml:space="preserve"> Combat locations involving personnel from multiple organizational branches will display evidence of cross-organizational ad hoc team formation.</w:t>
      </w:r>
    </w:p>
    <w:p w14:paraId="4F0952F2" w14:textId="77777777" w:rsidR="00666716" w:rsidRDefault="00000000">
      <w:pPr>
        <w:pStyle w:val="Heading2"/>
      </w:pPr>
      <w:bookmarkStart w:id="6" w:name="research-design-and-methodology"/>
      <w:r>
        <w:lastRenderedPageBreak/>
        <w:t>Research Design and Methodology</w:t>
      </w:r>
      <w:bookmarkEnd w:id="6"/>
    </w:p>
    <w:p w14:paraId="33BFEEF3" w14:textId="77777777" w:rsidR="00666716" w:rsidRDefault="00000000">
      <w:pPr>
        <w:pStyle w:val="Heading3"/>
      </w:pPr>
      <w:bookmarkStart w:id="7" w:name="research-design"/>
      <w:r>
        <w:t>Research Design</w:t>
      </w:r>
      <w:bookmarkEnd w:id="7"/>
    </w:p>
    <w:p w14:paraId="653E9C5E" w14:textId="77777777" w:rsidR="00666716" w:rsidRDefault="00000000">
      <w:r>
        <w:t>We examine these hypotheses through empirical analysis of the Israeli security response to the Hamas attack on October 7, 2023. Because the case involves both observable behavioral patterns (who responded, when, and where) and underlying institutional mechanisms (training systems, organizational cultures, personnel structures) that quantitative analysis alone cannot capture, we employ a mixed-method research design combining quantitative and qualitative components (Creswell &amp; Plano Clark, 2017; Lieberman, 2005).</w:t>
      </w:r>
    </w:p>
    <w:p w14:paraId="2E01B5EA" w14:textId="77777777" w:rsidR="00666716" w:rsidRDefault="00000000">
      <w:r>
        <w:t>The quantitative component reconstructs the composition, timing, and spatial distribution of the responding forces through two original datasets. The first maps the units and organizations that engaged Hamas militants at each combat location; the second documents the security personnel killed during the fighting. The qualitative component draws on a third dataset profiling the training characteristics, operational specializations, and organizational attributes of Israeli special operations forces and elite units.</w:t>
      </w:r>
    </w:p>
    <w:p w14:paraId="12AC9DD7" w14:textId="77777777" w:rsidR="00666716" w:rsidRDefault="00000000">
      <w:r>
        <w:t>A mixed-method approach is particularly appropriate here because large-scale terrorist attacks generate chaotic conditions in which formal records of responding forces are fragmented or unavailable. By combining quantitative reconstruction with qualitative institutional analysis, we can identify both observable patterns and the organizational mechanisms that produced them (Seawright &amp; Gerring, 2008).</w:t>
      </w:r>
    </w:p>
    <w:p w14:paraId="032FEDB1" w14:textId="77777777" w:rsidR="00666716" w:rsidRDefault="00000000">
      <w:pPr>
        <w:pStyle w:val="Heading3"/>
      </w:pPr>
      <w:bookmarkStart w:id="8" w:name="data-sources"/>
      <w:r>
        <w:lastRenderedPageBreak/>
        <w:t>Data Sources</w:t>
      </w:r>
      <w:bookmarkEnd w:id="8"/>
    </w:p>
    <w:p w14:paraId="60BE55B2" w14:textId="77777777" w:rsidR="00666716" w:rsidRDefault="00000000">
      <w:pPr>
        <w:pStyle w:val="Heading4"/>
      </w:pPr>
      <w:bookmarkStart w:id="9" w:name="dataset-1-combat-participation"/>
      <w:r>
        <w:t>Dataset 1: Combat Participation</w:t>
      </w:r>
      <w:bookmarkEnd w:id="9"/>
    </w:p>
    <w:p w14:paraId="00EA88ED" w14:textId="77777777" w:rsidR="00666716" w:rsidRDefault="00000000">
      <w:r>
        <w:t xml:space="preserve">The first dataset reconstructs the units and security organizations that engaged Hamas forces during the October 7–8 battles. The unit of analysis is the location of engagement. The dataset contains </w:t>
      </w:r>
      <w:r>
        <w:rPr>
          <w:b/>
        </w:rPr>
        <w:t>37 locations</w:t>
      </w:r>
      <w:r>
        <w:t xml:space="preserve"> across the Gaza Envelope, encompassing 22 kibbutzim, 6 military bases, 4 moshavim, 2 cities (Sderot and Ofakim), and 2 festival sites. Of these, </w:t>
      </w:r>
      <w:r>
        <w:rPr>
          <w:b/>
        </w:rPr>
        <w:t>32 recorded a documented security response</w:t>
      </w:r>
      <w:r>
        <w:t>, while 5 experienced no organized defensive engagement.</w:t>
      </w:r>
    </w:p>
    <w:p w14:paraId="4093AEDC" w14:textId="77777777" w:rsidR="00666716" w:rsidRDefault="00000000">
      <w:r>
        <w:t xml:space="preserve">Across the 32 responding locations, we identified </w:t>
      </w:r>
      <w:r>
        <w:rPr>
          <w:b/>
        </w:rPr>
        <w:t>242 unit-location observations</w:t>
      </w:r>
      <w:r>
        <w:t xml:space="preserve"> involving </w:t>
      </w:r>
      <w:r>
        <w:rPr>
          <w:b/>
        </w:rPr>
        <w:t>145 distinct unit entries</w:t>
      </w:r>
      <w:r>
        <w:t xml:space="preserve">. Organizational diversity per location ranges from 2 to 35 units, with a mean of 7.6 (SD = 6.5). The five most organizationally diverse locations were Kibbutz Kfar Aza (35 units), Kibbutz Be’eri (21), Nahal Oz military base (14), Kibbutz Alumim (13), and Kibbutz Re’im (13). We compiled the dataset from IDF official documentation and battlefield reconstructions (28 locations), Kan 360 investigative reporting (5 locations), Wikipedia cross-referenced with primary sources (3 locations), and Makor Rishon reporting (1 location). This dataset serves the analysis of </w:t>
      </w:r>
      <w:r>
        <w:rPr>
          <w:b/>
        </w:rPr>
        <w:t>H4</w:t>
      </w:r>
      <w:r>
        <w:t xml:space="preserve"> by enabling measurement of organizational diversity at each combat location.</w:t>
      </w:r>
    </w:p>
    <w:p w14:paraId="7CA801B1" w14:textId="77777777" w:rsidR="00666716" w:rsidRDefault="00000000">
      <w:pPr>
        <w:pStyle w:val="Heading4"/>
      </w:pPr>
      <w:bookmarkStart w:id="10" w:name="dataset-2-security-personnel-fatalities"/>
      <w:r>
        <w:t>Dataset 2: Security Personnel Fatalities</w:t>
      </w:r>
      <w:bookmarkEnd w:id="10"/>
    </w:p>
    <w:p w14:paraId="5455CB73" w14:textId="77777777" w:rsidR="00666716" w:rsidRDefault="00000000">
      <w:r>
        <w:t xml:space="preserve">The second dataset documents </w:t>
      </w:r>
      <w:r>
        <w:rPr>
          <w:b/>
        </w:rPr>
        <w:t>369 Israeli security personnel killed during October 7–8</w:t>
      </w:r>
      <w:r>
        <w:t>, including fatalities from the IDF, Israel Police and Border Police, and the Shin Bet. Of the 369 observations, 368 were coded for mode of joining (99.7%) and 364 for both mode of joining and time of death (98.6%).</w:t>
      </w:r>
    </w:p>
    <w:p w14:paraId="7A6AE70C" w14:textId="77777777" w:rsidR="00666716" w:rsidRDefault="00000000">
      <w:r>
        <w:lastRenderedPageBreak/>
        <w:t>Why use fatality data? Casualty records do not capture all participants, but they offer a reliable and systematically documented source for identifying individuals who were actively engaged in fighting. The approach has methodological precedent in conflict research: the UCDP and ACLED programs use systematically documented fatality records to reconstruct organizational composition and intensity of armed engagements (Lacina &amp; Gleditsch, 2005; Eck, 2012). In military history, casualty rolls have long served as a primary source for identifying unit deployments when operational archives are incomplete (Gohdes &amp; Price, 2013). We compiled the dataset by cross-referencing the Israeli Ministry of Defense memorial database, Israel Police memorial records, public documentation projects mapping the October 7 events, and verified media reports.</w:t>
      </w:r>
    </w:p>
    <w:p w14:paraId="722EA341" w14:textId="77777777" w:rsidR="00666716" w:rsidRDefault="00000000">
      <w:r>
        <w:rPr>
          <w:b/>
        </w:rPr>
        <w:t>Cross-validation.</w:t>
      </w:r>
      <w:r>
        <w:t xml:space="preserve"> To assess the validity of the fatality proxy, we conducted a preliminary alignment analysis comparing organizational affiliations of fatalities in Dataset 2 with unit-level records in Dataset 1. Three indicators were examined: 88.9% of fatalities occurred at locations where their branch was documented in Dataset 1; all four organizational categories were represented in both datasets; and unit diversity correlated positively across datasets (Pearson </w:t>
      </w:r>
      <w:r>
        <w:rPr>
          <w:i/>
        </w:rPr>
        <w:t>r</w:t>
      </w:r>
      <w:r>
        <w:t xml:space="preserve"> = .62, </w:t>
      </w:r>
      <w:r>
        <w:rPr>
          <w:i/>
        </w:rPr>
        <w:t>p</w:t>
      </w:r>
      <w:r>
        <w:t xml:space="preserve"> &lt; .001; Spearman ρ = .69, </w:t>
      </w:r>
      <w:r>
        <w:rPr>
          <w:i/>
        </w:rPr>
        <w:t>p</w:t>
      </w:r>
      <w:r>
        <w:t xml:space="preserve"> &lt; .001). At the specific unit level, 61.4% of fatalities matched a documented unit—the gap reflecting reinforcement units from later response stages, consistent with the second-wave mobilization central to our framework.</w:t>
      </w:r>
    </w:p>
    <w:p w14:paraId="0239E409" w14:textId="77777777" w:rsidR="00666716" w:rsidRDefault="00000000">
      <w:pPr>
        <w:pStyle w:val="Heading3"/>
      </w:pPr>
      <w:bookmarkStart w:id="11" w:name="variables-and-coding"/>
      <w:r>
        <w:t>Variables and Coding</w:t>
      </w:r>
      <w:bookmarkEnd w:id="11"/>
    </w:p>
    <w:p w14:paraId="01EDE4A5" w14:textId="77777777" w:rsidR="00666716" w:rsidRDefault="00000000">
      <w:r>
        <w:t>Our central analytical variable—</w:t>
      </w:r>
      <w:r>
        <w:rPr>
          <w:b/>
        </w:rPr>
        <w:t>Mode of Joining</w:t>
      </w:r>
      <w:r>
        <w:t xml:space="preserve">—was coded through a multi-stage procedure operating in three tiers. Tier 1: individuals whose units were formally assigned to Gaza border positions were coded as stationed (0). Tier 2: individuals documented as traveling from outside the Gaza Envelope or departing their assigned posts were coded as self-joined (1). Tier 3: all </w:t>
      </w:r>
      <w:r>
        <w:lastRenderedPageBreak/>
        <w:t>reservist fatalities were coded as self-joined (as reservists were by definition not on active duty), and all Emergency Response Team fatalities were coded as self-joined (as these are community-based civilian defense teams who mobilize from home). This tier-three rule is transparent and methodologically conservative.</w:t>
      </w:r>
    </w:p>
    <w:p w14:paraId="1E694A57" w14:textId="77777777" w:rsidR="00666716" w:rsidRDefault="00000000">
      <w:r>
        <w:rPr>
          <w:i/>
        </w:rPr>
        <w:t>Inter-coder reliability.</w:t>
      </w:r>
      <w:r>
        <w:t xml:space="preserve"> A stratified 15% sample (n = 55, stratified by organizational branch) was independently coded by a research assistant with training in Israeli military organization but no prior exposure to the dataset or hypotheses. Cohen’s κ = .87 (95% CI [.79, .95]), exceeding the .80 acceptability threshold. Disagreements clustered around two edge cases: professional service members who left assigned positions to engage at nearby civilian communities (resolved as self-joined in 4 of 5 cases), and police officers at stations adjacent to the primary combat zone (resolved as stationed in 3 of 4 cases). Sensitivity analyses excluding ambiguous cases produced substantively identical results (SOF OR = 13.8, reserves OR = 12.9, all </w:t>
      </w:r>
      <w:r>
        <w:rPr>
          <w:i/>
        </w:rPr>
        <w:t>p</w:t>
      </w:r>
      <w:r>
        <w:t xml:space="preserve"> &lt; .001).</w:t>
      </w:r>
    </w:p>
    <w:p w14:paraId="48559F27" w14:textId="77777777" w:rsidR="00666716" w:rsidRDefault="00000000">
      <w:pPr>
        <w:pStyle w:val="Heading4"/>
      </w:pPr>
      <w:bookmarkStart w:id="12" w:name="dataset-3-special-operations-units"/>
      <w:r>
        <w:t>Dataset 3: Special Operations Units</w:t>
      </w:r>
      <w:bookmarkEnd w:id="12"/>
    </w:p>
    <w:p w14:paraId="17C76C2B" w14:textId="77777777" w:rsidR="00666716" w:rsidRDefault="00000000">
      <w:r>
        <w:t xml:space="preserve">The third dataset profiles </w:t>
      </w:r>
      <w:r>
        <w:rPr>
          <w:b/>
        </w:rPr>
        <w:t>230 Israeli special operations, reconnaissance, and elite units</w:t>
      </w:r>
      <w:r>
        <w:t xml:space="preserve"> spanning the pre-state era through 2022, recording up to 63 variables per unit across organizational identity, operational profile, training and selection, institutional characteristics, and personnel lineage. This dataset supports the qualitative analysis of institutional conditions generating ERC—particularly shared tactical training across units, cultivation of initiative at lower levels, and distribution of specialized operational expertise across multiple organizations.</w:t>
      </w:r>
    </w:p>
    <w:p w14:paraId="588D6EA8" w14:textId="77777777" w:rsidR="00666716" w:rsidRDefault="00000000">
      <w:pPr>
        <w:pStyle w:val="Heading3"/>
      </w:pPr>
      <w:bookmarkStart w:id="13" w:name="analytical-strategy"/>
      <w:r>
        <w:lastRenderedPageBreak/>
        <w:t>Analytical Strategy</w:t>
      </w:r>
      <w:bookmarkEnd w:id="13"/>
    </w:p>
    <w:p w14:paraId="44DB1659" w14:textId="77777777" w:rsidR="00666716" w:rsidRDefault="00000000">
      <w:r>
        <w:t>We evaluate the hypotheses using complementary approaches: descriptive temporal analysis (H1), frequency analysis (H2), logistic regression with mode of joining as the binary dependent variable (H3), and spatial analysis of organizational diversity across combat locations (H4).</w:t>
      </w:r>
    </w:p>
    <w:p w14:paraId="23F51CB7" w14:textId="77777777" w:rsidR="00666716" w:rsidRDefault="00000000">
      <w:pPr>
        <w:pStyle w:val="Heading2"/>
      </w:pPr>
      <w:bookmarkStart w:id="14" w:name="findings"/>
      <w:r>
        <w:t>Findings</w:t>
      </w:r>
      <w:bookmarkEnd w:id="14"/>
    </w:p>
    <w:p w14:paraId="0D5B5DCB" w14:textId="77777777" w:rsidR="00666716" w:rsidRDefault="00000000">
      <w:pPr>
        <w:pStyle w:val="Heading3"/>
      </w:pPr>
      <w:bookmarkStart w:id="15" w:name="temporal-structure-of-the-response"/>
      <w:r>
        <w:t>Temporal Structure of the Response</w:t>
      </w:r>
      <w:bookmarkEnd w:id="15"/>
    </w:p>
    <w:p w14:paraId="0529E8E6" w14:textId="77777777" w:rsidR="00666716" w:rsidRDefault="00000000">
      <w:r>
        <w:t xml:space="preserve">Of 364 fatalities coded for both time and mode of joining, 216 (59.3%) were stationed and 148 (40.7%) self-joined. The two groups show distinct temporal profiles: stationed personnel had a mean time to death of 4.05 hours (SD = 3.49, median = 3, IQR = 2–5), while self-joining responders recorded a mean of 6.21 hours (SD = 6.04, median = 4, IQR = 3–7). The difference is statistically significant (Welch’s </w:t>
      </w:r>
      <w:r>
        <w:rPr>
          <w:i/>
        </w:rPr>
        <w:t>t</w:t>
      </w:r>
      <w:r>
        <w:t xml:space="preserve"> = −3.93, </w:t>
      </w:r>
      <w:r>
        <w:rPr>
          <w:i/>
        </w:rPr>
        <w:t>p</w:t>
      </w:r>
      <w:r>
        <w:t xml:space="preserve"> &lt; .001; Mann-Whitney </w:t>
      </w:r>
      <w:r>
        <w:rPr>
          <w:i/>
        </w:rPr>
        <w:t>U</w:t>
      </w:r>
      <w:r>
        <w:t xml:space="preserve"> = 11,143, </w:t>
      </w:r>
      <w:r>
        <w:rPr>
          <w:i/>
        </w:rPr>
        <w:t>p</w:t>
      </w:r>
      <w:r>
        <w:t xml:space="preserve"> &lt; .001; Cohen’s </w:t>
      </w:r>
      <w:r>
        <w:rPr>
          <w:i/>
        </w:rPr>
        <w:t>d</w:t>
      </w:r>
      <w:r>
        <w:t xml:space="preserve"> = 0.46). A Kolmogorov-Smirnov test confirms the distributions differ significantly (</w:t>
      </w:r>
      <w:r>
        <w:rPr>
          <w:i/>
        </w:rPr>
        <w:t>D</w:t>
      </w:r>
      <w:r>
        <w:t xml:space="preserve"> = 0.258, </w:t>
      </w:r>
      <w:r>
        <w:rPr>
          <w:i/>
        </w:rPr>
        <w:t>p</w:t>
      </w:r>
      <w:r>
        <w:t xml:space="preserve"> &lt; .001).</w:t>
      </w:r>
    </w:p>
    <w:p w14:paraId="33D88337" w14:textId="77777777" w:rsidR="00666716" w:rsidRDefault="00000000">
      <w:r>
        <w:t>[Insert Figure 2: Temporal Distribution of Fatalities by Mode of Joining]</w:t>
      </w:r>
    </w:p>
    <w:p w14:paraId="142EAFA6" w14:textId="77777777" w:rsidR="00666716" w:rsidRDefault="00000000">
      <w:r>
        <w:t xml:space="preserve">Within the first three hours, 67.6% of stationed fatalities had occurred versus 45.9% of self-joiners (χ²(1) = 16.10, </w:t>
      </w:r>
      <w:r>
        <w:rPr>
          <w:i/>
        </w:rPr>
        <w:t>p</w:t>
      </w:r>
      <w:r>
        <w:t xml:space="preserve"> &lt; .001). The cumulative distribution curves tell the story clearly: the stationed curve rises steeply in the first two to three hours and plateaus by hour five, while the self-joined curve rises more gradually, overtaking the stationed rate during hours 4–9.</w:t>
      </w:r>
    </w:p>
    <w:p w14:paraId="5E151E89" w14:textId="77777777" w:rsidR="00666716" w:rsidRDefault="00000000">
      <w:r>
        <w:rPr>
          <w:b/>
        </w:rPr>
        <w:t>Table 2. Temporal Characteristics by Mode of Joining</w:t>
      </w:r>
    </w:p>
    <w:tbl>
      <w:tblPr>
        <w:tblW w:w="0" w:type="pct"/>
        <w:tblLook w:val="07E0" w:firstRow="1" w:lastRow="1" w:firstColumn="1" w:lastColumn="1" w:noHBand="1" w:noVBand="1"/>
      </w:tblPr>
      <w:tblGrid>
        <w:gridCol w:w="2829"/>
        <w:gridCol w:w="2078"/>
        <w:gridCol w:w="2265"/>
        <w:gridCol w:w="1665"/>
      </w:tblGrid>
      <w:tr w:rsidR="00666716" w14:paraId="75B16657" w14:textId="77777777">
        <w:tc>
          <w:tcPr>
            <w:tcW w:w="0" w:type="auto"/>
            <w:tcBorders>
              <w:bottom w:val="single" w:sz="0" w:space="0" w:color="auto"/>
            </w:tcBorders>
            <w:vAlign w:val="bottom"/>
          </w:tcPr>
          <w:p w14:paraId="6B41668D" w14:textId="77777777" w:rsidR="00666716" w:rsidRDefault="00666716"/>
        </w:tc>
        <w:tc>
          <w:tcPr>
            <w:tcW w:w="0" w:type="auto"/>
            <w:tcBorders>
              <w:bottom w:val="single" w:sz="0" w:space="0" w:color="auto"/>
            </w:tcBorders>
            <w:vAlign w:val="bottom"/>
          </w:tcPr>
          <w:p w14:paraId="470827EF" w14:textId="77777777" w:rsidR="00666716" w:rsidRDefault="00000000">
            <w:r>
              <w:t>Stationed (n = 216)</w:t>
            </w:r>
          </w:p>
        </w:tc>
        <w:tc>
          <w:tcPr>
            <w:tcW w:w="0" w:type="auto"/>
            <w:tcBorders>
              <w:bottom w:val="single" w:sz="0" w:space="0" w:color="auto"/>
            </w:tcBorders>
            <w:vAlign w:val="bottom"/>
          </w:tcPr>
          <w:p w14:paraId="1EF0C748" w14:textId="77777777" w:rsidR="00666716" w:rsidRDefault="00000000">
            <w:r>
              <w:t>Self-Joined (n = 148)</w:t>
            </w:r>
          </w:p>
        </w:tc>
        <w:tc>
          <w:tcPr>
            <w:tcW w:w="0" w:type="auto"/>
            <w:tcBorders>
              <w:bottom w:val="single" w:sz="0" w:space="0" w:color="auto"/>
            </w:tcBorders>
            <w:vAlign w:val="bottom"/>
          </w:tcPr>
          <w:p w14:paraId="1619C543" w14:textId="77777777" w:rsidR="00666716" w:rsidRDefault="00000000">
            <w:r>
              <w:t>Test Statistic</w:t>
            </w:r>
          </w:p>
        </w:tc>
      </w:tr>
      <w:tr w:rsidR="00666716" w14:paraId="78DF7930" w14:textId="77777777">
        <w:tc>
          <w:tcPr>
            <w:tcW w:w="0" w:type="auto"/>
          </w:tcPr>
          <w:p w14:paraId="31B010FE" w14:textId="77777777" w:rsidR="00666716" w:rsidRDefault="00000000">
            <w:r>
              <w:t>Mean time to death (hours)</w:t>
            </w:r>
          </w:p>
        </w:tc>
        <w:tc>
          <w:tcPr>
            <w:tcW w:w="0" w:type="auto"/>
          </w:tcPr>
          <w:p w14:paraId="4A889DA4" w14:textId="77777777" w:rsidR="00666716" w:rsidRDefault="00000000">
            <w:r>
              <w:t>4.05</w:t>
            </w:r>
          </w:p>
        </w:tc>
        <w:tc>
          <w:tcPr>
            <w:tcW w:w="0" w:type="auto"/>
          </w:tcPr>
          <w:p w14:paraId="76146D59" w14:textId="77777777" w:rsidR="00666716" w:rsidRDefault="00000000">
            <w:r>
              <w:t>6.21</w:t>
            </w:r>
          </w:p>
        </w:tc>
        <w:tc>
          <w:tcPr>
            <w:tcW w:w="0" w:type="auto"/>
          </w:tcPr>
          <w:p w14:paraId="08B3E832" w14:textId="77777777" w:rsidR="00666716" w:rsidRDefault="00000000">
            <w:r>
              <w:t>t = 3.93***</w:t>
            </w:r>
          </w:p>
        </w:tc>
      </w:tr>
      <w:tr w:rsidR="00666716" w14:paraId="00A67066" w14:textId="77777777">
        <w:tc>
          <w:tcPr>
            <w:tcW w:w="0" w:type="auto"/>
          </w:tcPr>
          <w:p w14:paraId="30391B07" w14:textId="77777777" w:rsidR="00666716" w:rsidRDefault="00000000">
            <w:r>
              <w:lastRenderedPageBreak/>
              <w:t>Median time to death</w:t>
            </w:r>
          </w:p>
        </w:tc>
        <w:tc>
          <w:tcPr>
            <w:tcW w:w="0" w:type="auto"/>
          </w:tcPr>
          <w:p w14:paraId="19CEA74C" w14:textId="77777777" w:rsidR="00666716" w:rsidRDefault="00000000">
            <w:r>
              <w:t>3.0</w:t>
            </w:r>
          </w:p>
        </w:tc>
        <w:tc>
          <w:tcPr>
            <w:tcW w:w="0" w:type="auto"/>
          </w:tcPr>
          <w:p w14:paraId="27F4DA97" w14:textId="77777777" w:rsidR="00666716" w:rsidRDefault="00000000">
            <w:r>
              <w:t>4.0</w:t>
            </w:r>
          </w:p>
        </w:tc>
        <w:tc>
          <w:tcPr>
            <w:tcW w:w="0" w:type="auto"/>
          </w:tcPr>
          <w:p w14:paraId="77728D5F" w14:textId="77777777" w:rsidR="00666716" w:rsidRDefault="00000000">
            <w:r>
              <w:t>U = 11,143***</w:t>
            </w:r>
          </w:p>
        </w:tc>
      </w:tr>
      <w:tr w:rsidR="00666716" w14:paraId="3A274348" w14:textId="77777777">
        <w:tc>
          <w:tcPr>
            <w:tcW w:w="0" w:type="auto"/>
          </w:tcPr>
          <w:p w14:paraId="0C32A857" w14:textId="77777777" w:rsidR="00666716" w:rsidRDefault="00000000">
            <w:r>
              <w:t>SD</w:t>
            </w:r>
          </w:p>
        </w:tc>
        <w:tc>
          <w:tcPr>
            <w:tcW w:w="0" w:type="auto"/>
          </w:tcPr>
          <w:p w14:paraId="0E70B653" w14:textId="77777777" w:rsidR="00666716" w:rsidRDefault="00000000">
            <w:r>
              <w:t>3.49</w:t>
            </w:r>
          </w:p>
        </w:tc>
        <w:tc>
          <w:tcPr>
            <w:tcW w:w="0" w:type="auto"/>
          </w:tcPr>
          <w:p w14:paraId="150F4D48" w14:textId="77777777" w:rsidR="00666716" w:rsidRDefault="00000000">
            <w:r>
              <w:t>6.04</w:t>
            </w:r>
          </w:p>
        </w:tc>
        <w:tc>
          <w:tcPr>
            <w:tcW w:w="0" w:type="auto"/>
          </w:tcPr>
          <w:p w14:paraId="07148B0E" w14:textId="77777777" w:rsidR="00666716" w:rsidRDefault="00666716"/>
        </w:tc>
      </w:tr>
      <w:tr w:rsidR="00666716" w14:paraId="7C9CF041" w14:textId="77777777">
        <w:tc>
          <w:tcPr>
            <w:tcW w:w="0" w:type="auto"/>
          </w:tcPr>
          <w:p w14:paraId="0F4D0347" w14:textId="77777777" w:rsidR="00666716" w:rsidRDefault="00000000">
            <w:r>
              <w:t>IQR (hours)</w:t>
            </w:r>
          </w:p>
        </w:tc>
        <w:tc>
          <w:tcPr>
            <w:tcW w:w="0" w:type="auto"/>
          </w:tcPr>
          <w:p w14:paraId="18837C0F" w14:textId="77777777" w:rsidR="00666716" w:rsidRDefault="00000000">
            <w:r>
              <w:t>2–5</w:t>
            </w:r>
          </w:p>
        </w:tc>
        <w:tc>
          <w:tcPr>
            <w:tcW w:w="0" w:type="auto"/>
          </w:tcPr>
          <w:p w14:paraId="073B06F2" w14:textId="77777777" w:rsidR="00666716" w:rsidRDefault="00000000">
            <w:r>
              <w:t>3–7</w:t>
            </w:r>
          </w:p>
        </w:tc>
        <w:tc>
          <w:tcPr>
            <w:tcW w:w="0" w:type="auto"/>
          </w:tcPr>
          <w:p w14:paraId="7E862DEE" w14:textId="77777777" w:rsidR="00666716" w:rsidRDefault="00666716"/>
        </w:tc>
      </w:tr>
      <w:tr w:rsidR="00666716" w14:paraId="74CBD0D2" w14:textId="77777777">
        <w:tc>
          <w:tcPr>
            <w:tcW w:w="0" w:type="auto"/>
          </w:tcPr>
          <w:p w14:paraId="2BB9E3ED" w14:textId="77777777" w:rsidR="00666716" w:rsidRDefault="00000000">
            <w:r>
              <w:t>% killed within 3 hours</w:t>
            </w:r>
          </w:p>
        </w:tc>
        <w:tc>
          <w:tcPr>
            <w:tcW w:w="0" w:type="auto"/>
          </w:tcPr>
          <w:p w14:paraId="1569CDBF" w14:textId="77777777" w:rsidR="00666716" w:rsidRDefault="00000000">
            <w:r>
              <w:t>67.6%</w:t>
            </w:r>
          </w:p>
        </w:tc>
        <w:tc>
          <w:tcPr>
            <w:tcW w:w="0" w:type="auto"/>
          </w:tcPr>
          <w:p w14:paraId="1706D947" w14:textId="77777777" w:rsidR="00666716" w:rsidRDefault="00000000">
            <w:r>
              <w:t>45.9%</w:t>
            </w:r>
          </w:p>
        </w:tc>
        <w:tc>
          <w:tcPr>
            <w:tcW w:w="0" w:type="auto"/>
          </w:tcPr>
          <w:p w14:paraId="7CCA37CE" w14:textId="77777777" w:rsidR="00666716" w:rsidRDefault="00000000">
            <w:r>
              <w:t>χ² = 16.10***</w:t>
            </w:r>
          </w:p>
        </w:tc>
      </w:tr>
      <w:tr w:rsidR="00666716" w14:paraId="292A530D" w14:textId="77777777">
        <w:tc>
          <w:tcPr>
            <w:tcW w:w="0" w:type="auto"/>
          </w:tcPr>
          <w:p w14:paraId="4A16F336" w14:textId="77777777" w:rsidR="00666716" w:rsidRDefault="00000000">
            <w:r>
              <w:t>Effect size</w:t>
            </w:r>
          </w:p>
        </w:tc>
        <w:tc>
          <w:tcPr>
            <w:tcW w:w="0" w:type="auto"/>
          </w:tcPr>
          <w:p w14:paraId="6D7D403F" w14:textId="77777777" w:rsidR="00666716" w:rsidRDefault="00666716"/>
        </w:tc>
        <w:tc>
          <w:tcPr>
            <w:tcW w:w="0" w:type="auto"/>
          </w:tcPr>
          <w:p w14:paraId="7916A4B9" w14:textId="77777777" w:rsidR="00666716" w:rsidRDefault="00666716"/>
        </w:tc>
        <w:tc>
          <w:tcPr>
            <w:tcW w:w="0" w:type="auto"/>
          </w:tcPr>
          <w:p w14:paraId="74BA465D" w14:textId="77777777" w:rsidR="00666716" w:rsidRDefault="00000000">
            <w:r>
              <w:t>d = 0.46</w:t>
            </w:r>
          </w:p>
        </w:tc>
      </w:tr>
    </w:tbl>
    <w:p w14:paraId="57C0D78A" w14:textId="77777777" w:rsidR="00666716" w:rsidRDefault="00000000">
      <w:r>
        <w:rPr>
          <w:i/>
        </w:rPr>
        <w:t>Note.</w:t>
      </w:r>
      <w:r>
        <w:t xml:space="preserve"> *** p &lt; .001. Time measured from attack onset (~6:30 AM). Cohen’s d uses pooled SD.</w:t>
      </w:r>
    </w:p>
    <w:p w14:paraId="1C199D5B" w14:textId="77777777" w:rsidR="00666716" w:rsidRDefault="00000000">
      <w:r>
        <w:t xml:space="preserve">These patterns confirm two analytically distinguishable waves: stationed personnel absorbed the initial shock during the first two to three hours, while self-joining responders reinforced defensive efforts during the middle and later stages. The temporal gap—approximately two hours at the mean and one hour at the median—corresponds to the time required for decentralized mobilization to generate a second line of response. The overlap between distributions during hours three through five is notable: it indicates a gradual transition, with the second wave arriving while the first was still actively engaged. Put plainly, the formal garrison bore the brunt of the initial assault; the decentralized response then built up behind it, extending the defense well beyond what stationed forces alone could have sustained. These findings support </w:t>
      </w:r>
      <w:r>
        <w:rPr>
          <w:b/>
        </w:rPr>
        <w:t>H1</w:t>
      </w:r>
      <w:r>
        <w:t>.</w:t>
      </w:r>
    </w:p>
    <w:p w14:paraId="1DB665D5" w14:textId="77777777" w:rsidR="00666716" w:rsidRDefault="00000000">
      <w:r>
        <w:t>[Insert Figure 3: Cumulative Distribution of Fatalities by Mode of Joining]</w:t>
      </w:r>
    </w:p>
    <w:p w14:paraId="796D5193" w14:textId="77777777" w:rsidR="00666716" w:rsidRDefault="00000000">
      <w:pPr>
        <w:pStyle w:val="Heading3"/>
      </w:pPr>
      <w:bookmarkStart w:id="16" w:name="decentralized-mobilization"/>
      <w:r>
        <w:t>Decentralized Mobilization</w:t>
      </w:r>
      <w:bookmarkEnd w:id="16"/>
    </w:p>
    <w:p w14:paraId="71DF7341" w14:textId="77777777" w:rsidR="00666716" w:rsidRDefault="00000000">
      <w:r>
        <w:t>Of 368 coded fatalities, 150 (40.8%; 95% CI [35.9%, 45.9%]) were self-joining responders—individuals not initially stationed along the Gaza border who arrived independently after learning about the attack. A binomial test confirms this significantly exceeds one-third of the responding force (</w:t>
      </w:r>
      <w:r>
        <w:rPr>
          <w:i/>
        </w:rPr>
        <w:t>p</w:t>
      </w:r>
      <w:r>
        <w:t xml:space="preserve"> = .001), establishing that decentralized mobilization was not a marginal phenomenon but </w:t>
      </w:r>
      <w:r>
        <w:lastRenderedPageBreak/>
        <w:t>a substantial component of the defensive response. When we restrict the analysis to combat-role fatalities (n = 343), the self-joining rate rises to 42.3%.</w:t>
      </w:r>
    </w:p>
    <w:p w14:paraId="24557263" w14:textId="77777777" w:rsidR="00666716" w:rsidRDefault="00000000">
      <w:r>
        <w:t>The geographic reach of self-joining was extensive. We recorded self-joining fatalities at 31 of 40 locations (77.5%), indicating that decentralized mobilization extended across the full breadth of the battlespace. At several locations—Be’eri (81.8%), Ofakim (87.5%), Kfar Aza (64.3%), Sderot (57.1%)—self-joiners constituted the majority of fatalities, suggesting that the defense of these communities depended substantially on personnel who arrived voluntarily.</w:t>
      </w:r>
    </w:p>
    <w:p w14:paraId="7D11F77C" w14:textId="77777777" w:rsidR="00666716" w:rsidRDefault="00000000">
      <w:r>
        <w:t xml:space="preserve">Self-joining rates varied significantly across organizational branches (χ²(3) = 106.0, </w:t>
      </w:r>
      <w:r>
        <w:rPr>
          <w:i/>
        </w:rPr>
        <w:t>p</w:t>
      </w:r>
      <w:r>
        <w:t xml:space="preserve"> &lt; .001, Cramér’s V = .54): Emergency Response Teams (100%), Shin Bet (85.7%), Police (62.1%), and Military (25.0%). Rates also differed by service status (χ²(2) = 152.5, </w:t>
      </w:r>
      <w:r>
        <w:rPr>
          <w:i/>
        </w:rPr>
        <w:t>p</w:t>
      </w:r>
      <w:r>
        <w:t xml:space="preserve"> &lt; .001, Cramér’s V = .64): reservists (93.0%), professional (57.2%), and conscripts (8.4%). Among SOF personnel, 83.3% self-joined versus 32.5% of non-SOF (OR = 10.40, χ²(1) = 51.7, </w:t>
      </w:r>
      <w:r>
        <w:rPr>
          <w:i/>
        </w:rPr>
        <w:t>p</w:t>
      </w:r>
      <w:r>
        <w:t xml:space="preserve"> &lt; .001). Among officers, 63.8% self-joined versus 32.8% of non-officers (OR = 3.61, χ²(1) = 26.6, </w:t>
      </w:r>
      <w:r>
        <w:rPr>
          <w:i/>
        </w:rPr>
        <w:t>p</w:t>
      </w:r>
      <w:r>
        <w:t xml:space="preserve"> &lt; .001).</w:t>
      </w:r>
    </w:p>
    <w:p w14:paraId="355040BD" w14:textId="77777777" w:rsidR="00666716" w:rsidRDefault="00000000">
      <w:r>
        <w:rPr>
          <w:b/>
        </w:rPr>
        <w:t>Table 3. Self-Joining Rates by Subgroup</w:t>
      </w:r>
    </w:p>
    <w:tbl>
      <w:tblPr>
        <w:tblW w:w="0" w:type="pct"/>
        <w:tblLook w:val="07E0" w:firstRow="1" w:lastRow="1" w:firstColumn="1" w:lastColumn="1" w:noHBand="1" w:noVBand="1"/>
      </w:tblPr>
      <w:tblGrid>
        <w:gridCol w:w="2289"/>
        <w:gridCol w:w="1123"/>
        <w:gridCol w:w="1310"/>
        <w:gridCol w:w="723"/>
        <w:gridCol w:w="1570"/>
        <w:gridCol w:w="1830"/>
      </w:tblGrid>
      <w:tr w:rsidR="00666716" w14:paraId="33E9FFDA" w14:textId="77777777">
        <w:tc>
          <w:tcPr>
            <w:tcW w:w="0" w:type="auto"/>
            <w:tcBorders>
              <w:bottom w:val="single" w:sz="0" w:space="0" w:color="auto"/>
            </w:tcBorders>
            <w:vAlign w:val="bottom"/>
          </w:tcPr>
          <w:p w14:paraId="62D073B1" w14:textId="77777777" w:rsidR="00666716" w:rsidRDefault="00000000">
            <w:r>
              <w:t>Subgroup</w:t>
            </w:r>
          </w:p>
        </w:tc>
        <w:tc>
          <w:tcPr>
            <w:tcW w:w="0" w:type="auto"/>
            <w:tcBorders>
              <w:bottom w:val="single" w:sz="0" w:space="0" w:color="auto"/>
            </w:tcBorders>
            <w:vAlign w:val="bottom"/>
          </w:tcPr>
          <w:p w14:paraId="71F32FC1" w14:textId="77777777" w:rsidR="00666716" w:rsidRDefault="00000000">
            <w:r>
              <w:t>Stationed</w:t>
            </w:r>
          </w:p>
        </w:tc>
        <w:tc>
          <w:tcPr>
            <w:tcW w:w="0" w:type="auto"/>
            <w:tcBorders>
              <w:bottom w:val="single" w:sz="0" w:space="0" w:color="auto"/>
            </w:tcBorders>
            <w:vAlign w:val="bottom"/>
          </w:tcPr>
          <w:p w14:paraId="197BF2E1" w14:textId="77777777" w:rsidR="00666716" w:rsidRDefault="00000000">
            <w:r>
              <w:t>Self-Joined</w:t>
            </w:r>
          </w:p>
        </w:tc>
        <w:tc>
          <w:tcPr>
            <w:tcW w:w="0" w:type="auto"/>
            <w:tcBorders>
              <w:bottom w:val="single" w:sz="0" w:space="0" w:color="auto"/>
            </w:tcBorders>
            <w:vAlign w:val="bottom"/>
          </w:tcPr>
          <w:p w14:paraId="43216DA4" w14:textId="77777777" w:rsidR="00666716" w:rsidRDefault="00000000">
            <w:r>
              <w:t>Total</w:t>
            </w:r>
          </w:p>
        </w:tc>
        <w:tc>
          <w:tcPr>
            <w:tcW w:w="0" w:type="auto"/>
            <w:tcBorders>
              <w:bottom w:val="single" w:sz="0" w:space="0" w:color="auto"/>
            </w:tcBorders>
            <w:vAlign w:val="bottom"/>
          </w:tcPr>
          <w:p w14:paraId="7478067D" w14:textId="77777777" w:rsidR="00666716" w:rsidRDefault="00000000">
            <w:r>
              <w:t>% Self-Joined</w:t>
            </w:r>
          </w:p>
        </w:tc>
        <w:tc>
          <w:tcPr>
            <w:tcW w:w="0" w:type="auto"/>
            <w:tcBorders>
              <w:bottom w:val="single" w:sz="0" w:space="0" w:color="auto"/>
            </w:tcBorders>
            <w:vAlign w:val="bottom"/>
          </w:tcPr>
          <w:p w14:paraId="3B9DE86A" w14:textId="77777777" w:rsidR="00666716" w:rsidRDefault="00000000">
            <w:r>
              <w:t>Test</w:t>
            </w:r>
          </w:p>
        </w:tc>
      </w:tr>
      <w:tr w:rsidR="00666716" w14:paraId="4885F693" w14:textId="77777777">
        <w:tc>
          <w:tcPr>
            <w:tcW w:w="0" w:type="auto"/>
          </w:tcPr>
          <w:p w14:paraId="330923C4" w14:textId="77777777" w:rsidR="00666716" w:rsidRDefault="00000000">
            <w:r>
              <w:rPr>
                <w:b/>
              </w:rPr>
              <w:t>Overall</w:t>
            </w:r>
          </w:p>
        </w:tc>
        <w:tc>
          <w:tcPr>
            <w:tcW w:w="0" w:type="auto"/>
          </w:tcPr>
          <w:p w14:paraId="00ADDA51" w14:textId="77777777" w:rsidR="00666716" w:rsidRDefault="00000000">
            <w:r>
              <w:t>218</w:t>
            </w:r>
          </w:p>
        </w:tc>
        <w:tc>
          <w:tcPr>
            <w:tcW w:w="0" w:type="auto"/>
          </w:tcPr>
          <w:p w14:paraId="289D0D2D" w14:textId="77777777" w:rsidR="00666716" w:rsidRDefault="00000000">
            <w:r>
              <w:t>150</w:t>
            </w:r>
          </w:p>
        </w:tc>
        <w:tc>
          <w:tcPr>
            <w:tcW w:w="0" w:type="auto"/>
          </w:tcPr>
          <w:p w14:paraId="2C0F3039" w14:textId="77777777" w:rsidR="00666716" w:rsidRDefault="00000000">
            <w:r>
              <w:t>368</w:t>
            </w:r>
          </w:p>
        </w:tc>
        <w:tc>
          <w:tcPr>
            <w:tcW w:w="0" w:type="auto"/>
          </w:tcPr>
          <w:p w14:paraId="5DB9B483" w14:textId="77777777" w:rsidR="00666716" w:rsidRDefault="00000000">
            <w:r>
              <w:t>40.8%</w:t>
            </w:r>
          </w:p>
        </w:tc>
        <w:tc>
          <w:tcPr>
            <w:tcW w:w="0" w:type="auto"/>
          </w:tcPr>
          <w:p w14:paraId="384EF7D2" w14:textId="77777777" w:rsidR="00666716" w:rsidRDefault="00666716"/>
        </w:tc>
      </w:tr>
      <w:tr w:rsidR="00666716" w14:paraId="430E1E42" w14:textId="77777777">
        <w:tc>
          <w:tcPr>
            <w:tcW w:w="0" w:type="auto"/>
          </w:tcPr>
          <w:p w14:paraId="56514396" w14:textId="77777777" w:rsidR="00666716" w:rsidRDefault="00000000">
            <w:r>
              <w:rPr>
                <w:b/>
              </w:rPr>
              <w:t>Branch</w:t>
            </w:r>
          </w:p>
        </w:tc>
        <w:tc>
          <w:tcPr>
            <w:tcW w:w="0" w:type="auto"/>
          </w:tcPr>
          <w:p w14:paraId="069AB7B3" w14:textId="77777777" w:rsidR="00666716" w:rsidRDefault="00666716"/>
        </w:tc>
        <w:tc>
          <w:tcPr>
            <w:tcW w:w="0" w:type="auto"/>
          </w:tcPr>
          <w:p w14:paraId="7885F835" w14:textId="77777777" w:rsidR="00666716" w:rsidRDefault="00666716"/>
        </w:tc>
        <w:tc>
          <w:tcPr>
            <w:tcW w:w="0" w:type="auto"/>
          </w:tcPr>
          <w:p w14:paraId="46901392" w14:textId="77777777" w:rsidR="00666716" w:rsidRDefault="00666716"/>
        </w:tc>
        <w:tc>
          <w:tcPr>
            <w:tcW w:w="0" w:type="auto"/>
          </w:tcPr>
          <w:p w14:paraId="204BADB8" w14:textId="77777777" w:rsidR="00666716" w:rsidRDefault="00666716"/>
        </w:tc>
        <w:tc>
          <w:tcPr>
            <w:tcW w:w="0" w:type="auto"/>
          </w:tcPr>
          <w:p w14:paraId="125431FB" w14:textId="77777777" w:rsidR="00666716" w:rsidRDefault="00000000">
            <w:r>
              <w:t>χ²(3) = 106.0***</w:t>
            </w:r>
          </w:p>
        </w:tc>
      </w:tr>
      <w:tr w:rsidR="00666716" w14:paraId="733D2AA7" w14:textId="77777777">
        <w:tc>
          <w:tcPr>
            <w:tcW w:w="0" w:type="auto"/>
          </w:tcPr>
          <w:p w14:paraId="0FABAD09" w14:textId="77777777" w:rsidR="00666716" w:rsidRDefault="00000000">
            <w:r>
              <w:t>Military</w:t>
            </w:r>
          </w:p>
        </w:tc>
        <w:tc>
          <w:tcPr>
            <w:tcW w:w="0" w:type="auto"/>
          </w:tcPr>
          <w:p w14:paraId="4819EAB1" w14:textId="77777777" w:rsidR="00666716" w:rsidRDefault="00000000">
            <w:r>
              <w:t>195</w:t>
            </w:r>
          </w:p>
        </w:tc>
        <w:tc>
          <w:tcPr>
            <w:tcW w:w="0" w:type="auto"/>
          </w:tcPr>
          <w:p w14:paraId="254D5986" w14:textId="77777777" w:rsidR="00666716" w:rsidRDefault="00000000">
            <w:r>
              <w:t>65</w:t>
            </w:r>
          </w:p>
        </w:tc>
        <w:tc>
          <w:tcPr>
            <w:tcW w:w="0" w:type="auto"/>
          </w:tcPr>
          <w:p w14:paraId="23703FA0" w14:textId="77777777" w:rsidR="00666716" w:rsidRDefault="00000000">
            <w:r>
              <w:t>260</w:t>
            </w:r>
          </w:p>
        </w:tc>
        <w:tc>
          <w:tcPr>
            <w:tcW w:w="0" w:type="auto"/>
          </w:tcPr>
          <w:p w14:paraId="24459DB7" w14:textId="77777777" w:rsidR="00666716" w:rsidRDefault="00000000">
            <w:r>
              <w:t>25.0%</w:t>
            </w:r>
          </w:p>
        </w:tc>
        <w:tc>
          <w:tcPr>
            <w:tcW w:w="0" w:type="auto"/>
          </w:tcPr>
          <w:p w14:paraId="1DC03EFD" w14:textId="77777777" w:rsidR="00666716" w:rsidRDefault="00666716"/>
        </w:tc>
      </w:tr>
      <w:tr w:rsidR="00666716" w14:paraId="71B669F9" w14:textId="77777777">
        <w:tc>
          <w:tcPr>
            <w:tcW w:w="0" w:type="auto"/>
          </w:tcPr>
          <w:p w14:paraId="0C9A3218" w14:textId="77777777" w:rsidR="00666716" w:rsidRDefault="00000000">
            <w:r>
              <w:t>Police</w:t>
            </w:r>
          </w:p>
        </w:tc>
        <w:tc>
          <w:tcPr>
            <w:tcW w:w="0" w:type="auto"/>
          </w:tcPr>
          <w:p w14:paraId="12808C14" w14:textId="77777777" w:rsidR="00666716" w:rsidRDefault="00000000">
            <w:r>
              <w:t>22</w:t>
            </w:r>
          </w:p>
        </w:tc>
        <w:tc>
          <w:tcPr>
            <w:tcW w:w="0" w:type="auto"/>
          </w:tcPr>
          <w:p w14:paraId="688A8812" w14:textId="77777777" w:rsidR="00666716" w:rsidRDefault="00000000">
            <w:r>
              <w:t>36</w:t>
            </w:r>
          </w:p>
        </w:tc>
        <w:tc>
          <w:tcPr>
            <w:tcW w:w="0" w:type="auto"/>
          </w:tcPr>
          <w:p w14:paraId="25930C35" w14:textId="77777777" w:rsidR="00666716" w:rsidRDefault="00000000">
            <w:r>
              <w:t>58</w:t>
            </w:r>
          </w:p>
        </w:tc>
        <w:tc>
          <w:tcPr>
            <w:tcW w:w="0" w:type="auto"/>
          </w:tcPr>
          <w:p w14:paraId="154815CA" w14:textId="77777777" w:rsidR="00666716" w:rsidRDefault="00000000">
            <w:r>
              <w:t>62.1%</w:t>
            </w:r>
          </w:p>
        </w:tc>
        <w:tc>
          <w:tcPr>
            <w:tcW w:w="0" w:type="auto"/>
          </w:tcPr>
          <w:p w14:paraId="09789345" w14:textId="77777777" w:rsidR="00666716" w:rsidRDefault="00666716"/>
        </w:tc>
      </w:tr>
      <w:tr w:rsidR="00666716" w14:paraId="354943DA" w14:textId="77777777">
        <w:tc>
          <w:tcPr>
            <w:tcW w:w="0" w:type="auto"/>
          </w:tcPr>
          <w:p w14:paraId="7E0C603A" w14:textId="77777777" w:rsidR="00666716" w:rsidRDefault="00000000">
            <w:r>
              <w:t>Shin Bet</w:t>
            </w:r>
          </w:p>
        </w:tc>
        <w:tc>
          <w:tcPr>
            <w:tcW w:w="0" w:type="auto"/>
          </w:tcPr>
          <w:p w14:paraId="3BD48B21" w14:textId="77777777" w:rsidR="00666716" w:rsidRDefault="00000000">
            <w:r>
              <w:t>1</w:t>
            </w:r>
          </w:p>
        </w:tc>
        <w:tc>
          <w:tcPr>
            <w:tcW w:w="0" w:type="auto"/>
          </w:tcPr>
          <w:p w14:paraId="63EA46C8" w14:textId="77777777" w:rsidR="00666716" w:rsidRDefault="00000000">
            <w:r>
              <w:t>6</w:t>
            </w:r>
          </w:p>
        </w:tc>
        <w:tc>
          <w:tcPr>
            <w:tcW w:w="0" w:type="auto"/>
          </w:tcPr>
          <w:p w14:paraId="2DAA3FAC" w14:textId="77777777" w:rsidR="00666716" w:rsidRDefault="00000000">
            <w:r>
              <w:t>7</w:t>
            </w:r>
          </w:p>
        </w:tc>
        <w:tc>
          <w:tcPr>
            <w:tcW w:w="0" w:type="auto"/>
          </w:tcPr>
          <w:p w14:paraId="77597B3A" w14:textId="77777777" w:rsidR="00666716" w:rsidRDefault="00000000">
            <w:r>
              <w:t>85.7%</w:t>
            </w:r>
          </w:p>
        </w:tc>
        <w:tc>
          <w:tcPr>
            <w:tcW w:w="0" w:type="auto"/>
          </w:tcPr>
          <w:p w14:paraId="3ED966CB" w14:textId="77777777" w:rsidR="00666716" w:rsidRDefault="00666716"/>
        </w:tc>
      </w:tr>
      <w:tr w:rsidR="00666716" w14:paraId="17E378DD" w14:textId="77777777">
        <w:tc>
          <w:tcPr>
            <w:tcW w:w="0" w:type="auto"/>
          </w:tcPr>
          <w:p w14:paraId="56BCCE52" w14:textId="77777777" w:rsidR="00666716" w:rsidRDefault="00000000">
            <w:r>
              <w:t>Emergency Response</w:t>
            </w:r>
          </w:p>
        </w:tc>
        <w:tc>
          <w:tcPr>
            <w:tcW w:w="0" w:type="auto"/>
          </w:tcPr>
          <w:p w14:paraId="24440E9C" w14:textId="77777777" w:rsidR="00666716" w:rsidRDefault="00000000">
            <w:r>
              <w:t>0</w:t>
            </w:r>
          </w:p>
        </w:tc>
        <w:tc>
          <w:tcPr>
            <w:tcW w:w="0" w:type="auto"/>
          </w:tcPr>
          <w:p w14:paraId="61F142F2" w14:textId="77777777" w:rsidR="00666716" w:rsidRDefault="00000000">
            <w:r>
              <w:t>43</w:t>
            </w:r>
          </w:p>
        </w:tc>
        <w:tc>
          <w:tcPr>
            <w:tcW w:w="0" w:type="auto"/>
          </w:tcPr>
          <w:p w14:paraId="7FA23AAB" w14:textId="77777777" w:rsidR="00666716" w:rsidRDefault="00000000">
            <w:r>
              <w:t>43</w:t>
            </w:r>
          </w:p>
        </w:tc>
        <w:tc>
          <w:tcPr>
            <w:tcW w:w="0" w:type="auto"/>
          </w:tcPr>
          <w:p w14:paraId="0DB19C86" w14:textId="77777777" w:rsidR="00666716" w:rsidRDefault="00000000">
            <w:r>
              <w:t>100.0%</w:t>
            </w:r>
          </w:p>
        </w:tc>
        <w:tc>
          <w:tcPr>
            <w:tcW w:w="0" w:type="auto"/>
          </w:tcPr>
          <w:p w14:paraId="71CE7175" w14:textId="77777777" w:rsidR="00666716" w:rsidRDefault="00666716"/>
        </w:tc>
      </w:tr>
      <w:tr w:rsidR="00666716" w14:paraId="1FDEBA08" w14:textId="77777777">
        <w:tc>
          <w:tcPr>
            <w:tcW w:w="0" w:type="auto"/>
          </w:tcPr>
          <w:p w14:paraId="0CA06438" w14:textId="77777777" w:rsidR="00666716" w:rsidRDefault="00000000">
            <w:r>
              <w:rPr>
                <w:b/>
              </w:rPr>
              <w:t>Service status</w:t>
            </w:r>
          </w:p>
        </w:tc>
        <w:tc>
          <w:tcPr>
            <w:tcW w:w="0" w:type="auto"/>
          </w:tcPr>
          <w:p w14:paraId="00317916" w14:textId="77777777" w:rsidR="00666716" w:rsidRDefault="00666716"/>
        </w:tc>
        <w:tc>
          <w:tcPr>
            <w:tcW w:w="0" w:type="auto"/>
          </w:tcPr>
          <w:p w14:paraId="04FEF213" w14:textId="77777777" w:rsidR="00666716" w:rsidRDefault="00666716"/>
        </w:tc>
        <w:tc>
          <w:tcPr>
            <w:tcW w:w="0" w:type="auto"/>
          </w:tcPr>
          <w:p w14:paraId="43997568" w14:textId="77777777" w:rsidR="00666716" w:rsidRDefault="00666716"/>
        </w:tc>
        <w:tc>
          <w:tcPr>
            <w:tcW w:w="0" w:type="auto"/>
          </w:tcPr>
          <w:p w14:paraId="7139E8F6" w14:textId="77777777" w:rsidR="00666716" w:rsidRDefault="00666716"/>
        </w:tc>
        <w:tc>
          <w:tcPr>
            <w:tcW w:w="0" w:type="auto"/>
          </w:tcPr>
          <w:p w14:paraId="55AB18AE" w14:textId="77777777" w:rsidR="00666716" w:rsidRDefault="00000000">
            <w:r>
              <w:t>χ²(2) = 152.5***</w:t>
            </w:r>
          </w:p>
        </w:tc>
      </w:tr>
      <w:tr w:rsidR="00666716" w14:paraId="60C7DCF1" w14:textId="77777777">
        <w:tc>
          <w:tcPr>
            <w:tcW w:w="0" w:type="auto"/>
          </w:tcPr>
          <w:p w14:paraId="3E93912F" w14:textId="77777777" w:rsidR="00666716" w:rsidRDefault="00000000">
            <w:r>
              <w:t>Conscript</w:t>
            </w:r>
          </w:p>
        </w:tc>
        <w:tc>
          <w:tcPr>
            <w:tcW w:w="0" w:type="auto"/>
          </w:tcPr>
          <w:p w14:paraId="3E358E78" w14:textId="77777777" w:rsidR="00666716" w:rsidRDefault="00000000">
            <w:r>
              <w:t>152</w:t>
            </w:r>
          </w:p>
        </w:tc>
        <w:tc>
          <w:tcPr>
            <w:tcW w:w="0" w:type="auto"/>
          </w:tcPr>
          <w:p w14:paraId="27A755A1" w14:textId="77777777" w:rsidR="00666716" w:rsidRDefault="00000000">
            <w:r>
              <w:t>14</w:t>
            </w:r>
          </w:p>
        </w:tc>
        <w:tc>
          <w:tcPr>
            <w:tcW w:w="0" w:type="auto"/>
          </w:tcPr>
          <w:p w14:paraId="598CD8A1" w14:textId="77777777" w:rsidR="00666716" w:rsidRDefault="00000000">
            <w:r>
              <w:t>166</w:t>
            </w:r>
          </w:p>
        </w:tc>
        <w:tc>
          <w:tcPr>
            <w:tcW w:w="0" w:type="auto"/>
          </w:tcPr>
          <w:p w14:paraId="0B5F7BD9" w14:textId="77777777" w:rsidR="00666716" w:rsidRDefault="00000000">
            <w:r>
              <w:t>8.4%</w:t>
            </w:r>
          </w:p>
        </w:tc>
        <w:tc>
          <w:tcPr>
            <w:tcW w:w="0" w:type="auto"/>
          </w:tcPr>
          <w:p w14:paraId="691EE1C3" w14:textId="77777777" w:rsidR="00666716" w:rsidRDefault="00666716"/>
        </w:tc>
      </w:tr>
      <w:tr w:rsidR="00666716" w14:paraId="7FD43229" w14:textId="77777777">
        <w:tc>
          <w:tcPr>
            <w:tcW w:w="0" w:type="auto"/>
          </w:tcPr>
          <w:p w14:paraId="6E73E0FD" w14:textId="77777777" w:rsidR="00666716" w:rsidRDefault="00000000">
            <w:r>
              <w:lastRenderedPageBreak/>
              <w:t>Professional</w:t>
            </w:r>
          </w:p>
        </w:tc>
        <w:tc>
          <w:tcPr>
            <w:tcW w:w="0" w:type="auto"/>
          </w:tcPr>
          <w:p w14:paraId="6E8B4923" w14:textId="77777777" w:rsidR="00666716" w:rsidRDefault="00000000">
            <w:r>
              <w:t>62</w:t>
            </w:r>
          </w:p>
        </w:tc>
        <w:tc>
          <w:tcPr>
            <w:tcW w:w="0" w:type="auto"/>
          </w:tcPr>
          <w:p w14:paraId="7081ADE3" w14:textId="77777777" w:rsidR="00666716" w:rsidRDefault="00000000">
            <w:r>
              <w:t>83</w:t>
            </w:r>
          </w:p>
        </w:tc>
        <w:tc>
          <w:tcPr>
            <w:tcW w:w="0" w:type="auto"/>
          </w:tcPr>
          <w:p w14:paraId="39F8C624" w14:textId="77777777" w:rsidR="00666716" w:rsidRDefault="00000000">
            <w:r>
              <w:t>145</w:t>
            </w:r>
          </w:p>
        </w:tc>
        <w:tc>
          <w:tcPr>
            <w:tcW w:w="0" w:type="auto"/>
          </w:tcPr>
          <w:p w14:paraId="17D6237B" w14:textId="77777777" w:rsidR="00666716" w:rsidRDefault="00000000">
            <w:r>
              <w:t>57.2%</w:t>
            </w:r>
          </w:p>
        </w:tc>
        <w:tc>
          <w:tcPr>
            <w:tcW w:w="0" w:type="auto"/>
          </w:tcPr>
          <w:p w14:paraId="0D1BD557" w14:textId="77777777" w:rsidR="00666716" w:rsidRDefault="00666716"/>
        </w:tc>
      </w:tr>
      <w:tr w:rsidR="00666716" w14:paraId="47882785" w14:textId="77777777">
        <w:tc>
          <w:tcPr>
            <w:tcW w:w="0" w:type="auto"/>
          </w:tcPr>
          <w:p w14:paraId="0A953AA5" w14:textId="77777777" w:rsidR="00666716" w:rsidRDefault="00000000">
            <w:r>
              <w:t>Reserves</w:t>
            </w:r>
          </w:p>
        </w:tc>
        <w:tc>
          <w:tcPr>
            <w:tcW w:w="0" w:type="auto"/>
          </w:tcPr>
          <w:p w14:paraId="19F78710" w14:textId="77777777" w:rsidR="00666716" w:rsidRDefault="00000000">
            <w:r>
              <w:t>4</w:t>
            </w:r>
          </w:p>
        </w:tc>
        <w:tc>
          <w:tcPr>
            <w:tcW w:w="0" w:type="auto"/>
          </w:tcPr>
          <w:p w14:paraId="4805305A" w14:textId="77777777" w:rsidR="00666716" w:rsidRDefault="00000000">
            <w:r>
              <w:t>53</w:t>
            </w:r>
          </w:p>
        </w:tc>
        <w:tc>
          <w:tcPr>
            <w:tcW w:w="0" w:type="auto"/>
          </w:tcPr>
          <w:p w14:paraId="0A1CC7BD" w14:textId="77777777" w:rsidR="00666716" w:rsidRDefault="00000000">
            <w:r>
              <w:t>57</w:t>
            </w:r>
          </w:p>
        </w:tc>
        <w:tc>
          <w:tcPr>
            <w:tcW w:w="0" w:type="auto"/>
          </w:tcPr>
          <w:p w14:paraId="0D274560" w14:textId="77777777" w:rsidR="00666716" w:rsidRDefault="00000000">
            <w:r>
              <w:t>93.0%</w:t>
            </w:r>
          </w:p>
        </w:tc>
        <w:tc>
          <w:tcPr>
            <w:tcW w:w="0" w:type="auto"/>
          </w:tcPr>
          <w:p w14:paraId="369D31B1" w14:textId="77777777" w:rsidR="00666716" w:rsidRDefault="00666716"/>
        </w:tc>
      </w:tr>
      <w:tr w:rsidR="00666716" w14:paraId="16753400" w14:textId="77777777">
        <w:tc>
          <w:tcPr>
            <w:tcW w:w="0" w:type="auto"/>
          </w:tcPr>
          <w:p w14:paraId="4D60F973" w14:textId="77777777" w:rsidR="00666716" w:rsidRDefault="00000000">
            <w:r>
              <w:rPr>
                <w:b/>
              </w:rPr>
              <w:t>SOF status</w:t>
            </w:r>
          </w:p>
        </w:tc>
        <w:tc>
          <w:tcPr>
            <w:tcW w:w="0" w:type="auto"/>
          </w:tcPr>
          <w:p w14:paraId="1C4E8C58" w14:textId="77777777" w:rsidR="00666716" w:rsidRDefault="00666716"/>
        </w:tc>
        <w:tc>
          <w:tcPr>
            <w:tcW w:w="0" w:type="auto"/>
          </w:tcPr>
          <w:p w14:paraId="0C6ABE19" w14:textId="77777777" w:rsidR="00666716" w:rsidRDefault="00666716"/>
        </w:tc>
        <w:tc>
          <w:tcPr>
            <w:tcW w:w="0" w:type="auto"/>
          </w:tcPr>
          <w:p w14:paraId="760B8C69" w14:textId="77777777" w:rsidR="00666716" w:rsidRDefault="00666716"/>
        </w:tc>
        <w:tc>
          <w:tcPr>
            <w:tcW w:w="0" w:type="auto"/>
          </w:tcPr>
          <w:p w14:paraId="3416955A" w14:textId="77777777" w:rsidR="00666716" w:rsidRDefault="00666716"/>
        </w:tc>
        <w:tc>
          <w:tcPr>
            <w:tcW w:w="0" w:type="auto"/>
          </w:tcPr>
          <w:p w14:paraId="616C6540" w14:textId="77777777" w:rsidR="00666716" w:rsidRDefault="00000000">
            <w:r>
              <w:t>χ²(1) = 51.7***</w:t>
            </w:r>
          </w:p>
        </w:tc>
      </w:tr>
      <w:tr w:rsidR="00666716" w14:paraId="253382EB" w14:textId="77777777">
        <w:tc>
          <w:tcPr>
            <w:tcW w:w="0" w:type="auto"/>
          </w:tcPr>
          <w:p w14:paraId="29589F1F" w14:textId="77777777" w:rsidR="00666716" w:rsidRDefault="00000000">
            <w:r>
              <w:t>Non-SOF</w:t>
            </w:r>
          </w:p>
        </w:tc>
        <w:tc>
          <w:tcPr>
            <w:tcW w:w="0" w:type="auto"/>
          </w:tcPr>
          <w:p w14:paraId="47DD27CD" w14:textId="77777777" w:rsidR="00666716" w:rsidRDefault="00000000">
            <w:r>
              <w:t>208</w:t>
            </w:r>
          </w:p>
        </w:tc>
        <w:tc>
          <w:tcPr>
            <w:tcW w:w="0" w:type="auto"/>
          </w:tcPr>
          <w:p w14:paraId="0A4CBE84" w14:textId="77777777" w:rsidR="00666716" w:rsidRDefault="00000000">
            <w:r>
              <w:t>100</w:t>
            </w:r>
          </w:p>
        </w:tc>
        <w:tc>
          <w:tcPr>
            <w:tcW w:w="0" w:type="auto"/>
          </w:tcPr>
          <w:p w14:paraId="3D3575AA" w14:textId="77777777" w:rsidR="00666716" w:rsidRDefault="00000000">
            <w:r>
              <w:t>308</w:t>
            </w:r>
          </w:p>
        </w:tc>
        <w:tc>
          <w:tcPr>
            <w:tcW w:w="0" w:type="auto"/>
          </w:tcPr>
          <w:p w14:paraId="46EFDEF0" w14:textId="77777777" w:rsidR="00666716" w:rsidRDefault="00000000">
            <w:r>
              <w:t>32.5%</w:t>
            </w:r>
          </w:p>
        </w:tc>
        <w:tc>
          <w:tcPr>
            <w:tcW w:w="0" w:type="auto"/>
          </w:tcPr>
          <w:p w14:paraId="7B487167" w14:textId="77777777" w:rsidR="00666716" w:rsidRDefault="00666716"/>
        </w:tc>
      </w:tr>
      <w:tr w:rsidR="00666716" w14:paraId="2D57F525" w14:textId="77777777">
        <w:tc>
          <w:tcPr>
            <w:tcW w:w="0" w:type="auto"/>
          </w:tcPr>
          <w:p w14:paraId="443226A5" w14:textId="77777777" w:rsidR="00666716" w:rsidRDefault="00000000">
            <w:r>
              <w:t>SOF</w:t>
            </w:r>
          </w:p>
        </w:tc>
        <w:tc>
          <w:tcPr>
            <w:tcW w:w="0" w:type="auto"/>
          </w:tcPr>
          <w:p w14:paraId="53016766" w14:textId="77777777" w:rsidR="00666716" w:rsidRDefault="00000000">
            <w:r>
              <w:t>10</w:t>
            </w:r>
          </w:p>
        </w:tc>
        <w:tc>
          <w:tcPr>
            <w:tcW w:w="0" w:type="auto"/>
          </w:tcPr>
          <w:p w14:paraId="77E89DA0" w14:textId="77777777" w:rsidR="00666716" w:rsidRDefault="00000000">
            <w:r>
              <w:t>50</w:t>
            </w:r>
          </w:p>
        </w:tc>
        <w:tc>
          <w:tcPr>
            <w:tcW w:w="0" w:type="auto"/>
          </w:tcPr>
          <w:p w14:paraId="31F400B5" w14:textId="77777777" w:rsidR="00666716" w:rsidRDefault="00000000">
            <w:r>
              <w:t>60</w:t>
            </w:r>
          </w:p>
        </w:tc>
        <w:tc>
          <w:tcPr>
            <w:tcW w:w="0" w:type="auto"/>
          </w:tcPr>
          <w:p w14:paraId="78CBE3B6" w14:textId="77777777" w:rsidR="00666716" w:rsidRDefault="00000000">
            <w:r>
              <w:t>83.3%</w:t>
            </w:r>
          </w:p>
        </w:tc>
        <w:tc>
          <w:tcPr>
            <w:tcW w:w="0" w:type="auto"/>
          </w:tcPr>
          <w:p w14:paraId="40EBB3A7" w14:textId="77777777" w:rsidR="00666716" w:rsidRDefault="00666716"/>
        </w:tc>
      </w:tr>
    </w:tbl>
    <w:p w14:paraId="2264605D" w14:textId="77777777" w:rsidR="00666716" w:rsidRDefault="00000000">
      <w:r>
        <w:rPr>
          <w:i/>
        </w:rPr>
        <w:t>Note.</w:t>
      </w:r>
      <w:r>
        <w:t xml:space="preserve"> *** p &lt; .001. N = 368.</w:t>
      </w:r>
    </w:p>
    <w:p w14:paraId="7FD1940B" w14:textId="77777777" w:rsidR="00666716" w:rsidRDefault="00000000">
      <w:r>
        <w:t xml:space="preserve">The bottom line: decentralized initiative was not a marginal supplement to formally deployed forces. It constituted more than two-fifths of the security personnel who lost their lives defending the Gaza Envelope. And the institutional pattern of self-joining—concentrated among reservists, SOF personnel, officers, and police—is consistent with the theoretical expectation that decentralized mobilization draws on the distributed operational competence embedded within the Israeli security system. These findings provide strong support for </w:t>
      </w:r>
      <w:r>
        <w:rPr>
          <w:b/>
        </w:rPr>
        <w:t>H2</w:t>
      </w:r>
      <w:r>
        <w:t>.</w:t>
      </w:r>
    </w:p>
    <w:p w14:paraId="2629560B" w14:textId="77777777" w:rsidR="00666716" w:rsidRDefault="00000000">
      <w:r>
        <w:t>[Insert Figure 5: Self-Joining Rates Across Subgroups]</w:t>
      </w:r>
    </w:p>
    <w:p w14:paraId="1AD6BAFE" w14:textId="77777777" w:rsidR="00666716" w:rsidRDefault="00000000">
      <w:pPr>
        <w:pStyle w:val="Heading3"/>
      </w:pPr>
      <w:bookmarkStart w:id="17" w:name="Xab899cacf038b19a7648f91c2bdb1c798607e13"/>
      <w:r>
        <w:t>Characteristics of Self-Joining Responders</w:t>
      </w:r>
      <w:bookmarkEnd w:id="17"/>
    </w:p>
    <w:p w14:paraId="3AD05154" w14:textId="77777777" w:rsidR="00666716" w:rsidRDefault="00000000">
      <w:r>
        <w:t xml:space="preserve">We hypothesized that individuals who joined independently would be more likely to possess ERC-associated characteristics. To test this, we conducted logistic regression on 325 fatalities from military, police, and Shin Bet. We excluded the 43 Emergency Response Team fatalities because all members self-joined by definition, producing perfect separation; their contribution is reported separately. The model is significant (LR χ² = 153.0, </w:t>
      </w:r>
      <w:r>
        <w:rPr>
          <w:i/>
        </w:rPr>
        <w:t>p</w:t>
      </w:r>
      <w:r>
        <w:t xml:space="preserve"> &lt; .001; McFadden pseudo-R² = .371; 82.5% classification accuracy, 93.1% specificity, 60.7% sensitivity).</w:t>
      </w:r>
    </w:p>
    <w:p w14:paraId="64CCE00D" w14:textId="77777777" w:rsidR="00666716" w:rsidRDefault="00000000">
      <w:r>
        <w:rPr>
          <w:b/>
        </w:rPr>
        <w:t>Table 4. Logistic Regression Predicting Self-Joining</w:t>
      </w:r>
    </w:p>
    <w:tbl>
      <w:tblPr>
        <w:tblW w:w="0" w:type="pct"/>
        <w:tblLook w:val="07E0" w:firstRow="1" w:lastRow="1" w:firstColumn="1" w:lastColumn="1" w:noHBand="1" w:noVBand="1"/>
      </w:tblPr>
      <w:tblGrid>
        <w:gridCol w:w="3023"/>
        <w:gridCol w:w="892"/>
        <w:gridCol w:w="756"/>
        <w:gridCol w:w="756"/>
        <w:gridCol w:w="1456"/>
        <w:gridCol w:w="832"/>
      </w:tblGrid>
      <w:tr w:rsidR="00666716" w14:paraId="25C1BC1B" w14:textId="77777777">
        <w:tc>
          <w:tcPr>
            <w:tcW w:w="0" w:type="auto"/>
            <w:tcBorders>
              <w:bottom w:val="single" w:sz="0" w:space="0" w:color="auto"/>
            </w:tcBorders>
            <w:vAlign w:val="bottom"/>
          </w:tcPr>
          <w:p w14:paraId="22BC3914" w14:textId="77777777" w:rsidR="00666716" w:rsidRDefault="00000000">
            <w:r>
              <w:t>Variable</w:t>
            </w:r>
          </w:p>
        </w:tc>
        <w:tc>
          <w:tcPr>
            <w:tcW w:w="0" w:type="auto"/>
            <w:tcBorders>
              <w:bottom w:val="single" w:sz="0" w:space="0" w:color="auto"/>
            </w:tcBorders>
            <w:vAlign w:val="bottom"/>
          </w:tcPr>
          <w:p w14:paraId="29E66C63" w14:textId="77777777" w:rsidR="00666716" w:rsidRDefault="00000000">
            <w:r>
              <w:t>β</w:t>
            </w:r>
          </w:p>
        </w:tc>
        <w:tc>
          <w:tcPr>
            <w:tcW w:w="0" w:type="auto"/>
            <w:tcBorders>
              <w:bottom w:val="single" w:sz="0" w:space="0" w:color="auto"/>
            </w:tcBorders>
            <w:vAlign w:val="bottom"/>
          </w:tcPr>
          <w:p w14:paraId="07D8EDAE" w14:textId="77777777" w:rsidR="00666716" w:rsidRDefault="00000000">
            <w:r>
              <w:t>SE</w:t>
            </w:r>
          </w:p>
        </w:tc>
        <w:tc>
          <w:tcPr>
            <w:tcW w:w="0" w:type="auto"/>
            <w:tcBorders>
              <w:bottom w:val="single" w:sz="0" w:space="0" w:color="auto"/>
            </w:tcBorders>
            <w:vAlign w:val="bottom"/>
          </w:tcPr>
          <w:p w14:paraId="2822EC47" w14:textId="77777777" w:rsidR="00666716" w:rsidRDefault="00000000">
            <w:r>
              <w:t>OR</w:t>
            </w:r>
          </w:p>
        </w:tc>
        <w:tc>
          <w:tcPr>
            <w:tcW w:w="0" w:type="auto"/>
            <w:tcBorders>
              <w:bottom w:val="single" w:sz="0" w:space="0" w:color="auto"/>
            </w:tcBorders>
            <w:vAlign w:val="bottom"/>
          </w:tcPr>
          <w:p w14:paraId="5ECF1EE2" w14:textId="77777777" w:rsidR="00666716" w:rsidRDefault="00000000">
            <w:r>
              <w:t>95% CI</w:t>
            </w:r>
          </w:p>
        </w:tc>
        <w:tc>
          <w:tcPr>
            <w:tcW w:w="0" w:type="auto"/>
            <w:tcBorders>
              <w:bottom w:val="single" w:sz="0" w:space="0" w:color="auto"/>
            </w:tcBorders>
            <w:vAlign w:val="bottom"/>
          </w:tcPr>
          <w:p w14:paraId="4AE09BB1" w14:textId="77777777" w:rsidR="00666716" w:rsidRDefault="00000000">
            <w:r>
              <w:t>p</w:t>
            </w:r>
          </w:p>
        </w:tc>
      </w:tr>
      <w:tr w:rsidR="00666716" w14:paraId="4777830E" w14:textId="77777777">
        <w:tc>
          <w:tcPr>
            <w:tcW w:w="0" w:type="auto"/>
          </w:tcPr>
          <w:p w14:paraId="145A1361" w14:textId="77777777" w:rsidR="00666716" w:rsidRDefault="00000000">
            <w:r>
              <w:lastRenderedPageBreak/>
              <w:t>Constant</w:t>
            </w:r>
          </w:p>
        </w:tc>
        <w:tc>
          <w:tcPr>
            <w:tcW w:w="0" w:type="auto"/>
          </w:tcPr>
          <w:p w14:paraId="5EA63339" w14:textId="77777777" w:rsidR="00666716" w:rsidRDefault="00000000">
            <w:r>
              <w:t>−2.573</w:t>
            </w:r>
          </w:p>
        </w:tc>
        <w:tc>
          <w:tcPr>
            <w:tcW w:w="0" w:type="auto"/>
          </w:tcPr>
          <w:p w14:paraId="2907FA62" w14:textId="77777777" w:rsidR="00666716" w:rsidRDefault="00000000">
            <w:r>
              <w:t>0.294</w:t>
            </w:r>
          </w:p>
        </w:tc>
        <w:tc>
          <w:tcPr>
            <w:tcW w:w="0" w:type="auto"/>
          </w:tcPr>
          <w:p w14:paraId="321D51ED" w14:textId="77777777" w:rsidR="00666716" w:rsidRDefault="00000000">
            <w:r>
              <w:t>0.08</w:t>
            </w:r>
          </w:p>
        </w:tc>
        <w:tc>
          <w:tcPr>
            <w:tcW w:w="0" w:type="auto"/>
          </w:tcPr>
          <w:p w14:paraId="29DCC026" w14:textId="77777777" w:rsidR="00666716" w:rsidRDefault="00000000">
            <w:r>
              <w:t>[0.04, 0.14]</w:t>
            </w:r>
          </w:p>
        </w:tc>
        <w:tc>
          <w:tcPr>
            <w:tcW w:w="0" w:type="auto"/>
          </w:tcPr>
          <w:p w14:paraId="14C43D7C" w14:textId="77777777" w:rsidR="00666716" w:rsidRDefault="00000000">
            <w:r>
              <w:t>&lt; .001</w:t>
            </w:r>
          </w:p>
        </w:tc>
      </w:tr>
      <w:tr w:rsidR="00666716" w14:paraId="6818E767" w14:textId="77777777">
        <w:tc>
          <w:tcPr>
            <w:tcW w:w="0" w:type="auto"/>
          </w:tcPr>
          <w:p w14:paraId="4EEB9517" w14:textId="77777777" w:rsidR="00666716" w:rsidRDefault="00000000">
            <w:r>
              <w:t>Officer</w:t>
            </w:r>
          </w:p>
        </w:tc>
        <w:tc>
          <w:tcPr>
            <w:tcW w:w="0" w:type="auto"/>
          </w:tcPr>
          <w:p w14:paraId="3EC36780" w14:textId="77777777" w:rsidR="00666716" w:rsidRDefault="00000000">
            <w:r>
              <w:t>1.134</w:t>
            </w:r>
          </w:p>
        </w:tc>
        <w:tc>
          <w:tcPr>
            <w:tcW w:w="0" w:type="auto"/>
          </w:tcPr>
          <w:p w14:paraId="696672AA" w14:textId="77777777" w:rsidR="00666716" w:rsidRDefault="00000000">
            <w:r>
              <w:t>0.484</w:t>
            </w:r>
          </w:p>
        </w:tc>
        <w:tc>
          <w:tcPr>
            <w:tcW w:w="0" w:type="auto"/>
          </w:tcPr>
          <w:p w14:paraId="1A49C372" w14:textId="77777777" w:rsidR="00666716" w:rsidRDefault="00000000">
            <w:r>
              <w:t>3.11</w:t>
            </w:r>
          </w:p>
        </w:tc>
        <w:tc>
          <w:tcPr>
            <w:tcW w:w="0" w:type="auto"/>
          </w:tcPr>
          <w:p w14:paraId="1ADB9E2B" w14:textId="77777777" w:rsidR="00666716" w:rsidRDefault="00000000">
            <w:r>
              <w:t>[1.20, 8.03]</w:t>
            </w:r>
          </w:p>
        </w:tc>
        <w:tc>
          <w:tcPr>
            <w:tcW w:w="0" w:type="auto"/>
          </w:tcPr>
          <w:p w14:paraId="764FA279" w14:textId="77777777" w:rsidR="00666716" w:rsidRDefault="00000000">
            <w:r>
              <w:t>.019</w:t>
            </w:r>
          </w:p>
        </w:tc>
      </w:tr>
      <w:tr w:rsidR="00666716" w14:paraId="075A47F2" w14:textId="77777777">
        <w:tc>
          <w:tcPr>
            <w:tcW w:w="0" w:type="auto"/>
          </w:tcPr>
          <w:p w14:paraId="1E724664" w14:textId="77777777" w:rsidR="00666716" w:rsidRDefault="00000000">
            <w:r>
              <w:t>SOF</w:t>
            </w:r>
          </w:p>
        </w:tc>
        <w:tc>
          <w:tcPr>
            <w:tcW w:w="0" w:type="auto"/>
          </w:tcPr>
          <w:p w14:paraId="21033A5B" w14:textId="77777777" w:rsidR="00666716" w:rsidRDefault="00000000">
            <w:r>
              <w:t>2.643</w:t>
            </w:r>
          </w:p>
        </w:tc>
        <w:tc>
          <w:tcPr>
            <w:tcW w:w="0" w:type="auto"/>
          </w:tcPr>
          <w:p w14:paraId="13E2683D" w14:textId="77777777" w:rsidR="00666716" w:rsidRDefault="00000000">
            <w:r>
              <w:t>0.453</w:t>
            </w:r>
          </w:p>
        </w:tc>
        <w:tc>
          <w:tcPr>
            <w:tcW w:w="0" w:type="auto"/>
          </w:tcPr>
          <w:p w14:paraId="6FC5A1F5" w14:textId="77777777" w:rsidR="00666716" w:rsidRDefault="00000000">
            <w:r>
              <w:t>14.06</w:t>
            </w:r>
          </w:p>
        </w:tc>
        <w:tc>
          <w:tcPr>
            <w:tcW w:w="0" w:type="auto"/>
          </w:tcPr>
          <w:p w14:paraId="0BE31DE2" w14:textId="77777777" w:rsidR="00666716" w:rsidRDefault="00000000">
            <w:r>
              <w:t>[5.79, 34.14]</w:t>
            </w:r>
          </w:p>
        </w:tc>
        <w:tc>
          <w:tcPr>
            <w:tcW w:w="0" w:type="auto"/>
          </w:tcPr>
          <w:p w14:paraId="22FE0D8B" w14:textId="77777777" w:rsidR="00666716" w:rsidRDefault="00000000">
            <w:r>
              <w:t>&lt; .001</w:t>
            </w:r>
          </w:p>
        </w:tc>
      </w:tr>
      <w:tr w:rsidR="00666716" w14:paraId="70962AAD" w14:textId="77777777">
        <w:tc>
          <w:tcPr>
            <w:tcW w:w="0" w:type="auto"/>
          </w:tcPr>
          <w:p w14:paraId="2D86B61A" w14:textId="77777777" w:rsidR="00666716" w:rsidRDefault="00000000">
            <w:r>
              <w:t>Reserves (vs. Conscript)</w:t>
            </w:r>
          </w:p>
        </w:tc>
        <w:tc>
          <w:tcPr>
            <w:tcW w:w="0" w:type="auto"/>
          </w:tcPr>
          <w:p w14:paraId="2404DD36" w14:textId="77777777" w:rsidR="00666716" w:rsidRDefault="00000000">
            <w:r>
              <w:t>2.601</w:t>
            </w:r>
          </w:p>
        </w:tc>
        <w:tc>
          <w:tcPr>
            <w:tcW w:w="0" w:type="auto"/>
          </w:tcPr>
          <w:p w14:paraId="69A72B52" w14:textId="77777777" w:rsidR="00666716" w:rsidRDefault="00000000">
            <w:r>
              <w:t>0.725</w:t>
            </w:r>
          </w:p>
        </w:tc>
        <w:tc>
          <w:tcPr>
            <w:tcW w:w="0" w:type="auto"/>
          </w:tcPr>
          <w:p w14:paraId="4D35C64D" w14:textId="77777777" w:rsidR="00666716" w:rsidRDefault="00000000">
            <w:r>
              <w:t>13.48</w:t>
            </w:r>
          </w:p>
        </w:tc>
        <w:tc>
          <w:tcPr>
            <w:tcW w:w="0" w:type="auto"/>
          </w:tcPr>
          <w:p w14:paraId="230545D3" w14:textId="77777777" w:rsidR="00666716" w:rsidRDefault="00000000">
            <w:r>
              <w:t>[3.25, 55.86]</w:t>
            </w:r>
          </w:p>
        </w:tc>
        <w:tc>
          <w:tcPr>
            <w:tcW w:w="0" w:type="auto"/>
          </w:tcPr>
          <w:p w14:paraId="1C547EEE" w14:textId="77777777" w:rsidR="00666716" w:rsidRDefault="00000000">
            <w:r>
              <w:t>&lt; .001</w:t>
            </w:r>
          </w:p>
        </w:tc>
      </w:tr>
      <w:tr w:rsidR="00666716" w14:paraId="36DAFB2C" w14:textId="77777777">
        <w:tc>
          <w:tcPr>
            <w:tcW w:w="0" w:type="auto"/>
          </w:tcPr>
          <w:p w14:paraId="4BF03438" w14:textId="77777777" w:rsidR="00666716" w:rsidRDefault="00000000">
            <w:r>
              <w:t>Professional (vs. Conscript)</w:t>
            </w:r>
          </w:p>
        </w:tc>
        <w:tc>
          <w:tcPr>
            <w:tcW w:w="0" w:type="auto"/>
          </w:tcPr>
          <w:p w14:paraId="59102E78" w14:textId="77777777" w:rsidR="00666716" w:rsidRDefault="00000000">
            <w:r>
              <w:t>0.609</w:t>
            </w:r>
          </w:p>
        </w:tc>
        <w:tc>
          <w:tcPr>
            <w:tcW w:w="0" w:type="auto"/>
          </w:tcPr>
          <w:p w14:paraId="5CD3A189" w14:textId="77777777" w:rsidR="00666716" w:rsidRDefault="00000000">
            <w:r>
              <w:t>0.582</w:t>
            </w:r>
          </w:p>
        </w:tc>
        <w:tc>
          <w:tcPr>
            <w:tcW w:w="0" w:type="auto"/>
          </w:tcPr>
          <w:p w14:paraId="3DE8ECD8" w14:textId="77777777" w:rsidR="00666716" w:rsidRDefault="00000000">
            <w:r>
              <w:t>1.84</w:t>
            </w:r>
          </w:p>
        </w:tc>
        <w:tc>
          <w:tcPr>
            <w:tcW w:w="0" w:type="auto"/>
          </w:tcPr>
          <w:p w14:paraId="2BD2FFC6" w14:textId="77777777" w:rsidR="00666716" w:rsidRDefault="00000000">
            <w:r>
              <w:t>[0.59, 5.75]</w:t>
            </w:r>
          </w:p>
        </w:tc>
        <w:tc>
          <w:tcPr>
            <w:tcW w:w="0" w:type="auto"/>
          </w:tcPr>
          <w:p w14:paraId="58AB1895" w14:textId="77777777" w:rsidR="00666716" w:rsidRDefault="00000000">
            <w:r>
              <w:t>.295</w:t>
            </w:r>
          </w:p>
        </w:tc>
      </w:tr>
      <w:tr w:rsidR="00666716" w14:paraId="1530BBFE" w14:textId="77777777">
        <w:tc>
          <w:tcPr>
            <w:tcW w:w="0" w:type="auto"/>
          </w:tcPr>
          <w:p w14:paraId="09E2A82C" w14:textId="77777777" w:rsidR="00666716" w:rsidRDefault="00000000">
            <w:r>
              <w:t>Police/Security (vs. Military)</w:t>
            </w:r>
          </w:p>
        </w:tc>
        <w:tc>
          <w:tcPr>
            <w:tcW w:w="0" w:type="auto"/>
          </w:tcPr>
          <w:p w14:paraId="575A43A6" w14:textId="77777777" w:rsidR="00666716" w:rsidRDefault="00000000">
            <w:r>
              <w:t>1.951</w:t>
            </w:r>
          </w:p>
        </w:tc>
        <w:tc>
          <w:tcPr>
            <w:tcW w:w="0" w:type="auto"/>
          </w:tcPr>
          <w:p w14:paraId="3CE222D4" w14:textId="77777777" w:rsidR="00666716" w:rsidRDefault="00000000">
            <w:r>
              <w:t>0.531</w:t>
            </w:r>
          </w:p>
        </w:tc>
        <w:tc>
          <w:tcPr>
            <w:tcW w:w="0" w:type="auto"/>
          </w:tcPr>
          <w:p w14:paraId="4A5EEB98" w14:textId="77777777" w:rsidR="00666716" w:rsidRDefault="00000000">
            <w:r>
              <w:t>7.04</w:t>
            </w:r>
          </w:p>
        </w:tc>
        <w:tc>
          <w:tcPr>
            <w:tcW w:w="0" w:type="auto"/>
          </w:tcPr>
          <w:p w14:paraId="3680F21F" w14:textId="77777777" w:rsidR="00666716" w:rsidRDefault="00000000">
            <w:r>
              <w:t>[2.49, 19.92]</w:t>
            </w:r>
          </w:p>
        </w:tc>
        <w:tc>
          <w:tcPr>
            <w:tcW w:w="0" w:type="auto"/>
          </w:tcPr>
          <w:p w14:paraId="0BD5692E" w14:textId="77777777" w:rsidR="00666716" w:rsidRDefault="00000000">
            <w:r>
              <w:t>&lt; .001</w:t>
            </w:r>
          </w:p>
        </w:tc>
      </w:tr>
    </w:tbl>
    <w:p w14:paraId="09A8AE2F" w14:textId="77777777" w:rsidR="00666716" w:rsidRDefault="00000000">
      <w:r>
        <w:rPr>
          <w:i/>
        </w:rPr>
        <w:t>Note.</w:t>
      </w:r>
      <w:r>
        <w:t xml:space="preserve"> N = 325. McFadden pseudo-R² = .371.</w:t>
      </w:r>
    </w:p>
    <w:p w14:paraId="272EE950" w14:textId="77777777" w:rsidR="00666716" w:rsidRDefault="00000000">
      <w:r>
        <w:t xml:space="preserve">Four of five predictors reach statistical significance, each aligning with ERC expectations. SOF membership is the strongest predictor (OR = 14.06, </w:t>
      </w:r>
      <w:r>
        <w:rPr>
          <w:i/>
        </w:rPr>
        <w:t>p</w:t>
      </w:r>
      <w:r>
        <w:t xml:space="preserve"> &lt; .001). That the effect remains this large after controlling for officer status and service type confirms that SOF membership captures something distinct from rank or employment category—a specific training culture and operational mindset that predisposes individuals to act without orders. Reserve status has a comparably large effect (OR = 13.48, </w:t>
      </w:r>
      <w:r>
        <w:rPr>
          <w:i/>
        </w:rPr>
        <w:t>p</w:t>
      </w:r>
      <w:r>
        <w:t xml:space="preserve"> &lt; .001), reflecting both the structural logic of the personnel system (reservists were by definition not on active duty) and the latent readiness embedded through years of periodic training. Police and Shin Bet personnel were 7.04 times more likely to self-join (</w:t>
      </w:r>
      <w:r>
        <w:rPr>
          <w:i/>
        </w:rPr>
        <w:t>p</w:t>
      </w:r>
      <w:r>
        <w:t xml:space="preserve"> &lt; .001), reflecting deployment from outside the immediate sector. Officer status remains significant (OR = 3.11, </w:t>
      </w:r>
      <w:r>
        <w:rPr>
          <w:i/>
        </w:rPr>
        <w:t>p</w:t>
      </w:r>
      <w:r>
        <w:t xml:space="preserve"> = .019) even with other predictors controlled, indicating that the decision-making autonomy associated with command positions independently contributes to decentralized initiative. Professional service is not significant in the multivariate model (OR = 1.84, </w:t>
      </w:r>
      <w:r>
        <w:rPr>
          <w:i/>
        </w:rPr>
        <w:t>p</w:t>
      </w:r>
      <w:r>
        <w:t xml:space="preserve"> = .295) despite bivariate significance (OR = 7.46, </w:t>
      </w:r>
      <w:r>
        <w:rPr>
          <w:i/>
        </w:rPr>
        <w:t>p</w:t>
      </w:r>
      <w:r>
        <w:t xml:space="preserve"> &lt; .001), reflecting substantial overlap with SOF and police membership. An interaction between SOF and officer status was not significant (</w:t>
      </w:r>
      <w:r>
        <w:rPr>
          <w:i/>
        </w:rPr>
        <w:t>p</w:t>
      </w:r>
      <w:r>
        <w:t xml:space="preserve"> = .71), indicating additive rather than synergistic effects.</w:t>
      </w:r>
    </w:p>
    <w:p w14:paraId="4DB96A4B" w14:textId="77777777" w:rsidR="00666716" w:rsidRDefault="00000000">
      <w:r>
        <w:t>[Insert Figure 6: Predicted Probabilities by Profile]</w:t>
      </w:r>
    </w:p>
    <w:p w14:paraId="5D2F9CFB" w14:textId="77777777" w:rsidR="00666716" w:rsidRDefault="00000000">
      <w:r>
        <w:lastRenderedPageBreak/>
        <w:t>The predicted probabilities illustrate the cumulative effect strikingly: a conscript, non-officer, non-SOF military member has a 7.1% probability of self-joining; a reservist officer with SOF membership has a 97.8% probability. This gradient maps directly onto the institutional characteristics generating ERC—as training intensity, operational experience, and decision-making autonomy increase, so does the likelihood of voluntary mobilization.</w:t>
      </w:r>
    </w:p>
    <w:p w14:paraId="06A62BF1" w14:textId="77777777" w:rsidR="00666716" w:rsidRDefault="00000000">
      <w:r>
        <w:t>Although we excluded the 43 Emergency Response Team fatalities from the regression, they warrant separate discussion. All self-joined (100%), representing the most localized form of ERC: ordinary citizens whose training and assigned roles within the community defense structure activated immediately when the attack began. These were farmers, teachers, and retirees who picked up weapons and defended their neighbors—the starkest illustration of how deeply embedded response capacity can be distributed.</w:t>
      </w:r>
    </w:p>
    <w:p w14:paraId="2FF07F77" w14:textId="77777777" w:rsidR="00666716" w:rsidRDefault="00000000">
      <w:r>
        <w:t xml:space="preserve">These findings provide strong support for </w:t>
      </w:r>
      <w:r>
        <w:rPr>
          <w:b/>
        </w:rPr>
        <w:t>H3</w:t>
      </w:r>
      <w:r>
        <w:t>. The characteristics predicting self-joining are precisely those associated with ERC’s institutional foundations: specialized training (SOF), distributed military expertise (reserves), decision-making autonomy (officers), and interorganizational deployment (police/security). The multivariate analysis confirms these effects are independent, indicating that each institutional channel contributes separately to decentralized initiative.</w:t>
      </w:r>
    </w:p>
    <w:p w14:paraId="3856B393" w14:textId="77777777" w:rsidR="00666716" w:rsidRDefault="00000000">
      <w:pPr>
        <w:pStyle w:val="Heading3"/>
      </w:pPr>
      <w:bookmarkStart w:id="18" w:name="ad-hoc-team-formation"/>
      <w:r>
        <w:t>Ad Hoc Team Formation</w:t>
      </w:r>
      <w:bookmarkEnd w:id="18"/>
    </w:p>
    <w:p w14:paraId="7133E2D8" w14:textId="77777777" w:rsidR="00666716" w:rsidRDefault="00000000">
      <w:r>
        <w:t xml:space="preserve">Spatial analysis of the combat participation dataset reveals widespread cross-organizational engagement. At 18 of 32 responding locations (56.2%), personnel from two or more distinct organizational branches—IDF, Israel Police/Border Police, Shin Bet, or local defense teams—engaged attackers simultaneously. Four locations drew personnel from three or more branches, and Kibbutz Kfar Aza recorded all four organizational categories operating together with 35 </w:t>
      </w:r>
      <w:r>
        <w:lastRenderedPageBreak/>
        <w:t xml:space="preserve">distinct units. Unit diversity and branch diversity are positively correlated (r = .59, </w:t>
      </w:r>
      <w:r>
        <w:rPr>
          <w:i/>
        </w:rPr>
        <w:t>p</w:t>
      </w:r>
      <w:r>
        <w:t xml:space="preserve"> &lt; .001), indicating that locations attracting more units also drew from a wider range of organizations. SOF units participated at 24 of 32 locations (75.0%), with an average of 2.5 SOF-affiliated units per location where present. That SOF participation was so widespread across the battlespace—including at civilian communities far from their assigned sectors—provides further evidence that the response was driven by decentralized initiative rather than centralized deployment.</w:t>
      </w:r>
    </w:p>
    <w:p w14:paraId="6E926D81" w14:textId="77777777" w:rsidR="00666716" w:rsidRDefault="00000000">
      <w:r>
        <w:t>[Insert Figure 8: Organizational Diversity Across Combat Locations]</w:t>
      </w:r>
    </w:p>
    <w:p w14:paraId="027FE36E" w14:textId="77777777" w:rsidR="00666716" w:rsidRDefault="00000000">
      <w:r>
        <w:rPr>
          <w:b/>
        </w:rPr>
        <w:t>Table 5. Organizational Diversity at Combat Locations</w:t>
      </w:r>
    </w:p>
    <w:tbl>
      <w:tblPr>
        <w:tblW w:w="0" w:type="pct"/>
        <w:tblLook w:val="07E0" w:firstRow="1" w:lastRow="1" w:firstColumn="1" w:lastColumn="1" w:noHBand="1" w:noVBand="1"/>
      </w:tblPr>
      <w:tblGrid>
        <w:gridCol w:w="3369"/>
        <w:gridCol w:w="1296"/>
      </w:tblGrid>
      <w:tr w:rsidR="00666716" w14:paraId="729F2DF5" w14:textId="77777777">
        <w:tc>
          <w:tcPr>
            <w:tcW w:w="0" w:type="auto"/>
            <w:tcBorders>
              <w:bottom w:val="single" w:sz="0" w:space="0" w:color="auto"/>
            </w:tcBorders>
            <w:vAlign w:val="bottom"/>
          </w:tcPr>
          <w:p w14:paraId="7F44A649" w14:textId="77777777" w:rsidR="00666716" w:rsidRDefault="00000000">
            <w:r>
              <w:t>Indicator</w:t>
            </w:r>
          </w:p>
        </w:tc>
        <w:tc>
          <w:tcPr>
            <w:tcW w:w="0" w:type="auto"/>
            <w:tcBorders>
              <w:bottom w:val="single" w:sz="0" w:space="0" w:color="auto"/>
            </w:tcBorders>
            <w:vAlign w:val="bottom"/>
          </w:tcPr>
          <w:p w14:paraId="07AC28A0" w14:textId="77777777" w:rsidR="00666716" w:rsidRDefault="00000000">
            <w:r>
              <w:t>Value</w:t>
            </w:r>
          </w:p>
        </w:tc>
      </w:tr>
      <w:tr w:rsidR="00666716" w14:paraId="0AAFA2EE" w14:textId="77777777">
        <w:tc>
          <w:tcPr>
            <w:tcW w:w="0" w:type="auto"/>
          </w:tcPr>
          <w:p w14:paraId="5FB2F3CF" w14:textId="77777777" w:rsidR="00666716" w:rsidRDefault="00000000">
            <w:r>
              <w:t>Locations with military response</w:t>
            </w:r>
          </w:p>
        </w:tc>
        <w:tc>
          <w:tcPr>
            <w:tcW w:w="0" w:type="auto"/>
          </w:tcPr>
          <w:p w14:paraId="6F4023F0" w14:textId="77777777" w:rsidR="00666716" w:rsidRDefault="00000000">
            <w:r>
              <w:t>32</w:t>
            </w:r>
          </w:p>
        </w:tc>
      </w:tr>
      <w:tr w:rsidR="00666716" w14:paraId="3FA9D488" w14:textId="77777777">
        <w:tc>
          <w:tcPr>
            <w:tcW w:w="0" w:type="auto"/>
          </w:tcPr>
          <w:p w14:paraId="0F0A37CA" w14:textId="77777777" w:rsidR="00666716" w:rsidRDefault="00000000">
            <w:r>
              <w:t>Total unit-location observations</w:t>
            </w:r>
          </w:p>
        </w:tc>
        <w:tc>
          <w:tcPr>
            <w:tcW w:w="0" w:type="auto"/>
          </w:tcPr>
          <w:p w14:paraId="160B041F" w14:textId="77777777" w:rsidR="00666716" w:rsidRDefault="00000000">
            <w:r>
              <w:t>242</w:t>
            </w:r>
          </w:p>
        </w:tc>
      </w:tr>
      <w:tr w:rsidR="00666716" w14:paraId="2F397875" w14:textId="77777777">
        <w:tc>
          <w:tcPr>
            <w:tcW w:w="0" w:type="auto"/>
          </w:tcPr>
          <w:p w14:paraId="714B32E1" w14:textId="77777777" w:rsidR="00666716" w:rsidRDefault="00000000">
            <w:r>
              <w:t>Distinct organizational units</w:t>
            </w:r>
          </w:p>
        </w:tc>
        <w:tc>
          <w:tcPr>
            <w:tcW w:w="0" w:type="auto"/>
          </w:tcPr>
          <w:p w14:paraId="6CEBDAE5" w14:textId="77777777" w:rsidR="00666716" w:rsidRDefault="00000000">
            <w:r>
              <w:t>145</w:t>
            </w:r>
          </w:p>
        </w:tc>
      </w:tr>
      <w:tr w:rsidR="00666716" w14:paraId="45F360DC" w14:textId="77777777">
        <w:tc>
          <w:tcPr>
            <w:tcW w:w="0" w:type="auto"/>
          </w:tcPr>
          <w:p w14:paraId="4ACEDE52" w14:textId="77777777" w:rsidR="00666716" w:rsidRDefault="00000000">
            <w:r>
              <w:t>Mean units per location (SD)</w:t>
            </w:r>
          </w:p>
        </w:tc>
        <w:tc>
          <w:tcPr>
            <w:tcW w:w="0" w:type="auto"/>
          </w:tcPr>
          <w:p w14:paraId="7D33C401" w14:textId="77777777" w:rsidR="00666716" w:rsidRDefault="00000000">
            <w:r>
              <w:t>7.6 (6.5)</w:t>
            </w:r>
          </w:p>
        </w:tc>
      </w:tr>
      <w:tr w:rsidR="00666716" w14:paraId="4783035B" w14:textId="77777777">
        <w:tc>
          <w:tcPr>
            <w:tcW w:w="0" w:type="auto"/>
          </w:tcPr>
          <w:p w14:paraId="24D7B390" w14:textId="77777777" w:rsidR="00666716" w:rsidRDefault="00000000">
            <w:r>
              <w:t>Locations with ≥2 branches</w:t>
            </w:r>
          </w:p>
        </w:tc>
        <w:tc>
          <w:tcPr>
            <w:tcW w:w="0" w:type="auto"/>
          </w:tcPr>
          <w:p w14:paraId="02105469" w14:textId="77777777" w:rsidR="00666716" w:rsidRDefault="00000000">
            <w:r>
              <w:t>18 (56.2%)</w:t>
            </w:r>
          </w:p>
        </w:tc>
      </w:tr>
      <w:tr w:rsidR="00666716" w14:paraId="02297896" w14:textId="77777777">
        <w:tc>
          <w:tcPr>
            <w:tcW w:w="0" w:type="auto"/>
          </w:tcPr>
          <w:p w14:paraId="08249148" w14:textId="77777777" w:rsidR="00666716" w:rsidRDefault="00000000">
            <w:r>
              <w:t>Locations with ≥3 branches</w:t>
            </w:r>
          </w:p>
        </w:tc>
        <w:tc>
          <w:tcPr>
            <w:tcW w:w="0" w:type="auto"/>
          </w:tcPr>
          <w:p w14:paraId="7DE62BC1" w14:textId="77777777" w:rsidR="00666716" w:rsidRDefault="00000000">
            <w:r>
              <w:t>4 (12.5%)</w:t>
            </w:r>
          </w:p>
        </w:tc>
      </w:tr>
      <w:tr w:rsidR="00666716" w14:paraId="2B576A60" w14:textId="77777777">
        <w:tc>
          <w:tcPr>
            <w:tcW w:w="0" w:type="auto"/>
          </w:tcPr>
          <w:p w14:paraId="0C03D482" w14:textId="77777777" w:rsidR="00666716" w:rsidRDefault="00000000">
            <w:r>
              <w:t>Locations with SOF presence</w:t>
            </w:r>
          </w:p>
        </w:tc>
        <w:tc>
          <w:tcPr>
            <w:tcW w:w="0" w:type="auto"/>
          </w:tcPr>
          <w:p w14:paraId="09FC33AF" w14:textId="77777777" w:rsidR="00666716" w:rsidRDefault="00000000">
            <w:r>
              <w:t>24 (75.0%)</w:t>
            </w:r>
          </w:p>
        </w:tc>
      </w:tr>
    </w:tbl>
    <w:p w14:paraId="5398BD18" w14:textId="77777777" w:rsidR="00666716" w:rsidRDefault="00000000">
      <w:r>
        <w:t xml:space="preserve">Five locations received no organized military response: Kibbutz Nir Oz, the Psyduck festival, Kibbutz Erez, Kibbutz Magen, and Moshav Ein HaBesor. The case of Nir Oz is particularly revealing. As the only civilian community that received no military reinforcement, Nir Oz suffered 76 kidnappings—more than half its affected population (59.8% kidnapping ratio) and one-third of all kidnappings across 37 locations. Compare this with civilian communities that did receive an organized response, even those suffering heavy casualties: Be’eri (30 kidnapped, 18.5% ratio, 21 responding units) and Kfar Aza (19 kidnapped, 17.0% ratio, 35 responding </w:t>
      </w:r>
      <w:r>
        <w:lastRenderedPageBreak/>
        <w:t>units). The starkest contrast is between Nir Oz (0 responding units, 59.8%) and the kibbutzim right next to it: Alumim (13 units, 7.5%), Kisufim (11 units, 3.6%), and Re’im (13 units, 18.5%).</w:t>
      </w:r>
    </w:p>
    <w:p w14:paraId="259B1AF6" w14:textId="77777777" w:rsidR="00666716" w:rsidRDefault="00000000">
      <w:r>
        <w:t xml:space="preserve">These patterns indicate that the defensive effort at most combat locations relied on cross-organizational cooperation rather than hierarchical coordination. Personnel from different branches and units converged on the same locations and engaged attackers in what can be characterized as ad hoc team formation—consistent with </w:t>
      </w:r>
      <w:r>
        <w:rPr>
          <w:b/>
        </w:rPr>
        <w:t>H4</w:t>
      </w:r>
      <w:r>
        <w:t xml:space="preserve"> and the ERC mechanism. Shared tactical training and compatible operational procedures allowed individuals from different organizations to coordinate effectively without centralized planning.</w:t>
      </w:r>
    </w:p>
    <w:p w14:paraId="4A660FA8" w14:textId="77777777" w:rsidR="00666716" w:rsidRDefault="00000000">
      <w:r>
        <w:rPr>
          <w:b/>
        </w:rPr>
        <w:t>Table 6. Summary of Hypothesis Tests</w:t>
      </w:r>
    </w:p>
    <w:tbl>
      <w:tblPr>
        <w:tblW w:w="0" w:type="pct"/>
        <w:tblLook w:val="07E0" w:firstRow="1" w:lastRow="1" w:firstColumn="1" w:lastColumn="1" w:noHBand="1" w:noVBand="1"/>
      </w:tblPr>
      <w:tblGrid>
        <w:gridCol w:w="2662"/>
        <w:gridCol w:w="5495"/>
        <w:gridCol w:w="1203"/>
      </w:tblGrid>
      <w:tr w:rsidR="00666716" w14:paraId="5D316523" w14:textId="77777777">
        <w:tc>
          <w:tcPr>
            <w:tcW w:w="0" w:type="auto"/>
            <w:tcBorders>
              <w:bottom w:val="single" w:sz="0" w:space="0" w:color="auto"/>
            </w:tcBorders>
            <w:vAlign w:val="bottom"/>
          </w:tcPr>
          <w:p w14:paraId="48737407" w14:textId="77777777" w:rsidR="00666716" w:rsidRDefault="00000000">
            <w:r>
              <w:t>Hypothesis</w:t>
            </w:r>
          </w:p>
        </w:tc>
        <w:tc>
          <w:tcPr>
            <w:tcW w:w="0" w:type="auto"/>
            <w:tcBorders>
              <w:bottom w:val="single" w:sz="0" w:space="0" w:color="auto"/>
            </w:tcBorders>
            <w:vAlign w:val="bottom"/>
          </w:tcPr>
          <w:p w14:paraId="1036FBC6" w14:textId="77777777" w:rsidR="00666716" w:rsidRDefault="00000000">
            <w:r>
              <w:t>Key Finding</w:t>
            </w:r>
          </w:p>
        </w:tc>
        <w:tc>
          <w:tcPr>
            <w:tcW w:w="0" w:type="auto"/>
            <w:tcBorders>
              <w:bottom w:val="single" w:sz="0" w:space="0" w:color="auto"/>
            </w:tcBorders>
            <w:vAlign w:val="bottom"/>
          </w:tcPr>
          <w:p w14:paraId="28659C7E" w14:textId="77777777" w:rsidR="00666716" w:rsidRDefault="00000000">
            <w:r>
              <w:t>Support</w:t>
            </w:r>
          </w:p>
        </w:tc>
      </w:tr>
      <w:tr w:rsidR="00666716" w14:paraId="35BE4DB3" w14:textId="77777777">
        <w:tc>
          <w:tcPr>
            <w:tcW w:w="0" w:type="auto"/>
          </w:tcPr>
          <w:p w14:paraId="4B01E7F9" w14:textId="77777777" w:rsidR="00666716" w:rsidRDefault="00000000">
            <w:r>
              <w:t>H1: Two-Wave Response</w:t>
            </w:r>
          </w:p>
        </w:tc>
        <w:tc>
          <w:tcPr>
            <w:tcW w:w="0" w:type="auto"/>
          </w:tcPr>
          <w:p w14:paraId="232D29C1" w14:textId="77777777" w:rsidR="00666716" w:rsidRDefault="00000000">
            <w:r>
              <w:t>Stationed M = 4.05h; Self-joined M = 6.21h (p &lt; .001, d = 0.46)</w:t>
            </w:r>
          </w:p>
        </w:tc>
        <w:tc>
          <w:tcPr>
            <w:tcW w:w="0" w:type="auto"/>
          </w:tcPr>
          <w:p w14:paraId="16A792FA" w14:textId="77777777" w:rsidR="00666716" w:rsidRDefault="00000000">
            <w:r>
              <w:t>Supported</w:t>
            </w:r>
          </w:p>
        </w:tc>
      </w:tr>
      <w:tr w:rsidR="00666716" w14:paraId="1E24C6E9" w14:textId="77777777">
        <w:tc>
          <w:tcPr>
            <w:tcW w:w="0" w:type="auto"/>
          </w:tcPr>
          <w:p w14:paraId="60B78D70" w14:textId="77777777" w:rsidR="00666716" w:rsidRDefault="00000000">
            <w:r>
              <w:t>H2: Voluntary Mobilization</w:t>
            </w:r>
          </w:p>
        </w:tc>
        <w:tc>
          <w:tcPr>
            <w:tcW w:w="0" w:type="auto"/>
          </w:tcPr>
          <w:p w14:paraId="7CB9F17A" w14:textId="77777777" w:rsidR="00666716" w:rsidRDefault="00000000">
            <w:r>
              <w:t>40.8% self-joined (95% CI: 35.9–45.9%)</w:t>
            </w:r>
          </w:p>
        </w:tc>
        <w:tc>
          <w:tcPr>
            <w:tcW w:w="0" w:type="auto"/>
          </w:tcPr>
          <w:p w14:paraId="0471D5D4" w14:textId="77777777" w:rsidR="00666716" w:rsidRDefault="00000000">
            <w:r>
              <w:t>Supported</w:t>
            </w:r>
          </w:p>
        </w:tc>
      </w:tr>
      <w:tr w:rsidR="00666716" w14:paraId="62DAED0D" w14:textId="77777777">
        <w:tc>
          <w:tcPr>
            <w:tcW w:w="0" w:type="auto"/>
          </w:tcPr>
          <w:p w14:paraId="03EFA886" w14:textId="77777777" w:rsidR="00666716" w:rsidRDefault="00000000">
            <w:r>
              <w:t>H3: ERC Profile</w:t>
            </w:r>
          </w:p>
        </w:tc>
        <w:tc>
          <w:tcPr>
            <w:tcW w:w="0" w:type="auto"/>
          </w:tcPr>
          <w:p w14:paraId="1C20C1EC" w14:textId="77777777" w:rsidR="00666716" w:rsidRDefault="00000000">
            <w:r>
              <w:t>SOF: OR = 14.06; Reserves: OR = 13.48; Officer: OR = 3.11</w:t>
            </w:r>
          </w:p>
        </w:tc>
        <w:tc>
          <w:tcPr>
            <w:tcW w:w="0" w:type="auto"/>
          </w:tcPr>
          <w:p w14:paraId="2FBC38C7" w14:textId="77777777" w:rsidR="00666716" w:rsidRDefault="00000000">
            <w:r>
              <w:t>Supported</w:t>
            </w:r>
          </w:p>
        </w:tc>
      </w:tr>
      <w:tr w:rsidR="00666716" w14:paraId="3F893ECE" w14:textId="77777777">
        <w:tc>
          <w:tcPr>
            <w:tcW w:w="0" w:type="auto"/>
          </w:tcPr>
          <w:p w14:paraId="03C505DC" w14:textId="77777777" w:rsidR="00666716" w:rsidRDefault="00000000">
            <w:r>
              <w:t>H4: Ad Hoc Teams</w:t>
            </w:r>
          </w:p>
        </w:tc>
        <w:tc>
          <w:tcPr>
            <w:tcW w:w="0" w:type="auto"/>
          </w:tcPr>
          <w:p w14:paraId="387E7F3F" w14:textId="77777777" w:rsidR="00666716" w:rsidRDefault="00000000">
            <w:r>
              <w:t>56.2% of locations had ≥2 branches; 75% had SOF</w:t>
            </w:r>
          </w:p>
        </w:tc>
        <w:tc>
          <w:tcPr>
            <w:tcW w:w="0" w:type="auto"/>
          </w:tcPr>
          <w:p w14:paraId="67E461CF" w14:textId="77777777" w:rsidR="00666716" w:rsidRDefault="00000000">
            <w:r>
              <w:t>Supported</w:t>
            </w:r>
          </w:p>
        </w:tc>
      </w:tr>
    </w:tbl>
    <w:p w14:paraId="0F3B414D" w14:textId="77777777" w:rsidR="00666716" w:rsidRDefault="00000000">
      <w:pPr>
        <w:pStyle w:val="Heading2"/>
      </w:pPr>
      <w:bookmarkStart w:id="19" w:name="discussion"/>
      <w:r>
        <w:t>Discussion</w:t>
      </w:r>
      <w:bookmarkEnd w:id="19"/>
    </w:p>
    <w:p w14:paraId="6F44DFFE" w14:textId="77777777" w:rsidR="00666716" w:rsidRDefault="00000000">
      <w:r>
        <w:t>The findings support the central claim: the Israeli response to October 7 was shaped by Embedded Response Capacity within the security system. Rather than producing organizational paralysis, the collapse of centralized coordination coincided with the rapid emergence of decentralized tactical responses across multiple locations.</w:t>
      </w:r>
    </w:p>
    <w:p w14:paraId="4051F5E1" w14:textId="77777777" w:rsidR="00666716" w:rsidRDefault="00000000">
      <w:r>
        <w:rPr>
          <w:b/>
        </w:rPr>
        <w:lastRenderedPageBreak/>
        <w:t>Resolving the Command Collapse Puzzle.</w:t>
      </w:r>
      <w:r>
        <w:t xml:space="preserve"> Conventional models of military organization assume that effective operations depend on hierarchical communication systems (Van Creveld, 1985; Builder et al., 1999). The Israeli case breaks this assumption. Despite severe disruption to surveillance and communication systems, security personnel engaged attackers across a wide geographic area within hours, often without centralized coordination. This was not accidental. It reflects structural characteristics of the Israeli security system that distribute tactical competence and decision-making authority across a wide range of personnel. The case illustrates what we might call the redundancy paradox: systems designed for hierarchical coordination may contain embedded distributed capabilities that become visible only when centralized control fails—consistent with Landau’s (1969) foundational observation that organizational redundancy serves as a critical source of reliability under stress.</w:t>
      </w:r>
    </w:p>
    <w:p w14:paraId="23529414" w14:textId="77777777" w:rsidR="00666716" w:rsidRDefault="00000000">
      <w:r>
        <w:rPr>
          <w:b/>
        </w:rPr>
        <w:t>ERC as a Mechanism of Organizational Resilience.</w:t>
      </w:r>
      <w:r>
        <w:t xml:space="preserve"> The prominence of self-joining responders (40.8% of fatalities) demonstrates that individual initiative played a crucial role. The overrepresentation of SOF personnel (OR = 14.06), reservists (OR = 13.48), and officers (OR = 3.11) among self-joiners indicates that training and operational experience facilitated this initiative—consistent with Shamir’s (2011) analysis of mission command culture in the IDF. Edri-Peer, Cohen, and Gilad (2025) document a parallel finding among police officers who deployed independently, acting on professional identity rather than formal orders, confirming the role identity mechanism central to ERC. The presence of multiple organizations at most combat locations suggests that decentralized responses frequently involved ad hoc collaboration enabled by shared tactical doctrine functioning as a coordination grammar.</w:t>
      </w:r>
    </w:p>
    <w:p w14:paraId="320786DA" w14:textId="77777777" w:rsidR="00666716" w:rsidRDefault="00000000">
      <w:r>
        <w:t xml:space="preserve">One institutional feature stands out as particularly important for generating ERC: the structure of the personnel system. Israel’s reliance on conscription and reserve service distributes military </w:t>
      </w:r>
      <w:r>
        <w:lastRenderedPageBreak/>
        <w:t>training across a large segment of the population (Horowitz &amp; Kimmerling, 1974; Ben-Ari et al., 2023). This effectively creates a latent network of trained responders embedded within society—what Van Fenema and Romme (2020) describe as latent organizing, though triggered here not by formal protocols but by the recognition of a shared threat. Rosenthal, Boin, and Comfort (2001) observe that crisis management systems must be evaluated by their capacity to perform under extreme duress, not by their normal-operating efficiency. By that standard, personnel systems that distribute competence broadly may represent institutional insurance against the failure of centralized coordination.</w:t>
      </w:r>
    </w:p>
    <w:p w14:paraId="65CD2CE3" w14:textId="77777777" w:rsidR="00666716" w:rsidRDefault="00000000">
      <w:r>
        <w:rPr>
          <w:b/>
        </w:rPr>
        <w:t>The Nir Oz Counterfactual.</w:t>
      </w:r>
      <w:r>
        <w:t xml:space="preserve"> We do not attempt to establish a clean causal estimate of ERC’s effect on outcomes—that would require granular temporal data and a strategy for addressing severity-driven endogeneity. But the contrast between Nir Oz (no response, 59.8% kidnapping ratio) and adjacent kibbutzim receiving organized responses (7.5%–18.5% kidnapping ratios) is theoretically informative. It points toward the research design that future work should pursue: paired comparisons of proximate locations with varying levels of decentralized response, ideally with data that allow separating the effect of response from the intensity of the initial attack.</w:t>
      </w:r>
    </w:p>
    <w:p w14:paraId="0B3FFC8D" w14:textId="77777777" w:rsidR="00666716" w:rsidRDefault="00000000">
      <w:r>
        <w:rPr>
          <w:b/>
        </w:rPr>
        <w:t>Implications for Public Administration Theory.</w:t>
      </w:r>
      <w:r>
        <w:t xml:space="preserve"> Our findings extend several lines of work in public administration. We build on Comfort’s (2007) argument that crisis management depends on self-organization within complex adaptive systems by identifying the institutional preconditions—training, doctrine, distributed expertise—that allow self-organization to occur even when communication itself has failed. We extend Kapucu’s (2006) finding that boundary-spanning actors are critical for interagency coordination by showing that such coordination can emerge spontaneously from shared professional competencies. More broadly, following Boin, Comfort, and Demchak (2010), the Israeli case demonstrates one pathway through which </w:t>
      </w:r>
      <w:r>
        <w:lastRenderedPageBreak/>
        <w:t>resilience can be designed into institutions: by distributing tactical competence so broadly that centralized coordination, while valuable, is not a prerequisite for effective action. Moynihan’s (2009) work on intracrisis learning examines how organizations adapt during emergencies; the October 7 response suggests a variant—embedded learning encoded in shared doctrine and tactical muscle memory rather than formal knowledge management systems.</w:t>
      </w:r>
    </w:p>
    <w:p w14:paraId="30C858E8" w14:textId="77777777" w:rsidR="00666716" w:rsidRDefault="00000000">
      <w:r>
        <w:rPr>
          <w:b/>
        </w:rPr>
        <w:t>Limitations.</w:t>
      </w:r>
      <w:r>
        <w:t xml:space="preserve"> The most consequential limitation involves survivorship bias in the fatality proxy. Stationed personnel faced higher initial lethality, likely inflating their representation and making the 40.8% self-joining rate a conservative underestimate. Differential survival bias works against the SOF finding: if SOF personnel survive at higher rates, the true odds ratio exceeds 14.06. Conservative bounding analysis confirms that the core findings hold: even assuming self-joiners survived at three times the rate of stationed personnel, the implied participation rate remains significantly above one-third; a 4:1 SOF survival advantage would be required to reduce the OR to non-significance. Second, the analysis relies on open-source documentation with possible gaps. Third, the Israeli case represents a single empirical context. Comparative research—particularly cases where decentralized response failed despite trained personnel—would provide valuable boundary condition tests.</w:t>
      </w:r>
    </w:p>
    <w:p w14:paraId="11079227" w14:textId="77777777" w:rsidR="00666716" w:rsidRDefault="00000000">
      <w:r>
        <w:rPr>
          <w:b/>
        </w:rPr>
        <w:t>Data Accessibility Statement.</w:t>
      </w:r>
      <w:r>
        <w:t xml:space="preserve"> The aggregated datasets supporting the findings are available from the corresponding author upon reasonable request. Individual-level fatality data are drawn from publicly accessible memorial databases maintained by the Israeli Ministry of Defense and Israel Police.</w:t>
      </w:r>
    </w:p>
    <w:p w14:paraId="6A7E9BC9" w14:textId="77777777" w:rsidR="00666716" w:rsidRDefault="00000000">
      <w:pPr>
        <w:pStyle w:val="Heading2"/>
      </w:pPr>
      <w:bookmarkStart w:id="20" w:name="conclusion"/>
      <w:r>
        <w:t>Conclusion</w:t>
      </w:r>
      <w:bookmarkEnd w:id="20"/>
    </w:p>
    <w:p w14:paraId="162B6203" w14:textId="77777777" w:rsidR="00666716" w:rsidRDefault="00000000">
      <w:r>
        <w:t xml:space="preserve">We introduced the concept of Embedded Response Capacity and tested it through analysis of the Israeli response to the October 7, 2023 Hamas attack. The findings demonstrate that </w:t>
      </w:r>
      <w:r>
        <w:lastRenderedPageBreak/>
        <w:t>decentralized mobilization constituted a substantial component of the defensive response, that self-joining behavior was systematically predicted by institutional markers of ERC, and that cross-organizational ad hoc teams formed at the majority of combat locations.</w:t>
      </w:r>
    </w:p>
    <w:p w14:paraId="195BC776" w14:textId="77777777" w:rsidR="00666716" w:rsidRDefault="00000000">
      <w:r>
        <w:t>What do these results mean? They suggest that the Israeli security system’s capacity to respond effectively despite the collapse of centralized command was not accidental. It was rooted in institutional characteristics—shared tactical training, initiative culture, professional role identity, and the distribution of competence through conscription and reserve service—that embedded response capacity within the system long before the crisis. Forty percent of the security personnel who died defending the Gaza Envelope on October 7 had arrived on their own initiative. Many drove toward the sound of gunfire in personal vehicles, without orders, without communication with any command authority, without knowing the scale of what they were heading into. That they were able not only to arrive but to form effective fighting teams with strangers from other units and branches—this is what ERC explains.</w:t>
      </w:r>
    </w:p>
    <w:p w14:paraId="70FFC072" w14:textId="77777777" w:rsidR="00666716" w:rsidRDefault="00000000">
      <w:r>
        <w:t>For public administration theory, the ERC framework identifies a mechanism of organizational resilience that operates beneath and independently of formal coordination structures. When intelligent adversaries deliberately engineer the collapse of command-and-control systems—a possibility that existing crisis management frameworks have not adequately addressed—organizational effectiveness may depend less on the integrity of communication networks and more on the distributed competencies embedded within trained personnel. Future research should examine ERC’s generalizability through comparative analysis of security systems with different personnel structures, training regimes, and doctrinal cultures. The October 7 case provides one data point, but a powerful one: when everything else failed, what held was the capacity embedded in people.</w:t>
      </w:r>
    </w:p>
    <w:p w14:paraId="1E86D9AA" w14:textId="77777777" w:rsidR="00666716" w:rsidRDefault="00000000">
      <w:pPr>
        <w:pStyle w:val="Heading2"/>
      </w:pPr>
      <w:bookmarkStart w:id="21" w:name="references"/>
      <w:r>
        <w:lastRenderedPageBreak/>
        <w:t>References</w:t>
      </w:r>
      <w:bookmarkEnd w:id="21"/>
    </w:p>
    <w:p w14:paraId="3659192A" w14:textId="77777777" w:rsidR="00666716" w:rsidRDefault="00000000">
      <w:r>
        <w:t xml:space="preserve">Alberts, D. S., Garstka, J. J., Hayes, R. E., &amp; Signori, D. A. (2001). </w:t>
      </w:r>
      <w:r>
        <w:rPr>
          <w:i/>
        </w:rPr>
        <w:t>Understanding information age warfare</w:t>
      </w:r>
      <w:r>
        <w:t>. CCRP Publication Series.</w:t>
      </w:r>
    </w:p>
    <w:p w14:paraId="132721E6" w14:textId="77777777" w:rsidR="00666716" w:rsidRDefault="00000000">
      <w:r>
        <w:t xml:space="preserve">Alberts, D. S., &amp; Hayes, R. E. (2003). </w:t>
      </w:r>
      <w:r>
        <w:rPr>
          <w:i/>
        </w:rPr>
        <w:t>Power to the edge: Command and control in the information age</w:t>
      </w:r>
      <w:r>
        <w:t>. CCRP Publication Series.</w:t>
      </w:r>
    </w:p>
    <w:p w14:paraId="5F4C2C86" w14:textId="77777777" w:rsidR="00666716" w:rsidRDefault="00000000">
      <w:r>
        <w:t xml:space="preserve">Ansell, C., Boin, A., &amp; Keller, A. (2010). Managing transboundary crises: Identifying the building blocks of an effective response system. </w:t>
      </w:r>
      <w:r>
        <w:rPr>
          <w:i/>
        </w:rPr>
        <w:t>Journal of Contingencies and Crisis Management</w:t>
      </w:r>
      <w:r>
        <w:t xml:space="preserve">, </w:t>
      </w:r>
      <w:r>
        <w:rPr>
          <w:i/>
        </w:rPr>
        <w:t>18</w:t>
      </w:r>
      <w:r>
        <w:t>(4), 195–207. https://doi.org/10.1111/j.1468-5973.2010.00620.x</w:t>
      </w:r>
    </w:p>
    <w:p w14:paraId="085504D2" w14:textId="77777777" w:rsidR="00666716" w:rsidRDefault="00000000">
      <w:r>
        <w:t xml:space="preserve">Arquilla, J., &amp; Ronfeldt, D. (2000). </w:t>
      </w:r>
      <w:r>
        <w:rPr>
          <w:i/>
        </w:rPr>
        <w:t>Swarming and the future of conflict</w:t>
      </w:r>
      <w:r>
        <w:t>. RAND Corporation (DB-311). https://www.rand.org/pubs/documented_briefings/DB311.html</w:t>
      </w:r>
    </w:p>
    <w:p w14:paraId="40A6B498" w14:textId="77777777" w:rsidR="00666716" w:rsidRDefault="00000000">
      <w:r>
        <w:t xml:space="preserve">Arquilla, J., &amp; Ronfeldt, D. (Eds.). (2001). </w:t>
      </w:r>
      <w:r>
        <w:rPr>
          <w:i/>
        </w:rPr>
        <w:t>Networks and netwars: The future of terror, crime, and militancy</w:t>
      </w:r>
      <w:r>
        <w:t>. RAND Corporation.</w:t>
      </w:r>
    </w:p>
    <w:p w14:paraId="566B0FEC" w14:textId="77777777" w:rsidR="00666716" w:rsidRDefault="00000000">
      <w:r>
        <w:t xml:space="preserve">Ben-Ari, E., Rosman, E., &amp; Shamir, E. (2023). Neither a conscript army nor an all-volunteer force: Emerging recruiting models. </w:t>
      </w:r>
      <w:r>
        <w:rPr>
          <w:i/>
        </w:rPr>
        <w:t>Armed Forces &amp; Society</w:t>
      </w:r>
      <w:r>
        <w:t xml:space="preserve">, </w:t>
      </w:r>
      <w:r>
        <w:rPr>
          <w:i/>
        </w:rPr>
        <w:t>49</w:t>
      </w:r>
      <w:r>
        <w:t>(1), 138–159. https://doi.org/10.1177/0095327X211048216</w:t>
      </w:r>
    </w:p>
    <w:p w14:paraId="644EAF5E" w14:textId="77777777" w:rsidR="00666716" w:rsidRDefault="00000000">
      <w:r>
        <w:t xml:space="preserve">Boin, A., Comfort, L. K., &amp; Demchak, C. C. (2010). The rise of resilience. In L. K. Comfort, A. Boin, &amp; C. C. Demchak (Eds.), </w:t>
      </w:r>
      <w:r>
        <w:rPr>
          <w:i/>
        </w:rPr>
        <w:t>Designing resilience: Preparing for extreme events</w:t>
      </w:r>
      <w:r>
        <w:t xml:space="preserve"> (pp. 1–12). University of Pittsburgh Press.</w:t>
      </w:r>
    </w:p>
    <w:p w14:paraId="39AA92CC" w14:textId="77777777" w:rsidR="00666716" w:rsidRDefault="00000000">
      <w:r>
        <w:t xml:space="preserve">Boin, A., ’t Hart, P., Stern, E., &amp; Sundelius, B. (2005). </w:t>
      </w:r>
      <w:r>
        <w:rPr>
          <w:i/>
        </w:rPr>
        <w:t>The politics of crisis management: Public leadership under pressure</w:t>
      </w:r>
      <w:r>
        <w:t>. Cambridge University Press.</w:t>
      </w:r>
    </w:p>
    <w:p w14:paraId="5FCE7A4B" w14:textId="77777777" w:rsidR="00666716" w:rsidRDefault="00000000">
      <w:r>
        <w:t xml:space="preserve">Builder, C. H., Bankes, S. C., &amp; Nordin, R. (1999). </w:t>
      </w:r>
      <w:r>
        <w:rPr>
          <w:i/>
        </w:rPr>
        <w:t>Command concepts: A theory derived from the practice of command and control</w:t>
      </w:r>
      <w:r>
        <w:t>. RAND Corporation (MR-775). https://www.rand.org/pubs/monograph_reports/MR775.html</w:t>
      </w:r>
    </w:p>
    <w:p w14:paraId="0F367574" w14:textId="77777777" w:rsidR="00666716" w:rsidRDefault="00000000">
      <w:r>
        <w:lastRenderedPageBreak/>
        <w:t xml:space="preserve">Carter, A. B. (2001). The architecture of government in the face of terrorism. </w:t>
      </w:r>
      <w:r>
        <w:rPr>
          <w:i/>
        </w:rPr>
        <w:t>International Security</w:t>
      </w:r>
      <w:r>
        <w:t xml:space="preserve">, </w:t>
      </w:r>
      <w:r>
        <w:rPr>
          <w:i/>
        </w:rPr>
        <w:t>26</w:t>
      </w:r>
      <w:r>
        <w:t>(3), 5–23.</w:t>
      </w:r>
    </w:p>
    <w:p w14:paraId="37448D53" w14:textId="77777777" w:rsidR="00666716" w:rsidRDefault="00000000">
      <w:r>
        <w:t xml:space="preserve">Cebrowski, A. K., &amp; Garstka, J. J. (1998). Network-centric warfare: Its origin and future. </w:t>
      </w:r>
      <w:r>
        <w:rPr>
          <w:i/>
        </w:rPr>
        <w:t>Proceedings of the U.S. Naval Institute</w:t>
      </w:r>
      <w:r>
        <w:t xml:space="preserve">, </w:t>
      </w:r>
      <w:r>
        <w:rPr>
          <w:i/>
        </w:rPr>
        <w:t>124</w:t>
      </w:r>
      <w:r>
        <w:t>(1), 139–144.</w:t>
      </w:r>
    </w:p>
    <w:p w14:paraId="5BEE8D1B" w14:textId="77777777" w:rsidR="00666716" w:rsidRDefault="00000000">
      <w:r>
        <w:t xml:space="preserve">Comfort, L. K. (2007). Crisis management in hindsight: Cognition, communication, coordination, and control. </w:t>
      </w:r>
      <w:r>
        <w:rPr>
          <w:i/>
        </w:rPr>
        <w:t>Public Administration Review</w:t>
      </w:r>
      <w:r>
        <w:t xml:space="preserve">, </w:t>
      </w:r>
      <w:r>
        <w:rPr>
          <w:i/>
        </w:rPr>
        <w:t>67</w:t>
      </w:r>
      <w:r>
        <w:t>(s1), 189–197. https://doi.org/10.1111/j.1540-6210.2007.00827.x</w:t>
      </w:r>
    </w:p>
    <w:p w14:paraId="69A82A7C" w14:textId="77777777" w:rsidR="00666716" w:rsidRDefault="00000000">
      <w:r>
        <w:t xml:space="preserve">Comfort, L. K., Ko, K., &amp; Zagorecki, A. (2004). Coordination in rapidly evolving disaster response systems: The role of information. </w:t>
      </w:r>
      <w:r>
        <w:rPr>
          <w:i/>
        </w:rPr>
        <w:t>American Behavioral Scientist</w:t>
      </w:r>
      <w:r>
        <w:t xml:space="preserve">, </w:t>
      </w:r>
      <w:r>
        <w:rPr>
          <w:i/>
        </w:rPr>
        <w:t>48</w:t>
      </w:r>
      <w:r>
        <w:t>(3), 295–313. https://doi.org/10.1177/0002764204268987</w:t>
      </w:r>
    </w:p>
    <w:p w14:paraId="7372C38A" w14:textId="77777777" w:rsidR="00666716" w:rsidRDefault="00000000">
      <w:r>
        <w:t xml:space="preserve">Creswell, J. W., &amp; Plano Clark, V. L. (2017). </w:t>
      </w:r>
      <w:r>
        <w:rPr>
          <w:i/>
        </w:rPr>
        <w:t>Designing and conducting mixed methods research</w:t>
      </w:r>
      <w:r>
        <w:t xml:space="preserve"> (3rd ed.). Sage.</w:t>
      </w:r>
    </w:p>
    <w:p w14:paraId="14C485F0" w14:textId="77777777" w:rsidR="00666716" w:rsidRDefault="00000000">
      <w:r>
        <w:t xml:space="preserve">Eck, K. (2012). In data we trust? A comparison of UCDP GED and ACLED conflict events datasets. </w:t>
      </w:r>
      <w:r>
        <w:rPr>
          <w:i/>
        </w:rPr>
        <w:t>Cooperation and Conflict</w:t>
      </w:r>
      <w:r>
        <w:t xml:space="preserve">, </w:t>
      </w:r>
      <w:r>
        <w:rPr>
          <w:i/>
        </w:rPr>
        <w:t>47</w:t>
      </w:r>
      <w:r>
        <w:t>(1), 124–141. https://doi.org/10.1177/0010836711434463</w:t>
      </w:r>
    </w:p>
    <w:p w14:paraId="525304F4" w14:textId="77777777" w:rsidR="00666716" w:rsidRDefault="00000000">
      <w:r>
        <w:t xml:space="preserve">Edri-Peer, O., Cohen, N., &amp; Gilad, Z. (2025). Why do street-level bureaucrats risk their lives in times of crisis? The case of Israeli police officers during the October 7 attack. </w:t>
      </w:r>
      <w:r>
        <w:rPr>
          <w:i/>
        </w:rPr>
        <w:t>American Review of Public Administration</w:t>
      </w:r>
      <w:r>
        <w:t xml:space="preserve">, </w:t>
      </w:r>
      <w:r>
        <w:rPr>
          <w:i/>
        </w:rPr>
        <w:t>55</w:t>
      </w:r>
      <w:r>
        <w:t>(7–8), 615–626. https://doi.org/10.1177/02750740251361869</w:t>
      </w:r>
    </w:p>
    <w:p w14:paraId="55F1EA64" w14:textId="77777777" w:rsidR="00666716" w:rsidRDefault="00000000">
      <w:r>
        <w:t xml:space="preserve">Edwards, S. J. A. (2000). </w:t>
      </w:r>
      <w:r>
        <w:rPr>
          <w:i/>
        </w:rPr>
        <w:t>Swarming on the battlefield: Past, present, and future</w:t>
      </w:r>
      <w:r>
        <w:t>. RAND Corporation (MR-1100). https://www.rand.org/pubs/monograph_reports/MR1100.html</w:t>
      </w:r>
    </w:p>
    <w:p w14:paraId="3CB9F1CB" w14:textId="77777777" w:rsidR="00666716" w:rsidRDefault="00000000">
      <w:r>
        <w:t xml:space="preserve">Frederickson, H. G., &amp; LaPorte, T. R. (2002). Airport security, high reliability, and the problem of rationality. </w:t>
      </w:r>
      <w:r>
        <w:rPr>
          <w:i/>
        </w:rPr>
        <w:t>Public Administration Review</w:t>
      </w:r>
      <w:r>
        <w:t xml:space="preserve">, </w:t>
      </w:r>
      <w:r>
        <w:rPr>
          <w:i/>
        </w:rPr>
        <w:t>62</w:t>
      </w:r>
      <w:r>
        <w:t>(s1), 33–43. https://doi.org/10.1111/1540-6210.62.s1.7</w:t>
      </w:r>
    </w:p>
    <w:p w14:paraId="447DCF10" w14:textId="77777777" w:rsidR="00666716" w:rsidRDefault="00000000">
      <w:r>
        <w:lastRenderedPageBreak/>
        <w:t xml:space="preserve">Gohdes, A. R., &amp; Price, M. E. (2013). First things first: Assessing data quality before model quality. </w:t>
      </w:r>
      <w:r>
        <w:rPr>
          <w:i/>
        </w:rPr>
        <w:t>Journal of Conflict Resolution</w:t>
      </w:r>
      <w:r>
        <w:t xml:space="preserve">, </w:t>
      </w:r>
      <w:r>
        <w:rPr>
          <w:i/>
        </w:rPr>
        <w:t>57</w:t>
      </w:r>
      <w:r>
        <w:t>(6), 1090–1108. https://doi.org/10.1177/0022002712459708</w:t>
      </w:r>
    </w:p>
    <w:p w14:paraId="297D7C3E" w14:textId="77777777" w:rsidR="00666716" w:rsidRDefault="00000000">
      <w:r>
        <w:t xml:space="preserve">Horowitz, D., &amp; Kimmerling, B. (1974). Some social implications of military service and the reserves system in Israel. </w:t>
      </w:r>
      <w:r>
        <w:rPr>
          <w:i/>
        </w:rPr>
        <w:t>European Journal of Sociology</w:t>
      </w:r>
      <w:r>
        <w:t xml:space="preserve">, </w:t>
      </w:r>
      <w:r>
        <w:rPr>
          <w:i/>
        </w:rPr>
        <w:t>15</w:t>
      </w:r>
      <w:r>
        <w:t>(2), 262–276.</w:t>
      </w:r>
    </w:p>
    <w:p w14:paraId="4E1431C9" w14:textId="77777777" w:rsidR="00666716" w:rsidRDefault="00000000">
      <w:r>
        <w:t xml:space="preserve">Jones, M. V., Smith, N. C., Walker, L. A., et al. (2022). A systematic review of resilient performance in defence and security settings. </w:t>
      </w:r>
      <w:r>
        <w:rPr>
          <w:i/>
        </w:rPr>
        <w:t>PLOS One</w:t>
      </w:r>
      <w:r>
        <w:t xml:space="preserve">, </w:t>
      </w:r>
      <w:r>
        <w:rPr>
          <w:i/>
        </w:rPr>
        <w:t>17</w:t>
      </w:r>
      <w:r>
        <w:t>(10), e0273015. https://doi.org/10.1371/journal.pone.0273015</w:t>
      </w:r>
    </w:p>
    <w:p w14:paraId="77C6CEFF" w14:textId="77777777" w:rsidR="00666716" w:rsidRDefault="00000000">
      <w:r>
        <w:t xml:space="preserve">Kapucu, N. (2006). Interagency communication networks during emergencies: Boundary spanners in multiagency coordination. </w:t>
      </w:r>
      <w:r>
        <w:rPr>
          <w:i/>
        </w:rPr>
        <w:t>American Review of Public Administration</w:t>
      </w:r>
      <w:r>
        <w:t xml:space="preserve">, </w:t>
      </w:r>
      <w:r>
        <w:rPr>
          <w:i/>
        </w:rPr>
        <w:t>36</w:t>
      </w:r>
      <w:r>
        <w:t>(2), 207–225. https://doi.org/10.1177/0275074005280605</w:t>
      </w:r>
    </w:p>
    <w:p w14:paraId="21000AD1" w14:textId="77777777" w:rsidR="00666716" w:rsidRDefault="00000000">
      <w:r>
        <w:t xml:space="preserve">Kettl, D. F. (2003). Contingent coordination: Practical and theoretical puzzles for homeland security. </w:t>
      </w:r>
      <w:r>
        <w:rPr>
          <w:i/>
        </w:rPr>
        <w:t>American Review of Public Administration</w:t>
      </w:r>
      <w:r>
        <w:t xml:space="preserve">, </w:t>
      </w:r>
      <w:r>
        <w:rPr>
          <w:i/>
        </w:rPr>
        <w:t>33</w:t>
      </w:r>
      <w:r>
        <w:t>(3), 253–277. https://doi.org/10.1177/0275074003254472</w:t>
      </w:r>
    </w:p>
    <w:p w14:paraId="19ABC946" w14:textId="77777777" w:rsidR="00666716" w:rsidRDefault="00000000">
      <w:r>
        <w:t xml:space="preserve">Klein, G. (1998). </w:t>
      </w:r>
      <w:r>
        <w:rPr>
          <w:i/>
        </w:rPr>
        <w:t>Sources of power: How people make decisions</w:t>
      </w:r>
      <w:r>
        <w:t>. MIT Press.</w:t>
      </w:r>
    </w:p>
    <w:p w14:paraId="6E5531A2" w14:textId="77777777" w:rsidR="00666716" w:rsidRDefault="00000000">
      <w:r>
        <w:t xml:space="preserve">La Porte, T. R., &amp; Consolini, P. M. (1991). Working in practice but not in theory: Theoretical challenges of “high-reliability organizations.” </w:t>
      </w:r>
      <w:r>
        <w:rPr>
          <w:i/>
        </w:rPr>
        <w:t>Journal of Public Administration Research and Theory</w:t>
      </w:r>
      <w:r>
        <w:t xml:space="preserve">, </w:t>
      </w:r>
      <w:r>
        <w:rPr>
          <w:i/>
        </w:rPr>
        <w:t>1</w:t>
      </w:r>
      <w:r>
        <w:t>(1), 19–48.</w:t>
      </w:r>
    </w:p>
    <w:p w14:paraId="555DFE53" w14:textId="77777777" w:rsidR="00666716" w:rsidRDefault="00000000">
      <w:r>
        <w:t xml:space="preserve">Lacina, B., &amp; Gleditsch, N. P. (2005). Monitoring trends in global combat: A new dataset of battle deaths. </w:t>
      </w:r>
      <w:r>
        <w:rPr>
          <w:i/>
        </w:rPr>
        <w:t>European Journal of Population</w:t>
      </w:r>
      <w:r>
        <w:t xml:space="preserve">, </w:t>
      </w:r>
      <w:r>
        <w:rPr>
          <w:i/>
        </w:rPr>
        <w:t>21</w:t>
      </w:r>
      <w:r>
        <w:t>(2–3), 145–166. https://doi.org/10.1007/s10680-005-6851-6</w:t>
      </w:r>
    </w:p>
    <w:p w14:paraId="11F29457" w14:textId="77777777" w:rsidR="00666716" w:rsidRDefault="00000000">
      <w:r>
        <w:t xml:space="preserve">Landau, M. (1969). Redundancy, rationality, and the problem of duplication and overlap. </w:t>
      </w:r>
      <w:r>
        <w:rPr>
          <w:i/>
        </w:rPr>
        <w:t>Public Administration Review</w:t>
      </w:r>
      <w:r>
        <w:t xml:space="preserve">, </w:t>
      </w:r>
      <w:r>
        <w:rPr>
          <w:i/>
        </w:rPr>
        <w:t>29</w:t>
      </w:r>
      <w:r>
        <w:t>(4), 346–358.</w:t>
      </w:r>
    </w:p>
    <w:p w14:paraId="22318D72" w14:textId="77777777" w:rsidR="00666716" w:rsidRDefault="00000000">
      <w:r>
        <w:lastRenderedPageBreak/>
        <w:t xml:space="preserve">Lieberman, E. S. (2005). Nested analysis as a mixed-method strategy for comparative research. </w:t>
      </w:r>
      <w:r>
        <w:rPr>
          <w:i/>
        </w:rPr>
        <w:t>American Political Science Review</w:t>
      </w:r>
      <w:r>
        <w:t xml:space="preserve">, </w:t>
      </w:r>
      <w:r>
        <w:rPr>
          <w:i/>
        </w:rPr>
        <w:t>99</w:t>
      </w:r>
      <w:r>
        <w:t>(3), 435–452.</w:t>
      </w:r>
    </w:p>
    <w:p w14:paraId="620C1EF6" w14:textId="77777777" w:rsidR="00666716" w:rsidRDefault="00000000">
      <w:r>
        <w:t xml:space="preserve">Lipsky, M. (1980). </w:t>
      </w:r>
      <w:r>
        <w:rPr>
          <w:i/>
        </w:rPr>
        <w:t>Street-level bureaucracy: Dilemmas of the individual in public services</w:t>
      </w:r>
      <w:r>
        <w:t>. Russell Sage Foundation.</w:t>
      </w:r>
    </w:p>
    <w:p w14:paraId="060CA753" w14:textId="77777777" w:rsidR="00666716" w:rsidRDefault="00000000">
      <w:r>
        <w:t xml:space="preserve">Lomsky-Feder, E., Gazit, N., &amp; Ben-Ari, E. (2008). Reserve soldiers as transmigrants: Moving between the civilian and military worlds. </w:t>
      </w:r>
      <w:r>
        <w:rPr>
          <w:i/>
        </w:rPr>
        <w:t>Armed Forces &amp; Society</w:t>
      </w:r>
      <w:r>
        <w:t xml:space="preserve">, </w:t>
      </w:r>
      <w:r>
        <w:rPr>
          <w:i/>
        </w:rPr>
        <w:t>34</w:t>
      </w:r>
      <w:r>
        <w:t>(4), 593–614. https://doi.org/10.1177/0095327X07312090</w:t>
      </w:r>
    </w:p>
    <w:p w14:paraId="2E7BDA78" w14:textId="77777777" w:rsidR="00666716" w:rsidRDefault="00000000">
      <w:r>
        <w:t xml:space="preserve">Meniv, O. (2024, November 23). [Investigation: What Netanyahu knew before October 7 and the warnings he received about Hamas]. </w:t>
      </w:r>
      <w:r>
        <w:rPr>
          <w:i/>
        </w:rPr>
        <w:t>N12</w:t>
      </w:r>
      <w:r>
        <w:t>. https://www.mako.co.il/news-military/036814c74a0e1910/Article-6314f29ae1a5391026.htm</w:t>
      </w:r>
    </w:p>
    <w:p w14:paraId="6078F3BA" w14:textId="77777777" w:rsidR="00666716" w:rsidRDefault="00000000">
      <w:r>
        <w:t xml:space="preserve">Moghadam, A., &amp; Marco, A. C. (2025). The October 7, 2023 attacks and the maturation of terrorism studies. </w:t>
      </w:r>
      <w:r>
        <w:rPr>
          <w:i/>
        </w:rPr>
        <w:t>Studies in Conflict &amp; Terrorism</w:t>
      </w:r>
      <w:r>
        <w:t>. https://doi.org/10.1080/1057610X.2025.2528318</w:t>
      </w:r>
    </w:p>
    <w:p w14:paraId="1B2B0103" w14:textId="77777777" w:rsidR="00666716" w:rsidRDefault="00000000">
      <w:r>
        <w:t xml:space="preserve">Moorman, C., &amp; Miner, A. S. (1998). Organizational improvisation and organizational memory. </w:t>
      </w:r>
      <w:r>
        <w:rPr>
          <w:i/>
        </w:rPr>
        <w:t>Academy of Management Review</w:t>
      </w:r>
      <w:r>
        <w:t xml:space="preserve">, </w:t>
      </w:r>
      <w:r>
        <w:rPr>
          <w:i/>
        </w:rPr>
        <w:t>23</w:t>
      </w:r>
      <w:r>
        <w:t>(4), 698–723. https://doi.org/10.5465/amr.1998.1255634</w:t>
      </w:r>
    </w:p>
    <w:p w14:paraId="5BD28CC8" w14:textId="77777777" w:rsidR="00666716" w:rsidRDefault="00000000">
      <w:r>
        <w:t xml:space="preserve">Moynihan, D. P. (2008). Learning under uncertainty: Networks in crisis management. </w:t>
      </w:r>
      <w:r>
        <w:rPr>
          <w:i/>
        </w:rPr>
        <w:t>Public Administration Review</w:t>
      </w:r>
      <w:r>
        <w:t xml:space="preserve">, </w:t>
      </w:r>
      <w:r>
        <w:rPr>
          <w:i/>
        </w:rPr>
        <w:t>68</w:t>
      </w:r>
      <w:r>
        <w:t>(2), 350–361. https://doi.org/10.1111/j.1540-6210.2007.00867.x</w:t>
      </w:r>
    </w:p>
    <w:p w14:paraId="376FB371" w14:textId="77777777" w:rsidR="00666716" w:rsidRDefault="00000000">
      <w:r>
        <w:t xml:space="preserve">Moynihan, D. P. (2009). From intercrisis to intracrisis learning. </w:t>
      </w:r>
      <w:r>
        <w:rPr>
          <w:i/>
        </w:rPr>
        <w:t>Journal of Contingencies and Crisis Management</w:t>
      </w:r>
      <w:r>
        <w:t xml:space="preserve">, </w:t>
      </w:r>
      <w:r>
        <w:rPr>
          <w:i/>
        </w:rPr>
        <w:t>17</w:t>
      </w:r>
      <w:r>
        <w:t>(3), 189–198. https://doi.org/10.1111/j.1468-5973.2009.00579.x</w:t>
      </w:r>
    </w:p>
    <w:p w14:paraId="5343C746" w14:textId="77777777" w:rsidR="00666716" w:rsidRDefault="00000000">
      <w:r>
        <w:t xml:space="preserve">Powley, E. H. (2009). Reclaiming resilience and safety: Resilience activation in the critical period of crisis. </w:t>
      </w:r>
      <w:r>
        <w:rPr>
          <w:i/>
        </w:rPr>
        <w:t>Human Relations</w:t>
      </w:r>
      <w:r>
        <w:t xml:space="preserve">, </w:t>
      </w:r>
      <w:r>
        <w:rPr>
          <w:i/>
        </w:rPr>
        <w:t>62</w:t>
      </w:r>
      <w:r>
        <w:t>(9), 1289–1326. https://doi.org/10.1177/0018726709334881</w:t>
      </w:r>
    </w:p>
    <w:p w14:paraId="6A409E5F" w14:textId="77777777" w:rsidR="00666716" w:rsidRDefault="00000000">
      <w:r>
        <w:lastRenderedPageBreak/>
        <w:t xml:space="preserve">Roberts, K. H. (1990). Some characteristics of one type of high reliability organization. </w:t>
      </w:r>
      <w:r>
        <w:rPr>
          <w:i/>
        </w:rPr>
        <w:t>Organization Science</w:t>
      </w:r>
      <w:r>
        <w:t xml:space="preserve">, </w:t>
      </w:r>
      <w:r>
        <w:rPr>
          <w:i/>
        </w:rPr>
        <w:t>1</w:t>
      </w:r>
      <w:r>
        <w:t>(2), 160–176.</w:t>
      </w:r>
    </w:p>
    <w:p w14:paraId="4C088976" w14:textId="77777777" w:rsidR="00666716" w:rsidRDefault="00000000">
      <w:r>
        <w:t xml:space="preserve">Rosenthal, U., Boin, A., &amp; Comfort, L. K. (Eds.). (2001). </w:t>
      </w:r>
      <w:r>
        <w:rPr>
          <w:i/>
        </w:rPr>
        <w:t>Managing crises: Threats, dilemmas, opportunities</w:t>
      </w:r>
      <w:r>
        <w:t>. Charles C. Thomas Publishers.</w:t>
      </w:r>
    </w:p>
    <w:p w14:paraId="7E8E63BB" w14:textId="77777777" w:rsidR="00666716" w:rsidRDefault="00000000">
      <w:r>
        <w:t xml:space="preserve">Seawright, J., &amp; Gerring, J. (2008). Case selection techniques in case study research: A menu of qualitative and quantitative options. </w:t>
      </w:r>
      <w:r>
        <w:rPr>
          <w:i/>
        </w:rPr>
        <w:t>Political Research Quarterly</w:t>
      </w:r>
      <w:r>
        <w:t xml:space="preserve">, </w:t>
      </w:r>
      <w:r>
        <w:rPr>
          <w:i/>
        </w:rPr>
        <w:t>61</w:t>
      </w:r>
      <w:r>
        <w:t>(2), 294–308.</w:t>
      </w:r>
    </w:p>
    <w:p w14:paraId="37950468" w14:textId="77777777" w:rsidR="00666716" w:rsidRDefault="00000000">
      <w:r>
        <w:t xml:space="preserve">Seloom, M. (2025). Veiled intentions: Hamas’s strategic deception and intelligence success on 7 October 2023. </w:t>
      </w:r>
      <w:r>
        <w:rPr>
          <w:i/>
        </w:rPr>
        <w:t>Intelligence and National Security</w:t>
      </w:r>
      <w:r>
        <w:t>. https://doi.org/10.1080/02684527.2025.2576903</w:t>
      </w:r>
    </w:p>
    <w:p w14:paraId="6AD6CCD7" w14:textId="77777777" w:rsidR="00666716" w:rsidRDefault="00000000">
      <w:r>
        <w:t xml:space="preserve">Shamir, E. (2011). </w:t>
      </w:r>
      <w:r>
        <w:rPr>
          <w:i/>
        </w:rPr>
        <w:t>Transforming command: The pursuit of mission command in the U.S., British, and Israeli armies</w:t>
      </w:r>
      <w:r>
        <w:t>. Stanford University Press.</w:t>
      </w:r>
    </w:p>
    <w:p w14:paraId="4D7D43C0" w14:textId="77777777" w:rsidR="00666716" w:rsidRDefault="00000000">
      <w:r>
        <w:t xml:space="preserve">Toth, B. G. (2025). Hamas’s October 7 attack: Analysis of an “antagonistic” crisis. </w:t>
      </w:r>
      <w:r>
        <w:rPr>
          <w:i/>
        </w:rPr>
        <w:t>Public Administration Review</w:t>
      </w:r>
      <w:r>
        <w:t>. https://doi.org/10.1111/puar.13955</w:t>
      </w:r>
    </w:p>
    <w:p w14:paraId="599CE8F3" w14:textId="77777777" w:rsidR="00666716" w:rsidRDefault="00000000">
      <w:r>
        <w:t xml:space="preserve">Van Creveld, M. (1985). </w:t>
      </w:r>
      <w:r>
        <w:rPr>
          <w:i/>
        </w:rPr>
        <w:t>Command in war</w:t>
      </w:r>
      <w:r>
        <w:t>. Harvard University Press.</w:t>
      </w:r>
    </w:p>
    <w:p w14:paraId="73A1A810" w14:textId="77777777" w:rsidR="00666716" w:rsidRDefault="00000000">
      <w:r>
        <w:t xml:space="preserve">Van Fenema, P. C., &amp; Romme, A. G. L. (2020). Latent organizing for responding to emergencies: Foundations for research. </w:t>
      </w:r>
      <w:r>
        <w:rPr>
          <w:i/>
        </w:rPr>
        <w:t>Journal of Organization Design</w:t>
      </w:r>
      <w:r>
        <w:t xml:space="preserve">, </w:t>
      </w:r>
      <w:r>
        <w:rPr>
          <w:i/>
        </w:rPr>
        <w:t>9</w:t>
      </w:r>
      <w:r>
        <w:t>, Article 11. https://doi.org/10.1186/s41469-020-00074-z</w:t>
      </w:r>
    </w:p>
    <w:p w14:paraId="1BB95C56" w14:textId="77777777" w:rsidR="00666716" w:rsidRDefault="00000000">
      <w:r>
        <w:t xml:space="preserve">Weick, K. E. (1998). Improvisation as a mindset for organizational analysis. </w:t>
      </w:r>
      <w:r>
        <w:rPr>
          <w:i/>
        </w:rPr>
        <w:t>Organization Science</w:t>
      </w:r>
      <w:r>
        <w:t xml:space="preserve">, </w:t>
      </w:r>
      <w:r>
        <w:rPr>
          <w:i/>
        </w:rPr>
        <w:t>9</w:t>
      </w:r>
      <w:r>
        <w:t>(5), 543–555. https://doi.org/10.1287/orsc.9.5.543</w:t>
      </w:r>
    </w:p>
    <w:p w14:paraId="3117FFB9" w14:textId="77777777" w:rsidR="00666716" w:rsidRDefault="00000000">
      <w:r>
        <w:t xml:space="preserve">Weick, K. E., &amp; Sutcliffe, K. M. (2015). </w:t>
      </w:r>
      <w:r>
        <w:rPr>
          <w:i/>
        </w:rPr>
        <w:t>Managing the unexpected: Sustained performance in a complex world</w:t>
      </w:r>
      <w:r>
        <w:t xml:space="preserve"> (3rd ed.). Jossey-Bass.</w:t>
      </w:r>
    </w:p>
    <w:p w14:paraId="00BA23B1" w14:textId="77777777" w:rsidR="00666716" w:rsidRDefault="00000000">
      <w:r>
        <w:t xml:space="preserve">Weick, K. E., Sutcliffe, K. M., &amp; Obstfeld, D. (1999). Organizing for high reliability: Processes of collective mindfulness. </w:t>
      </w:r>
      <w:r>
        <w:rPr>
          <w:i/>
        </w:rPr>
        <w:t>Research in Organizational Behavior</w:t>
      </w:r>
      <w:r>
        <w:t xml:space="preserve">, </w:t>
      </w:r>
      <w:r>
        <w:rPr>
          <w:i/>
        </w:rPr>
        <w:t>21</w:t>
      </w:r>
      <w:r>
        <w:t>, 81–123.</w:t>
      </w:r>
    </w:p>
    <w:sectPr w:rsidR="006667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9E015" w14:textId="77777777" w:rsidR="005747CA" w:rsidRDefault="005747CA">
      <w:pPr>
        <w:spacing w:line="240" w:lineRule="auto"/>
      </w:pPr>
      <w:r>
        <w:separator/>
      </w:r>
    </w:p>
  </w:endnote>
  <w:endnote w:type="continuationSeparator" w:id="0">
    <w:p w14:paraId="6BC044D3" w14:textId="77777777" w:rsidR="005747CA" w:rsidRDefault="005747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400E1" w14:textId="77777777" w:rsidR="005747CA" w:rsidRDefault="005747CA">
      <w:r>
        <w:separator/>
      </w:r>
    </w:p>
  </w:footnote>
  <w:footnote w:type="continuationSeparator" w:id="0">
    <w:p w14:paraId="5A5CFA34" w14:textId="77777777" w:rsidR="005747CA" w:rsidRDefault="005747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F872C4B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 w15:restartNumberingAfterBreak="0">
    <w:nsid w:val="3921758D"/>
    <w:multiLevelType w:val="multilevel"/>
    <w:tmpl w:val="022827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2BC4DA2"/>
    <w:multiLevelType w:val="multilevel"/>
    <w:tmpl w:val="EB5248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6102061">
    <w:abstractNumId w:val="1"/>
  </w:num>
  <w:num w:numId="2" w16cid:durableId="2094277423">
    <w:abstractNumId w:val="2"/>
  </w:num>
  <w:num w:numId="3" w16cid:durableId="206722598">
    <w:abstractNumId w:val="0"/>
  </w:num>
  <w:num w:numId="4" w16cid:durableId="1234969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13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4E29B3"/>
    <w:rsid w:val="00553470"/>
    <w:rsid w:val="005747CA"/>
    <w:rsid w:val="00590D07"/>
    <w:rsid w:val="00666716"/>
    <w:rsid w:val="00784D58"/>
    <w:rsid w:val="008D6863"/>
    <w:rsid w:val="009E0BFF"/>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15D408A"/>
  <w15:docId w15:val="{2C53736A-41D4-3943-830F-E927EDB1F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00" w:after="200"/>
      <w:outlineLvl w:val="1"/>
    </w:pPr>
    <w:rPr>
      <w:sz w:val="28"/>
      <w:szCs w:val="28"/>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7412</Words>
  <Characters>47070</Characters>
  <Application>Microsoft Office Word</Application>
  <DocSecurity>0</DocSecurity>
  <Lines>840</Lines>
  <Paragraphs>356</Paragraphs>
  <ScaleCrop>false</ScaleCrop>
  <Company/>
  <LinksUpToDate>false</LinksUpToDate>
  <CharactersWithSpaces>54126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עמי משה פדהצור</dc:creator>
  <cp:keywords/>
  <cp:lastModifiedBy>עמי משה פדהצור</cp:lastModifiedBy>
  <cp:revision>2</cp:revision>
  <dcterms:created xsi:type="dcterms:W3CDTF">2026-03-22T03:21:00Z</dcterms:created>
  <dcterms:modified xsi:type="dcterms:W3CDTF">2026-03-22T03:21:00Z</dcterms:modified>
</cp:coreProperties>
</file>