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80"/>
        <w:jc w:val="center"/>
      </w:pPr>
      <w:r>
        <w:rPr>
          <w:rFonts w:ascii="Arial" w:cs="Arial" w:eastAsia="Arial" w:hAnsi="Arial"/>
          <w:b/>
          <w:bCs/>
          <w:color w:val="1F4E79"/>
          <w:sz w:val="32"/>
          <w:szCs w:val="32"/>
        </w:rPr>
        <w:t xml:space="preserve">Embedded Response Capacity against Swarm Terrorism</w:t>
      </w:r>
    </w:p>
    <w:p>
      <w:pPr>
        <w:spacing w:after="60" w:before="60"/>
        <w:jc w:val="center"/>
      </w:pPr>
      <w:r>
        <w:rPr>
          <w:rFonts w:ascii="Arial" w:cs="Arial" w:eastAsia="Arial" w:hAnsi="Arial"/>
          <w:i/>
          <w:iCs/>
          <w:color w:val="595959"/>
          <w:sz w:val="24"/>
          <w:szCs w:val="24"/>
        </w:rPr>
        <w:t xml:space="preserve">Manuscript Revision Memo — Steps A &amp; B</w:t>
      </w:r>
    </w:p>
    <w:p>
      <w:pPr>
        <w:spacing w:after="480" w:before="60"/>
        <w:jc w:val="center"/>
      </w:pPr>
      <w:r>
        <w:rPr>
          <w:rFonts w:ascii="Arial" w:cs="Arial" w:eastAsia="Arial" w:hAnsi="Arial"/>
          <w:color w:val="595959"/>
          <w:sz w:val="20"/>
          <w:szCs w:val="20"/>
        </w:rPr>
        <w:t xml:space="preserve">Prepared for: Ami Pedahzur  |  February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20"/>
              <w:left w:type="dxa" w:w="200"/>
              <w:bottom w:type="dxa" w:w="120"/>
              <w:right w:type="dxa" w:w="200"/>
            </w:tcMar>
          </w:tcPr>
          <w:p>
            <w:pPr>
              <w:spacing w:after="60" w:before="60"/>
            </w:pPr>
            <w:r>
              <w:rPr>
                <w:rFonts w:ascii="Arial" w:cs="Arial" w:eastAsia="Arial" w:hAnsi="Arial"/>
                <w:b/>
                <w:bCs/>
                <w:color w:val="1F4E79"/>
                <w:sz w:val="22"/>
                <w:szCs w:val="22"/>
              </w:rPr>
              <w:t xml:space="preserve">How to read this document</w:t>
            </w:r>
          </w:p>
          <w:p>
            <w:pPr>
              <w:spacing w:after="60" w:before="40"/>
              <w:jc w:val="both"/>
            </w:pPr>
            <w:r>
              <w:rPr>
                <w:rFonts w:ascii="Arial" w:cs="Arial" w:eastAsia="Arial" w:hAnsi="Arial"/>
                <w:color w:val="333333"/>
                <w:sz w:val="21"/>
                <w:szCs w:val="21"/>
              </w:rPr>
              <w:t xml:space="preserve">This memo presents proposed revisions to the Methodology and Limitations sections (Step A), followed by a complete Statistical Analysis Plan for Step B. Proposed new text appears underlined and in green. Text proposed for deletion appears in red strikethrough. Commentary boxes in orange explain the rationale for each change. The statistical plan (Step B) requires your database as a CSV file to execute.</w:t>
            </w:r>
          </w:p>
        </w:tc>
      </w:tr>
    </w:tbl>
    <w:p>
      <w:pPr>
        <w:spacing w:after="80" w:before="80"/>
      </w:pPr>
      <w:r>
        <w:t xml:space="preserve"/>
      </w:r>
    </w:p>
    <w:p>
      <w:pPr>
        <w:pBdr>
          <w:bottom w:val="single" w:color="1F4E79" w:sz="6" w:space="4"/>
        </w:pBdr>
        <w:spacing w:after="200" w:before="360"/>
      </w:pPr>
      <w:r>
        <w:rPr>
          <w:rFonts w:ascii="Arial" w:cs="Arial" w:eastAsia="Arial" w:hAnsi="Arial"/>
          <w:b/>
          <w:bCs/>
          <w:color w:val="1F4E79"/>
          <w:sz w:val="28"/>
          <w:szCs w:val="28"/>
        </w:rPr>
        <w:t xml:space="preserve">STEP A — Strengthening the Methodology</w:t>
      </w:r>
    </w:p>
    <w:p>
      <w:pPr>
        <w:spacing w:after="100" w:before="100"/>
        <w:jc w:val="both"/>
      </w:pPr>
      <w:r>
        <w:rPr>
          <w:rFonts w:ascii="Arial" w:cs="Arial" w:eastAsia="Arial" w:hAnsi="Arial"/>
          <w:sz w:val="22"/>
          <w:szCs w:val="22"/>
        </w:rPr>
        <w:t xml:space="preserve">This step addresses two core methodological concerns: (1) the validity of casualty data as a proxy for fighting forces, and (2) the use of time-to-death as a proxy for battlefield effectiveness. The revisions below are targeted additions and one deletion within the existing Methodology section, and a substantial expansion of the Limitations paragraph currently buried in the Discussion section.</w:t>
      </w:r>
    </w:p>
    <w:p>
      <w:pPr>
        <w:spacing w:after="80" w:before="80"/>
      </w:pPr>
      <w:r>
        <w:t xml:space="preserve"/>
      </w:r>
    </w:p>
    <w:p>
      <w:pPr>
        <w:spacing w:after="140" w:before="280"/>
      </w:pPr>
      <w:r>
        <w:rPr>
          <w:rFonts w:ascii="Arial" w:cs="Arial" w:eastAsia="Arial" w:hAnsi="Arial"/>
          <w:b/>
          <w:bCs/>
          <w:color w:val="1F4E79"/>
          <w:sz w:val="24"/>
          <w:szCs w:val="24"/>
        </w:rPr>
        <w:t xml:space="preserve">A.1 — Addition to the Methodology Section: Justifying the Proxy</w:t>
      </w:r>
    </w:p>
    <w:p>
      <w:pPr>
        <w:spacing w:after="100" w:before="100"/>
        <w:jc w:val="both"/>
      </w:pPr>
      <w:r>
        <w:rPr>
          <w:rFonts w:ascii="Arial" w:cs="Arial" w:eastAsia="Arial" w:hAnsi="Arial"/>
          <w:sz w:val="22"/>
          <w:szCs w:val="22"/>
        </w:rPr>
        <w:t xml:space="preserve">Location in manuscript: After the paragraph beginning "The sources mentioned above do not provide all the necessary information..." and before the list of variables recorded for each fallen individual.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FF0E5" w:val="clear"/>
            <w:tcMar>
              <w:top w:type="dxa" w:w="120"/>
              <w:left w:type="dxa" w:w="200"/>
              <w:bottom w:type="dxa" w:w="120"/>
              <w:right w:type="dxa" w:w="200"/>
            </w:tcMar>
          </w:tcPr>
          <w:p>
            <w:pPr>
              <w:spacing w:after="60" w:before="60"/>
            </w:pPr>
            <w:r>
              <w:rPr>
                <w:rFonts w:ascii="Arial" w:cs="Arial" w:eastAsia="Arial" w:hAnsi="Arial"/>
                <w:b/>
                <w:bCs/>
                <w:color w:val="C55A11"/>
                <w:sz w:val="22"/>
                <w:szCs w:val="22"/>
              </w:rPr>
              <w:t xml:space="preserve">Rationale</w:t>
            </w:r>
          </w:p>
          <w:p>
            <w:pPr>
              <w:spacing w:after="60" w:before="40"/>
              <w:jc w:val="both"/>
            </w:pPr>
            <w:r>
              <w:rPr>
                <w:rFonts w:ascii="Arial" w:cs="Arial" w:eastAsia="Arial" w:hAnsi="Arial"/>
                <w:color w:val="333333"/>
                <w:sz w:val="21"/>
                <w:szCs w:val="21"/>
              </w:rPr>
              <w:t xml:space="preserve">The manuscript currently moves directly from data sources to the variable list without defending why casualty data is a valid proxy. Reviewers will attack this immediately. We need an explicit paragraph that (a) acknowledges the limitation and (b) argues why the direction of the bias is favorable to the paper's claims — i.e., our findings are conservative estimates.</w:t>
            </w:r>
          </w:p>
        </w:tc>
      </w:tr>
    </w:tbl>
    <w:p>
      <w:pPr>
        <w:spacing w:after="80" w:before="80"/>
      </w:pPr>
      <w:r>
        <w:t xml:space="preserve"/>
      </w:r>
    </w:p>
    <w:p>
      <w:pPr>
        <w:spacing w:after="100" w:before="100"/>
        <w:jc w:val="both"/>
      </w:pPr>
      <w:r>
        <w:rPr>
          <w:rFonts w:ascii="Arial" w:cs="Arial" w:eastAsia="Arial" w:hAnsi="Arial"/>
          <w:b/>
          <w:bCs/>
          <w:sz w:val="22"/>
          <w:szCs w:val="22"/>
        </w:rPr>
        <w:t xml:space="preserve">PROPOSED ADDITION — insert as a new paragraph before the variable list: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E9F5E9" w:val="clear"/>
            <w:tcMar>
              <w:top w:type="dxa" w:w="140"/>
              <w:left w:type="dxa" w:w="220"/>
              <w:bottom w:type="dxa" w:w="140"/>
              <w:right w:type="dxa" w:w="220"/>
            </w:tcMar>
          </w:tcPr>
          <w:p>
            <w:pPr>
              <w:spacing w:after="120" w:before="60"/>
            </w:pPr>
            <w:r>
              <w:rPr>
                <w:rFonts w:ascii="Arial" w:cs="Arial" w:eastAsia="Arial" w:hAnsi="Arial"/>
                <w:b/>
                <w:bCs/>
                <w:i/>
                <w:iCs/>
                <w:color w:val="196619"/>
                <w:sz w:val="20"/>
                <w:szCs w:val="20"/>
              </w:rPr>
              <w:t xml:space="preserve">Proposed New Paragraph (insert in Methodology)</w:t>
            </w:r>
          </w:p>
          <w:p>
            <w:pPr>
              <w:spacing w:after="100" w:before="60"/>
              <w:jc w:val="both"/>
            </w:pPr>
            <w:r>
              <w:rPr>
                <w:rFonts w:ascii="Arial" w:cs="Arial" w:eastAsia="Arial" w:hAnsi="Arial"/>
                <w:color w:val="1A6B1A"/>
                <w:sz w:val="22"/>
                <w:szCs w:val="22"/>
                <w:u w:val="single" w:color="1A6B1A"/>
              </w:rPr>
              <w:t xml:space="preserve">This approach — using security forces fatalities as a proxy for the responding force — offers a significant methodological advantage in a context where comprehensive participation records are either classified or nonexistent. By construction, the dataset captures only those whose presence on the battlefield is independently verifiable through multiple, cross-validated official sources. While a complete roster of all responders cannot be reconstructed, the fatality data provides a systematic record of confirmed combatants whose participation is beyond dispute.</w:t>
            </w:r>
          </w:p>
          <w:p>
            <w:pPr>
              <w:spacing w:after="60" w:before="60"/>
              <w:jc w:val="both"/>
            </w:pPr>
            <w:r>
              <w:rPr>
                <w:rFonts w:ascii="Arial" w:cs="Arial" w:eastAsia="Arial" w:hAnsi="Arial"/>
                <w:color w:val="1A6B1A"/>
                <w:sz w:val="22"/>
                <w:szCs w:val="22"/>
                <w:u w:val="single" w:color="1A6B1A"/>
              </w:rPr>
              <w:t xml:space="preserve">We further acknowledge that this method introduces the potential for survivor bias: individuals who fought and survived may carry characteristics that differ from those who fought and perished. Critically, however, the likely direction of this bias is one that makes our estimates conservative rather than inflated. If officers and special operations personnel are systematically more likely to survive a given engagement owing to superior tactical skill — a reasonable assumption — then their representation in the fatality data constitutes a lower bound of their actual participation. In other words, the proportions of officers and SOF personnel reported in the self-joined group likely underestimate their true prevalence among voluntary responders. This conservative interpretation is reinforced by the consistency of the directionality across multiple independent variables (branch, service type, officer status, and SOF status), all of which point in the same direction, making a systematic reverse-bias unlikely. Future research employing survivor interviews, unit-level after-action reviews, or declassified operational logs would provide a more complete picture of the responding force's composition.</w:t>
            </w:r>
          </w:p>
        </w:tc>
      </w:tr>
    </w:tbl>
    <w:p>
      <w:pPr>
        <w:spacing w:after="80" w:before="80"/>
      </w:pPr>
      <w:r>
        <w:t xml:space="preserve"/>
      </w:r>
    </w:p>
    <w:p>
      <w:pPr>
        <w:spacing w:after="140" w:before="280"/>
      </w:pPr>
      <w:r>
        <w:rPr>
          <w:rFonts w:ascii="Arial" w:cs="Arial" w:eastAsia="Arial" w:hAnsi="Arial"/>
          <w:b/>
          <w:bCs/>
          <w:color w:val="1F4E79"/>
          <w:sz w:val="24"/>
          <w:szCs w:val="24"/>
        </w:rPr>
        <w:t xml:space="preserve">A.2 — Addition to the Methodology Section: Addressing the Time-to-Death Confound</w:t>
      </w:r>
    </w:p>
    <w:p>
      <w:pPr>
        <w:spacing w:after="100" w:before="100"/>
        <w:jc w:val="both"/>
      </w:pPr>
      <w:r>
        <w:rPr>
          <w:rFonts w:ascii="Arial" w:cs="Arial" w:eastAsia="Arial" w:hAnsi="Arial"/>
          <w:sz w:val="22"/>
          <w:szCs w:val="22"/>
        </w:rPr>
        <w:t xml:space="preserve">Location in manuscript: In the Methodology section, after the variable list (item 7: 'Time of death'), as an explanatory note on the measure.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FF0E5" w:val="clear"/>
            <w:tcMar>
              <w:top w:type="dxa" w:w="120"/>
              <w:left w:type="dxa" w:w="200"/>
              <w:bottom w:type="dxa" w:w="120"/>
              <w:right w:type="dxa" w:w="200"/>
            </w:tcMar>
          </w:tcPr>
          <w:p>
            <w:pPr>
              <w:spacing w:after="60" w:before="60"/>
            </w:pPr>
            <w:r>
              <w:rPr>
                <w:rFonts w:ascii="Arial" w:cs="Arial" w:eastAsia="Arial" w:hAnsi="Arial"/>
                <w:b/>
                <w:bCs/>
                <w:color w:val="C55A11"/>
                <w:sz w:val="22"/>
                <w:szCs w:val="22"/>
              </w:rPr>
              <w:t xml:space="preserve">Rationale</w:t>
            </w:r>
          </w:p>
          <w:p>
            <w:pPr>
              <w:spacing w:after="60" w:before="40"/>
              <w:jc w:val="both"/>
            </w:pPr>
            <w:r>
              <w:rPr>
                <w:rFonts w:ascii="Arial" w:cs="Arial" w:eastAsia="Arial" w:hAnsi="Arial"/>
                <w:color w:val="333333"/>
                <w:sz w:val="21"/>
                <w:szCs w:val="21"/>
              </w:rPr>
              <w:t xml:space="preserve">The paper uses 'time elapsed between start of attack and death' as a proxy for effectiveness (e.g., the ANOVA finding that reserves lasted longest). However, this measure partially conflates time of arrival with battlefield longevity. Voluntary joiners arrived ~2 hours after the attack began by definition — they would therefore always show a higher elapsed time regardless of their effectiveness. This confound must be acknowledged explicitly and a partial control must be described.</w:t>
            </w:r>
          </w:p>
        </w:tc>
      </w:tr>
    </w:tbl>
    <w:p>
      <w:pPr>
        <w:spacing w:after="80" w:before="80"/>
      </w:pPr>
      <w:r>
        <w:t xml:space="preserve"/>
      </w:r>
    </w:p>
    <w:p>
      <w:pPr>
        <w:spacing w:after="100" w:before="100"/>
        <w:jc w:val="both"/>
      </w:pPr>
      <w:r>
        <w:rPr>
          <w:rFonts w:ascii="Arial" w:cs="Arial" w:eastAsia="Arial" w:hAnsi="Arial"/>
          <w:b/>
          <w:bCs/>
          <w:sz w:val="22"/>
          <w:szCs w:val="22"/>
        </w:rPr>
        <w:t xml:space="preserve">PROPOSED ADDITION — insert immediately after variable item 7 (Time of death):</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E9F5E9" w:val="clear"/>
            <w:tcMar>
              <w:top w:type="dxa" w:w="140"/>
              <w:left w:type="dxa" w:w="220"/>
              <w:bottom w:type="dxa" w:w="140"/>
              <w:right w:type="dxa" w:w="220"/>
            </w:tcMar>
          </w:tcPr>
          <w:p>
            <w:pPr>
              <w:spacing w:after="120" w:before="60"/>
            </w:pPr>
            <w:r>
              <w:rPr>
                <w:rFonts w:ascii="Arial" w:cs="Arial" w:eastAsia="Arial" w:hAnsi="Arial"/>
                <w:b/>
                <w:bCs/>
                <w:i/>
                <w:iCs/>
                <w:color w:val="196619"/>
                <w:sz w:val="20"/>
                <w:szCs w:val="20"/>
              </w:rPr>
              <w:t xml:space="preserve">Proposed New Paragraph (insert after variable list, item 7)</w:t>
            </w:r>
          </w:p>
          <w:p>
            <w:pPr>
              <w:spacing w:after="60" w:before="60"/>
              <w:jc w:val="both"/>
            </w:pPr>
            <w:r>
              <w:rPr>
                <w:rFonts w:ascii="Arial" w:cs="Arial" w:eastAsia="Arial" w:hAnsi="Arial"/>
                <w:color w:val="1A6B1A"/>
                <w:sz w:val="22"/>
                <w:szCs w:val="22"/>
                <w:u w:val="single" w:color="1A6B1A"/>
              </w:rPr>
              <w:t xml:space="preserve">A note on the time-of-death variable as an effectiveness measure: comparing elapsed time between the joined and the not-joined groups directly is subject to an arrival-time confound, since voluntary responders spent additional time traveling to the Gaza Envelope before entering combat. To partially control for this, the ANOVA analysis compares elapsed time across service-status categories (conscripts, professionals, reserves) within the first wave — i.e., among individuals who were already present at the onset of the attack. The finding that professionals outlasted conscripts within this group, where both had the same exposure from the beginning, provides a more reliable signal of an effectiveness differential that is not driven by arrival timing. We recognize that an ideal operationalization would measure time from confirmed arrival to death; this data was not uniformly available across sources and constitutes an avenue for future refinement.</w:t>
            </w:r>
          </w:p>
        </w:tc>
      </w:tr>
    </w:tbl>
    <w:p>
      <w:pPr>
        <w:spacing w:after="80" w:before="80"/>
      </w:pPr>
      <w:r>
        <w:t xml:space="preserve"/>
      </w:r>
    </w:p>
    <w:p>
      <w:pPr>
        <w:spacing w:after="140" w:before="280"/>
      </w:pPr>
      <w:r>
        <w:rPr>
          <w:rFonts w:ascii="Arial" w:cs="Arial" w:eastAsia="Arial" w:hAnsi="Arial"/>
          <w:b/>
          <w:bCs/>
          <w:color w:val="1F4E79"/>
          <w:sz w:val="24"/>
          <w:szCs w:val="24"/>
        </w:rPr>
        <w:t xml:space="preserve">A.3 — Revision to the Limitations Paragraph in the Discussion</w:t>
      </w:r>
    </w:p>
    <w:p>
      <w:pPr>
        <w:spacing w:after="100" w:before="100"/>
        <w:jc w:val="both"/>
      </w:pPr>
      <w:r>
        <w:rPr>
          <w:rFonts w:ascii="Arial" w:cs="Arial" w:eastAsia="Arial" w:hAnsi="Arial"/>
          <w:sz w:val="22"/>
          <w:szCs w:val="22"/>
        </w:rPr>
        <w:t xml:space="preserve">Location in manuscript: The Discussion section currently has a brief three-sentence limitations paragraph beginning "There are several important things to consider when conducting such a research." The proposed revision expands this into a full, rigorous limitations section.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FF0E5" w:val="clear"/>
            <w:tcMar>
              <w:top w:type="dxa" w:w="120"/>
              <w:left w:type="dxa" w:w="200"/>
              <w:bottom w:type="dxa" w:w="120"/>
              <w:right w:type="dxa" w:w="200"/>
            </w:tcMar>
          </w:tcPr>
          <w:p>
            <w:pPr>
              <w:spacing w:after="60" w:before="60"/>
            </w:pPr>
            <w:r>
              <w:rPr>
                <w:rFonts w:ascii="Arial" w:cs="Arial" w:eastAsia="Arial" w:hAnsi="Arial"/>
                <w:b/>
                <w:bCs/>
                <w:color w:val="C55A11"/>
                <w:sz w:val="22"/>
                <w:szCs w:val="22"/>
              </w:rPr>
              <w:t xml:space="preserve">Rationale</w:t>
            </w:r>
          </w:p>
          <w:p>
            <w:pPr>
              <w:spacing w:after="60" w:before="40"/>
              <w:jc w:val="both"/>
            </w:pPr>
            <w:r>
              <w:rPr>
                <w:rFonts w:ascii="Arial" w:cs="Arial" w:eastAsia="Arial" w:hAnsi="Arial"/>
                <w:color w:val="333333"/>
                <w:sz w:val="21"/>
                <w:szCs w:val="21"/>
              </w:rPr>
              <w:t xml:space="preserve">A one-sentence treatment of survivor bias will not satisfy peer reviewers at Terrorism and Political Violence or Studies in Conflict &amp; Terrorism. The limitations must be given a full paragraph of their own, demonstrate awareness of the directionality of bias, and explain why the conclusions hold despite the limitations.</w:t>
            </w:r>
          </w:p>
        </w:tc>
      </w:tr>
    </w:tbl>
    <w:p>
      <w:pPr>
        <w:spacing w:after="80" w:before="80"/>
      </w:pPr>
      <w:r>
        <w:t xml:space="preserve"/>
      </w:r>
    </w:p>
    <w:p>
      <w:pPr>
        <w:spacing w:after="100" w:before="100"/>
        <w:jc w:val="both"/>
      </w:pPr>
      <w:r>
        <w:rPr>
          <w:rFonts w:ascii="Arial" w:cs="Arial" w:eastAsia="Arial" w:hAnsi="Arial"/>
          <w:b/>
          <w:bCs/>
          <w:sz w:val="22"/>
          <w:szCs w:val="22"/>
        </w:rPr>
        <w:t xml:space="preserve">ORIGINAL TEXT (to be deleted or substantially rewritten):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FF0F0" w:val="clear"/>
            <w:tcMar>
              <w:top w:type="dxa" w:w="140"/>
              <w:left w:type="dxa" w:w="220"/>
              <w:bottom w:type="dxa" w:w="140"/>
              <w:right w:type="dxa" w:w="220"/>
            </w:tcMar>
          </w:tcPr>
          <w:p>
            <w:pPr>
              <w:spacing w:after="120" w:before="60"/>
            </w:pPr>
            <w:r>
              <w:rPr>
                <w:rFonts w:ascii="Arial" w:cs="Arial" w:eastAsia="Arial" w:hAnsi="Arial"/>
                <w:b/>
                <w:bCs/>
                <w:i/>
                <w:iCs/>
                <w:color w:val="C00000"/>
                <w:sz w:val="20"/>
                <w:szCs w:val="20"/>
              </w:rPr>
              <w:t xml:space="preserve">Original Limitations Paragraph</w:t>
            </w:r>
          </w:p>
          <w:p>
            <w:pPr>
              <w:spacing w:after="60" w:before="60"/>
              <w:jc w:val="both"/>
            </w:pPr>
            <w:r>
              <w:rPr>
                <w:rFonts w:ascii="Arial" w:cs="Arial" w:eastAsia="Arial" w:hAnsi="Arial"/>
                <w:strike/>
                <w:color w:val="C00000"/>
                <w:sz w:val="22"/>
                <w:szCs w:val="22"/>
              </w:rPr>
              <w:t xml:space="preserve">There are several important things to consider when conducting such a research. First, in this paper, we have used fallen security personnel as proxy for fighting forces, as there were thousands of people who self-joined, many of them undocumented. Albeit unlikely in a scale that would significantly alter the results, there is a possibility of a survivor bias, or in other words, that those who survived carry different characteristics from those who perished. Second, the exact time of death is not always known, although efforts were made to verify it to the largest extent possible by cross-referenching.</w:t>
            </w:r>
          </w:p>
        </w:tc>
      </w:tr>
    </w:tbl>
    <w:p>
      <w:pPr>
        <w:spacing w:after="80" w:before="80"/>
      </w:pPr>
      <w:r>
        <w:t xml:space="preserve"/>
      </w:r>
    </w:p>
    <w:p>
      <w:pPr>
        <w:spacing w:after="100" w:before="100"/>
        <w:jc w:val="both"/>
      </w:pPr>
      <w:r>
        <w:rPr>
          <w:rFonts w:ascii="Arial" w:cs="Arial" w:eastAsia="Arial" w:hAnsi="Arial"/>
          <w:b/>
          <w:bCs/>
          <w:sz w:val="22"/>
          <w:szCs w:val="22"/>
        </w:rPr>
        <w:t xml:space="preserve">PROPOSED REPLACEMENT: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E9F5E9" w:val="clear"/>
            <w:tcMar>
              <w:top w:type="dxa" w:w="140"/>
              <w:left w:type="dxa" w:w="220"/>
              <w:bottom w:type="dxa" w:w="140"/>
              <w:right w:type="dxa" w:w="220"/>
            </w:tcMar>
          </w:tcPr>
          <w:p>
            <w:pPr>
              <w:spacing w:after="120" w:before="60"/>
            </w:pPr>
            <w:r>
              <w:rPr>
                <w:rFonts w:ascii="Arial" w:cs="Arial" w:eastAsia="Arial" w:hAnsi="Arial"/>
                <w:b/>
                <w:bCs/>
                <w:i/>
                <w:iCs/>
                <w:color w:val="196619"/>
                <w:sz w:val="20"/>
                <w:szCs w:val="20"/>
              </w:rPr>
              <w:t xml:space="preserve">Proposed Replacement — Limitations</w:t>
            </w:r>
          </w:p>
          <w:p>
            <w:pPr>
              <w:spacing w:after="100" w:before="60"/>
              <w:jc w:val="both"/>
            </w:pPr>
            <w:r>
              <w:rPr>
                <w:rFonts w:ascii="Arial" w:cs="Arial" w:eastAsia="Arial" w:hAnsi="Arial"/>
                <w:color w:val="1A6B1A"/>
                <w:sz w:val="22"/>
                <w:szCs w:val="22"/>
                <w:u w:val="single" w:color="1A6B1A"/>
              </w:rPr>
              <w:t xml:space="preserve">Several limitations of the present study warrant consideration. First, the use of security forces fatalities as a proxy for the responding force introduces potential survivor bias. Those who fought and survived may differ systematically from those who fought and perished, and any such difference would affect the composition of the sample. However, as discussed in the methodology section, the probable direction of this bias is conservative with respect to the paper's central claims: if the most highly trained individuals — officers, special operations personnel, long-serving professionals — are disproportionately likely to survive combat due to superior skill, then their representation in the fatality data understates their actual presence among the voluntary responders. Put simply, the true prevalence of ERC-bearing individuals in the second wave is likely higher than what our data show. The consistency of directionality across multiple independent variables — officer status, SOF membership, service type, and organizational branch — makes a systematic reverse-bias unlikely. Future research drawing on survivor interviews, declassified after-action reports, or unit-level operational logs would allow for direct validation of these findings.</w:t>
            </w:r>
          </w:p>
          <w:p>
            <w:pPr>
              <w:spacing w:after="100" w:before="60"/>
              <w:jc w:val="both"/>
            </w:pPr>
            <w:r>
              <w:rPr>
                <w:rFonts w:ascii="Arial" w:cs="Arial" w:eastAsia="Arial" w:hAnsi="Arial"/>
                <w:color w:val="1A6B1A"/>
                <w:sz w:val="22"/>
                <w:szCs w:val="22"/>
                <w:u w:val="single" w:color="1A6B1A"/>
              </w:rPr>
              <w:t xml:space="preserve">Second, the time-of-death variable is subject to an arrival-time confound when used to compare the first and second waves directly, since voluntary joiners reached the battlefield approximately two hours after the attack commenced. This confound is partially addressed in the analysis by comparing elapsed time across service-status groups within the first wave, where all respondents had the same exposure from the outset. The time-from-arrival measure — which would be the ideal operationalization of battlefield longevity — was not uniformly available across data sources and represents a priority for future refinement.</w:t>
            </w:r>
          </w:p>
          <w:p>
            <w:pPr>
              <w:spacing w:after="60" w:before="60"/>
              <w:jc w:val="both"/>
            </w:pPr>
            <w:r>
              <w:rPr>
                <w:rFonts w:ascii="Arial" w:cs="Arial" w:eastAsia="Arial" w:hAnsi="Arial"/>
                <w:color w:val="1A6B1A"/>
                <w:sz w:val="22"/>
                <w:szCs w:val="22"/>
                <w:u w:val="single" w:color="1A6B1A"/>
              </w:rPr>
              <w:t xml:space="preserve">Third, while the sample of N=369 is sufficient for individual-level analysis, it is too small for reliable location-based sub-group comparisons. The spatial analysis of response patterns by community remains an avenue for future research, and one that would benefit substantially from declassified IDF operational records. Finally, a small number of individuals (n=1) had missing data on the joined/not-joined variable; this individual was excluded from the comparative analyses.</w:t>
            </w:r>
          </w:p>
        </w:tc>
      </w:tr>
    </w:tbl>
    <w:p>
      <w:pPr>
        <w:spacing w:after="80" w:before="80"/>
      </w:pPr>
      <w:r>
        <w:t xml:space="preserve"/>
      </w:r>
    </w:p>
    <w:p>
      <w:pPr>
        <w:pBdr>
          <w:bottom w:val="single" w:color="1F4E79" w:sz="6" w:space="4"/>
        </w:pBdr>
        <w:spacing w:after="200" w:before="360"/>
      </w:pPr>
      <w:r>
        <w:rPr>
          <w:rFonts w:ascii="Arial" w:cs="Arial" w:eastAsia="Arial" w:hAnsi="Arial"/>
          <w:b/>
          <w:bCs/>
          <w:color w:val="1F4E79"/>
          <w:sz w:val="28"/>
          <w:szCs w:val="28"/>
        </w:rPr>
        <w:t xml:space="preserve">STEP B — Statistical Analysis Plan</w:t>
      </w:r>
    </w:p>
    <w:p>
      <w:pPr>
        <w:spacing w:after="100" w:before="100"/>
        <w:jc w:val="both"/>
      </w:pPr>
      <w:r>
        <w:rPr>
          <w:rFonts w:ascii="Arial" w:cs="Arial" w:eastAsia="Arial" w:hAnsi="Arial"/>
          <w:sz w:val="22"/>
          <w:szCs w:val="22"/>
        </w:rPr>
        <w:t xml:space="preserve">The current manuscript reports frequency analysis and ANOVA without p-values, effect sizes, or confidence intervals. This section specifies the complete statistical plan that will replace or supplement those analyses. All tests should be run in R or Python (statsmodels/scipy). The plan addresses each of the three hypotheses in turn.</w:t>
      </w:r>
    </w:p>
    <w:p>
      <w:pPr>
        <w:spacing w:after="80" w:before="80"/>
      </w:pPr>
      <w:r>
        <w:t xml:space="preserve"/>
      </w:r>
    </w:p>
    <w:p>
      <w:pPr>
        <w:spacing w:after="140" w:before="280"/>
      </w:pPr>
      <w:r>
        <w:rPr>
          <w:rFonts w:ascii="Arial" w:cs="Arial" w:eastAsia="Arial" w:hAnsi="Arial"/>
          <w:b/>
          <w:bCs/>
          <w:color w:val="1F4E79"/>
          <w:sz w:val="24"/>
          <w:szCs w:val="24"/>
        </w:rPr>
        <w:t xml:space="preserve">B.1 — Revised Test of H0: Two Distinct Waves</w:t>
      </w:r>
    </w:p>
    <w:p>
      <w:pPr>
        <w:spacing w:after="100" w:before="100"/>
        <w:jc w:val="both"/>
      </w:pPr>
      <w:r>
        <w:rPr>
          <w:rFonts w:ascii="Arial" w:cs="Arial" w:eastAsia="Arial" w:hAnsi="Arial"/>
          <w:sz w:val="22"/>
          <w:szCs w:val="22"/>
        </w:rPr>
        <w:t xml:space="preserve">Current treatment: Descriptive statistics on mean time-to-death (4 hours vs. 6.2 hours) and a qualitative assertion. No formal test.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E9F5E9" w:val="clear"/>
            <w:tcMar>
              <w:top w:type="dxa" w:w="120"/>
              <w:left w:type="dxa" w:w="200"/>
              <w:bottom w:type="dxa" w:w="120"/>
              <w:right w:type="dxa" w:w="200"/>
            </w:tcMar>
          </w:tcPr>
          <w:p>
            <w:pPr>
              <w:spacing w:after="60" w:before="60"/>
            </w:pPr>
            <w:r>
              <w:rPr>
                <w:rFonts w:ascii="Arial" w:cs="Arial" w:eastAsia="Arial" w:hAnsi="Arial"/>
                <w:b/>
                <w:bCs/>
                <w:color w:val="196619"/>
                <w:sz w:val="22"/>
                <w:szCs w:val="22"/>
              </w:rPr>
              <w:t xml:space="preserve">Proposed Test</w:t>
            </w:r>
          </w:p>
          <w:p>
            <w:pPr>
              <w:spacing w:after="60" w:before="40"/>
              <w:jc w:val="both"/>
            </w:pPr>
            <w:r>
              <w:rPr>
                <w:rFonts w:ascii="Arial" w:cs="Arial" w:eastAsia="Arial" w:hAnsi="Arial"/>
                <w:color w:val="333333"/>
                <w:sz w:val="21"/>
                <w:szCs w:val="21"/>
              </w:rPr>
              <w:t xml:space="preserve">Independent-samples t-test (or Mann-Whitney U if normality fails) comparing mean time-to-death between the joined group and the not-joined group. Report: M, SD, t-statistic (or U), df, p-value, 95% CI for the difference, and Cohen's d. Also add a Figure: overlapping histograms or KDE plots of time-to-death for both groups.</w:t>
            </w:r>
          </w:p>
        </w:tc>
      </w:tr>
    </w:tbl>
    <w:p>
      <w:pPr>
        <w:spacing w:after="80" w:before="80"/>
      </w:pPr>
      <w:r>
        <w:t xml:space="preserve"/>
      </w:r>
    </w:p>
    <w:p>
      <w:pPr>
        <w:spacing w:after="100" w:before="100"/>
        <w:jc w:val="both"/>
      </w:pPr>
      <w:r>
        <w:rPr>
          <w:rFonts w:ascii="Arial" w:cs="Arial" w:eastAsia="Arial" w:hAnsi="Arial"/>
          <w:b/>
          <w:bCs/>
          <w:sz w:val="22"/>
          <w:szCs w:val="22"/>
        </w:rPr>
        <w:t xml:space="preserve">Python code for the t-test: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5F5F5" w:val="clear"/>
            <w:tcMar>
              <w:top w:type="dxa" w:w="100"/>
              <w:left w:type="dxa" w:w="180"/>
              <w:bottom w:type="dxa" w:w="100"/>
              <w:right w:type="dxa" w:w="180"/>
            </w:tcMar>
          </w:tcPr>
          <w:p>
            <w:pPr>
              <w:spacing w:after="40" w:before="40"/>
            </w:pPr>
            <w:r>
              <w:rPr>
                <w:rFonts w:ascii="Courier New" w:cs="Courier New" w:eastAsia="Courier New" w:hAnsi="Courier New"/>
                <w:color w:val="1E1E1E"/>
                <w:sz w:val="18"/>
                <w:szCs w:val="18"/>
              </w:rPr>
              <w:t xml:space="preserve">from scipy import stats
import pandas as pd
df = pd.read_csv('database.csv')
joined = df[df['joined']==1]['time_to_death'].dropna()
not_joined = df[df['joined']==0]['time_to_death'].dropna()
# Test normality first
print(stats.shapiro(joined))
print(stats.shapiro(not_joined))
# t-test
t, p = stats.ttest_ind(joined, not_joined)
print(f't={t:.3f}, p={p:.4f}')
# Effect size (Cohen's d)
d = (joined.mean()-not_joined.mean()) / \
    ((joined.std()**2 + not_joined.std()**2) / 2) ** 0.5
print(f"Cohen's d = {d:.3f}")</w:t>
            </w:r>
          </w:p>
        </w:tc>
      </w:tr>
    </w:tbl>
    <w:p>
      <w:pPr>
        <w:spacing w:after="80" w:before="80"/>
      </w:pPr>
      <w:r>
        <w:t xml:space="preserve"/>
      </w:r>
    </w:p>
    <w:p>
      <w:pPr>
        <w:spacing w:after="140" w:before="280"/>
      </w:pPr>
      <w:r>
        <w:rPr>
          <w:rFonts w:ascii="Arial" w:cs="Arial" w:eastAsia="Arial" w:hAnsi="Arial"/>
          <w:b/>
          <w:bCs/>
          <w:color w:val="1F4E79"/>
          <w:sz w:val="24"/>
          <w:szCs w:val="24"/>
        </w:rPr>
        <w:t xml:space="preserve">B.2 — Revised Test of H1: Who Voluntarily Joined?</w:t>
      </w:r>
    </w:p>
    <w:p>
      <w:pPr>
        <w:spacing w:after="100" w:before="100"/>
        <w:jc w:val="both"/>
      </w:pPr>
      <w:r>
        <w:rPr>
          <w:rFonts w:ascii="Arial" w:cs="Arial" w:eastAsia="Arial" w:hAnsi="Arial"/>
          <w:sz w:val="22"/>
          <w:szCs w:val="22"/>
        </w:rPr>
        <w:t xml:space="preserve">Current treatment: A frequency table with percentages. No formal significance tests, no effect sizes, no controls for confounding variables.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FF0E5" w:val="clear"/>
            <w:tcMar>
              <w:top w:type="dxa" w:w="120"/>
              <w:left w:type="dxa" w:w="200"/>
              <w:bottom w:type="dxa" w:w="120"/>
              <w:right w:type="dxa" w:w="200"/>
            </w:tcMar>
          </w:tcPr>
          <w:p>
            <w:pPr>
              <w:spacing w:after="60" w:before="60"/>
            </w:pPr>
            <w:r>
              <w:rPr>
                <w:rFonts w:ascii="Arial" w:cs="Arial" w:eastAsia="Arial" w:hAnsi="Arial"/>
                <w:b/>
                <w:bCs/>
                <w:color w:val="C55A11"/>
                <w:sz w:val="22"/>
                <w:szCs w:val="22"/>
              </w:rPr>
              <w:t xml:space="preserve">The Core Problem</w:t>
            </w:r>
          </w:p>
          <w:p>
            <w:pPr>
              <w:spacing w:after="60" w:before="40"/>
              <w:jc w:val="both"/>
            </w:pPr>
            <w:r>
              <w:rPr>
                <w:rFonts w:ascii="Arial" w:cs="Arial" w:eastAsia="Arial" w:hAnsi="Arial"/>
                <w:color w:val="333333"/>
                <w:sz w:val="21"/>
                <w:szCs w:val="21"/>
              </w:rPr>
              <w:t xml:space="preserve">The frequency table shows that 60% of joiners were officers. But officer status, SOF membership, service type, and branch are correlated. Without a multivariate model, we cannot determine which characteristics are independently predictive of joining. A reviewer will ask: 'Is the officer finding spurious because officers are also professionals?'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E9F5E9" w:val="clear"/>
            <w:tcMar>
              <w:top w:type="dxa" w:w="120"/>
              <w:left w:type="dxa" w:w="200"/>
              <w:bottom w:type="dxa" w:w="120"/>
              <w:right w:type="dxa" w:w="200"/>
            </w:tcMar>
          </w:tcPr>
          <w:p>
            <w:pPr>
              <w:spacing w:after="60" w:before="60"/>
            </w:pPr>
            <w:r>
              <w:rPr>
                <w:rFonts w:ascii="Arial" w:cs="Arial" w:eastAsia="Arial" w:hAnsi="Arial"/>
                <w:b/>
                <w:bCs/>
                <w:color w:val="196619"/>
                <w:sz w:val="22"/>
                <w:szCs w:val="22"/>
              </w:rPr>
              <w:t xml:space="preserve">Proposed Analysis: Binary Logistic Regression</w:t>
            </w:r>
          </w:p>
          <w:p>
            <w:pPr>
              <w:spacing w:after="60" w:before="40"/>
              <w:jc w:val="both"/>
            </w:pPr>
            <w:r>
              <w:rPr>
                <w:rFonts w:ascii="Arial" w:cs="Arial" w:eastAsia="Arial" w:hAnsi="Arial"/>
                <w:color w:val="333333"/>
                <w:sz w:val="21"/>
                <w:szCs w:val="21"/>
              </w:rPr>
              <w:t xml:space="preserve">Dependent variable: joined (1) vs. not-joined (0). Independent variables: officer (binary), SOF (binary), combat_soldier (binary), service_type (conscript/professional/reserves — dummy coded), branch (military/police/Shin_Bet/ERT — dummy coded). Report: odds ratios (OR), 95% CIs, Wald chi-square, p-values, Nagelkerke R-squared, and Hosmer-Lemeshow goodness-of-fit. Present results in a formatted regression table.</w:t>
            </w:r>
          </w:p>
        </w:tc>
      </w:tr>
    </w:tbl>
    <w:p>
      <w:pPr>
        <w:spacing w:after="80" w:before="80"/>
      </w:pPr>
      <w:r>
        <w:t xml:space="preserve"/>
      </w:r>
    </w:p>
    <w:p>
      <w:pPr>
        <w:spacing w:after="100" w:before="100"/>
        <w:jc w:val="both"/>
      </w:pPr>
      <w:r>
        <w:rPr>
          <w:rFonts w:ascii="Arial" w:cs="Arial" w:eastAsia="Arial" w:hAnsi="Arial"/>
          <w:b/>
          <w:bCs/>
          <w:sz w:val="22"/>
          <w:szCs w:val="22"/>
        </w:rPr>
        <w:t xml:space="preserve">Python code for logistic regression: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5F5F5" w:val="clear"/>
            <w:tcMar>
              <w:top w:type="dxa" w:w="100"/>
              <w:left w:type="dxa" w:w="180"/>
              <w:bottom w:type="dxa" w:w="100"/>
              <w:right w:type="dxa" w:w="180"/>
            </w:tcMar>
          </w:tcPr>
          <w:p>
            <w:pPr>
              <w:spacing w:after="40" w:before="40"/>
            </w:pPr>
            <w:r>
              <w:rPr>
                <w:rFonts w:ascii="Courier New" w:cs="Courier New" w:eastAsia="Courier New" w:hAnsi="Courier New"/>
                <w:color w:val="1E1E1E"/>
                <w:sz w:val="18"/>
                <w:szCs w:val="18"/>
              </w:rPr>
              <w:t xml:space="preserve">import statsmodels.api as sm
import pandas as pd
df = pd.read_csv('database.csv')
df_model = df[df['killed_in_combat']==1].dropna(
    subset=['joined','officer','sof','combat_soldier',
             'service_type','branch'])
# Dummy coding
X = pd.get_dummies(df_model[['officer','sof','combat_soldier',
                              'service_type','branch']],
                   drop_first=True, dtype=int)
X = sm.add_constant(X)
y = df_model['joined']
model = sm.Logit(y, X).fit()
print(model.summary())
# Odds Ratios with 95% CI
import numpy as np
odds = pd.DataFrame({
    'OR': np.exp(model.params),
    'CI_low': np.exp(model.conf_int()[0]),
    'CI_high': np.exp(model.conf_int()[1]),
    'p': model.pvalues
})
print(odds.round(3))</w:t>
            </w:r>
          </w:p>
        </w:tc>
      </w:tr>
    </w:tbl>
    <w:p>
      <w:pPr>
        <w:spacing w:after="80" w:before="80"/>
      </w:pPr>
      <w:r>
        <w:t xml:space="preserve"/>
      </w:r>
    </w:p>
    <w:p>
      <w:pPr>
        <w:spacing w:after="100" w:before="100"/>
        <w:jc w:val="both"/>
      </w:pPr>
      <w:r>
        <w:rPr>
          <w:rFonts w:ascii="Arial" w:cs="Arial" w:eastAsia="Arial" w:hAnsi="Arial"/>
          <w:sz w:val="22"/>
          <w:szCs w:val="22"/>
        </w:rPr>
        <w:t xml:space="preserve">Supplement: Chi-square tests with Cramér's V for each categorical variable in the frequency table. This replaces the current frequency-only presentation.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5F5F5" w:val="clear"/>
            <w:tcMar>
              <w:top w:type="dxa" w:w="100"/>
              <w:left w:type="dxa" w:w="180"/>
              <w:bottom w:type="dxa" w:w="100"/>
              <w:right w:type="dxa" w:w="180"/>
            </w:tcMar>
          </w:tcPr>
          <w:p>
            <w:pPr>
              <w:spacing w:after="40" w:before="40"/>
            </w:pPr>
            <w:r>
              <w:rPr>
                <w:rFonts w:ascii="Courier New" w:cs="Courier New" w:eastAsia="Courier New" w:hAnsi="Courier New"/>
                <w:color w:val="1E1E1E"/>
                <w:sz w:val="18"/>
                <w:szCs w:val="18"/>
              </w:rPr>
              <w:t xml:space="preserve">from scipy.stats import chi2_contingency
import numpy as np
def cramers_v(x, y):
    ct = pd.crosstab(x, y)
    chi2, p, dof, _ = chi2_contingency(ct)
    n = ct.sum().sum()
    v = np.sqrt(chi2 / (n * (min(ct.shape)-1)))
    return chi2, p, v
# Example for officer variable
chi2, p, v = cramers_v(df_model['officer'], df_model['joined'])
print(f'Officer: chi2={chi2:.2f}, p={p:.4f}, V={v:.3f}')</w:t>
            </w:r>
          </w:p>
        </w:tc>
      </w:tr>
    </w:tbl>
    <w:p>
      <w:pPr>
        <w:spacing w:after="80" w:before="80"/>
      </w:pPr>
      <w:r>
        <w:t xml:space="preserve"/>
      </w:r>
    </w:p>
    <w:p>
      <w:pPr>
        <w:spacing w:after="140" w:before="280"/>
      </w:pPr>
      <w:r>
        <w:rPr>
          <w:rFonts w:ascii="Arial" w:cs="Arial" w:eastAsia="Arial" w:hAnsi="Arial"/>
          <w:b/>
          <w:bCs/>
          <w:color w:val="1F4E79"/>
          <w:sz w:val="24"/>
          <w:szCs w:val="24"/>
        </w:rPr>
        <w:t xml:space="preserve">B.3 — Revised Test of H2: ERC Characteristics in the Joined Group</w:t>
      </w:r>
    </w:p>
    <w:p>
      <w:pPr>
        <w:spacing w:after="100" w:before="100"/>
        <w:jc w:val="both"/>
      </w:pPr>
      <w:r>
        <w:rPr>
          <w:rFonts w:ascii="Arial" w:cs="Arial" w:eastAsia="Arial" w:hAnsi="Arial"/>
          <w:sz w:val="22"/>
          <w:szCs w:val="22"/>
        </w:rPr>
        <w:t xml:space="preserve">Current treatment: Five bullet points mapping ERC components to the data. No formal tests. The connection between the data and the ERC framework is largely asserted.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E9F5E9" w:val="clear"/>
            <w:tcMar>
              <w:top w:type="dxa" w:w="120"/>
              <w:left w:type="dxa" w:w="200"/>
              <w:bottom w:type="dxa" w:w="120"/>
              <w:right w:type="dxa" w:w="200"/>
            </w:tcMar>
          </w:tcPr>
          <w:p>
            <w:pPr>
              <w:spacing w:after="60" w:before="60"/>
            </w:pPr>
            <w:r>
              <w:rPr>
                <w:rFonts w:ascii="Arial" w:cs="Arial" w:eastAsia="Arial" w:hAnsi="Arial"/>
                <w:b/>
                <w:bCs/>
                <w:color w:val="196619"/>
                <w:sz w:val="22"/>
                <w:szCs w:val="22"/>
              </w:rPr>
              <w:t xml:space="preserve">Proposed Analysis: Confirmatory Descriptive Profile + Revised ANOVA</w:t>
            </w:r>
          </w:p>
          <w:p>
            <w:pPr>
              <w:spacing w:after="60" w:before="40"/>
              <w:jc w:val="both"/>
            </w:pPr>
            <w:r>
              <w:rPr>
                <w:rFonts w:ascii="Arial" w:cs="Arial" w:eastAsia="Arial" w:hAnsi="Arial"/>
                <w:color w:val="333333"/>
                <w:sz w:val="21"/>
                <w:szCs w:val="21"/>
              </w:rPr>
              <w:t xml:space="preserve">Construct an 'ERC index' variable (sum of: officer=1, SOF=1, combat_soldier=1, professional_or_reserves=1) ranging 0-4. Compare mean ERC index between joined and not-joined groups using an independent t-test. Also: revised one-way ANOVA on time-to-death by service status, restricted to the first wave only (to remove the arrival-time confound). Report with Tukey HSD post-hoc tests, eta-squared.</w:t>
            </w:r>
          </w:p>
        </w:tc>
      </w:tr>
    </w:tbl>
    <w:p>
      <w:pPr>
        <w:spacing w:after="80" w:before="80"/>
      </w:pPr>
      <w:r>
        <w:t xml:space="preserve"/>
      </w:r>
    </w:p>
    <w:p>
      <w:pPr>
        <w:spacing w:after="100" w:before="100"/>
        <w:jc w:val="both"/>
      </w:pPr>
      <w:r>
        <w:rPr>
          <w:rFonts w:ascii="Arial" w:cs="Arial" w:eastAsia="Arial" w:hAnsi="Arial"/>
          <w:b/>
          <w:bCs/>
          <w:sz w:val="22"/>
          <w:szCs w:val="22"/>
        </w:rPr>
        <w:t xml:space="preserve">Python code for revised ANOVA (wave 1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5F5F5" w:val="clear"/>
            <w:tcMar>
              <w:top w:type="dxa" w:w="100"/>
              <w:left w:type="dxa" w:w="180"/>
              <w:bottom w:type="dxa" w:w="100"/>
              <w:right w:type="dxa" w:w="180"/>
            </w:tcMar>
          </w:tcPr>
          <w:p>
            <w:pPr>
              <w:spacing w:after="40" w:before="40"/>
            </w:pPr>
            <w:r>
              <w:rPr>
                <w:rFonts w:ascii="Courier New" w:cs="Courier New" w:eastAsia="Courier New" w:hAnsi="Courier New"/>
                <w:color w:val="1E1E1E"/>
                <w:sz w:val="18"/>
                <w:szCs w:val="18"/>
              </w:rPr>
              <w:t xml:space="preserve">from scipy.stats import f_oneway
from statsmodels.stats.multicomp import pairwise_tukeyhsd
import pingouin as pg  # pip install pingouin
# Restrict to first wave (not-joined only)
wave1 = df_model[df_model['joined']==0]
# ANOVA: time_to_death by service_type
aov = pg.anova(data=wave1, dv='time_to_death',
               between='service_type', detailed=True)
print(aov)
# Post-hoc
tukey = pairwise_tukeyhsd(wave1['time_to_death'],
                          wave1['service_type'])
print(tukey)</w:t>
            </w:r>
          </w:p>
        </w:tc>
      </w:tr>
    </w:tbl>
    <w:p>
      <w:pPr>
        <w:spacing w:after="80" w:before="80"/>
      </w:pPr>
      <w:r>
        <w:t xml:space="preserve"/>
      </w:r>
    </w:p>
    <w:p>
      <w:pPr>
        <w:spacing w:after="140" w:before="280"/>
      </w:pPr>
      <w:r>
        <w:rPr>
          <w:rFonts w:ascii="Arial" w:cs="Arial" w:eastAsia="Arial" w:hAnsi="Arial"/>
          <w:b/>
          <w:bCs/>
          <w:color w:val="1F4E79"/>
          <w:sz w:val="24"/>
          <w:szCs w:val="24"/>
        </w:rPr>
        <w:t xml:space="preserve">B.4 — Additional Visualization Requirements</w:t>
      </w:r>
    </w:p>
    <w:p>
      <w:pPr>
        <w:spacing w:after="100" w:before="100"/>
        <w:jc w:val="both"/>
      </w:pPr>
      <w:r>
        <w:rPr>
          <w:rFonts w:ascii="Arial" w:cs="Arial" w:eastAsia="Arial" w:hAnsi="Arial"/>
          <w:sz w:val="22"/>
          <w:szCs w:val="22"/>
        </w:rPr>
        <w:t xml:space="preserve">The current manuscript contains one figure (a network/cluster graphic that is not described in the text) and one frequency table. The following figures should be added: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60"/>
        <w:gridCol w:w="280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2"/>
                <w:szCs w:val="22"/>
              </w:rPr>
              <w:t xml:space="preserve">Figure</w:t>
            </w:r>
          </w:p>
        </w:tc>
        <w:tc>
          <w:tcPr>
            <w:tcW w:type="dxa" w:w="45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2"/>
                <w:szCs w:val="22"/>
              </w:rPr>
              <w:t xml:space="preserve">Description</w:t>
            </w:r>
          </w:p>
        </w:tc>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2"/>
                <w:szCs w:val="22"/>
              </w:rPr>
              <w:t xml:space="preserve">Placement</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Figure 1</w:t>
            </w:r>
          </w:p>
        </w:tc>
        <w:tc>
          <w:tcPr>
            <w:tcW w:type="dxa" w:w="4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Stacked bar: service status composition (conscripts / professionals / reserves) by wave (joined vs. on-duty). Shows the stark contrast in composition.</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Findings — Descriptive Statistics</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Figure 2</w:t>
            </w:r>
          </w:p>
        </w:tc>
        <w:tc>
          <w:tcPr>
            <w:tcW w:type="dxa" w:w="4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Histogram or KDE: distribution of time-to-death for joined vs. not-joined groups (overlapping, with means marked). Visually supports H0.</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Findings — Descriptive Statistics</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Figure 3</w:t>
            </w:r>
          </w:p>
        </w:tc>
        <w:tc>
          <w:tcPr>
            <w:tcW w:type="dxa" w:w="4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Forest plot: odds ratios from the logistic regression with 95% CIs for each predictor. Standard format for political science journals.</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Findings — Analysis (replaces or supplements frequency table)</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Figure 4</w:t>
            </w:r>
          </w:p>
        </w:tc>
        <w:tc>
          <w:tcPr>
            <w:tcW w:type="dxa" w:w="4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Box plot: time-to-death by service status, restricted to Wave 1 only (with ANOVA results). Addresses the arrival-time confound.</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Findings — Analysis</w:t>
            </w:r>
          </w:p>
        </w:tc>
      </w:tr>
    </w:tbl>
    <w:p>
      <w:pPr>
        <w:spacing w:after="80" w:before="80"/>
      </w:pPr>
      <w:r>
        <w:t xml:space="preserve"/>
      </w:r>
    </w:p>
    <w:p>
      <w:pPr>
        <w:spacing w:after="140" w:before="280"/>
      </w:pPr>
      <w:r>
        <w:rPr>
          <w:rFonts w:ascii="Arial" w:cs="Arial" w:eastAsia="Arial" w:hAnsi="Arial"/>
          <w:b/>
          <w:bCs/>
          <w:color w:val="1F4E79"/>
          <w:sz w:val="24"/>
          <w:szCs w:val="24"/>
        </w:rPr>
        <w:t xml:space="preserve">B.5 — Data Request for Step 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FF8E1" w:val="clear"/>
            <w:tcMar>
              <w:top w:type="dxa" w:w="140"/>
              <w:left w:type="dxa" w:w="220"/>
              <w:bottom w:type="dxa" w:w="140"/>
              <w:right w:type="dxa" w:w="220"/>
            </w:tcMar>
          </w:tcPr>
          <w:p>
            <w:pPr>
              <w:spacing w:after="120" w:before="60"/>
            </w:pPr>
            <w:r>
              <w:rPr>
                <w:rFonts w:ascii="Arial" w:cs="Arial" w:eastAsia="Arial" w:hAnsi="Arial"/>
                <w:b/>
                <w:bCs/>
                <w:color w:val="C55A11"/>
                <w:sz w:val="22"/>
                <w:szCs w:val="22"/>
              </w:rPr>
              <w:t xml:space="preserve">Action Required: Export your database as CSV</w:t>
            </w:r>
          </w:p>
          <w:p>
            <w:pPr>
              <w:spacing w:after="100" w:before="60"/>
              <w:jc w:val="both"/>
            </w:pPr>
            <w:r>
              <w:rPr>
                <w:rFonts w:ascii="Arial" w:cs="Arial" w:eastAsia="Arial" w:hAnsi="Arial"/>
                <w:sz w:val="22"/>
                <w:szCs w:val="22"/>
              </w:rPr>
              <w:t xml:space="preserve">To run all the analyses in this plan, please export the Google Sheets database as a CSV file and upload it here. I will then run the logistic regression, chi-square tests, ANOVA, and generate all four figures — ready to paste into the manuscript.</w:t>
            </w:r>
          </w:p>
          <w:p>
            <w:pPr>
              <w:spacing w:after="80" w:before="60"/>
            </w:pPr>
            <w:r>
              <w:rPr>
                <w:rFonts w:ascii="Arial" w:cs="Arial" w:eastAsia="Arial" w:hAnsi="Arial"/>
                <w:sz w:val="22"/>
                <w:szCs w:val="22"/>
              </w:rPr>
              <w:t xml:space="preserve">The column names I need (rename as needed):</w:t>
            </w:r>
          </w:p>
          <w:p>
            <w:pPr>
              <w:spacing w:after="80" w:before="40"/>
            </w:pPr>
            <w:r>
              <w:rPr>
                <w:rFonts w:ascii="Arial" w:cs="Arial" w:eastAsia="Arial" w:hAnsi="Arial"/>
                <w:sz w:val="22"/>
                <w:szCs w:val="22"/>
              </w:rPr>
              <w:t xml:space="preserve">joined (0/1), officer (0/1), sof (0/1), combat_soldier (0/1), service_type (conscript/professional/reserves), branch (military/police/shinbet/ert), time_to_death (hours), killed_in_combat (0/1)</w:t>
            </w:r>
          </w:p>
          <w:p>
            <w:pPr>
              <w:spacing w:after="60" w:before="40"/>
              <w:jc w:val="both"/>
            </w:pPr>
            <w:r>
              <w:rPr>
                <w:rFonts w:ascii="Arial" w:cs="Arial" w:eastAsia="Arial" w:hAnsi="Arial"/>
                <w:sz w:val="22"/>
                <w:szCs w:val="22"/>
              </w:rPr>
              <w:t xml:space="preserve">To export from Google Sheets: File → Download → Comma-separated values (.csv)</w:t>
            </w:r>
          </w:p>
        </w:tc>
      </w:tr>
    </w:tbl>
    <w:p>
      <w:pPr>
        <w:spacing w:after="80" w:before="80"/>
      </w:pPr>
      <w:r>
        <w:t xml:space="preserve"/>
      </w:r>
    </w:p>
    <w:p>
      <w:pPr>
        <w:pBdr>
          <w:bottom w:val="single" w:color="1F4E79" w:sz="6" w:space="4"/>
        </w:pBdr>
        <w:spacing w:after="200" w:before="360"/>
      </w:pPr>
      <w:r>
        <w:rPr>
          <w:rFonts w:ascii="Arial" w:cs="Arial" w:eastAsia="Arial" w:hAnsi="Arial"/>
          <w:b/>
          <w:bCs/>
          <w:color w:val="1F4E79"/>
          <w:sz w:val="28"/>
          <w:szCs w:val="28"/>
        </w:rPr>
        <w:t xml:space="preserve">Summary of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80"/>
        <w:gridCol w:w="3280"/>
      </w:tblGrid>
      <w:tr>
        <w:tc>
          <w:tcPr>
            <w:tcW w:type="dxa" w:w="2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2"/>
                <w:szCs w:val="22"/>
              </w:rPr>
              <w:t xml:space="preserve">Item</w:t>
            </w:r>
          </w:p>
        </w:tc>
        <w:tc>
          <w:tcPr>
            <w:tcW w:type="dxa" w:w="38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2"/>
                <w:szCs w:val="22"/>
              </w:rPr>
              <w:t xml:space="preserve">Action</w:t>
            </w:r>
          </w:p>
        </w:tc>
        <w:tc>
          <w:tcPr>
            <w:tcW w:type="dxa" w:w="32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2"/>
                <w:szCs w:val="22"/>
              </w:rPr>
              <w:t xml:space="preserve">Status</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Proxy justification</w:t>
            </w:r>
          </w:p>
        </w:tc>
        <w:tc>
          <w:tcPr>
            <w:tcW w:type="dxa" w:w="38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New paragraph added to Methodology</w:t>
            </w:r>
          </w:p>
        </w:tc>
        <w:tc>
          <w:tcPr>
            <w:tcW w:type="dxa" w:w="3280"/>
            <w:tcBorders>
              <w:top w:val="single" w:color="AAAAAA" w:sz="1"/>
              <w:left w:val="single" w:color="AAAAAA" w:sz="1"/>
              <w:bottom w:val="single" w:color="AAAAAA" w:sz="1"/>
              <w:right w:val="single" w:color="AAAAAA" w:sz="1"/>
            </w:tcBorders>
            <w:shd w:fill="E9F5E9" w:val="clear"/>
            <w:tcMar>
              <w:top w:type="dxa" w:w="80"/>
              <w:left w:type="dxa" w:w="120"/>
              <w:bottom w:type="dxa" w:w="80"/>
              <w:right w:type="dxa" w:w="120"/>
            </w:tcMar>
          </w:tcPr>
          <w:p>
            <w:r>
              <w:rPr>
                <w:rFonts w:ascii="Arial" w:cs="Arial" w:eastAsia="Arial" w:hAnsi="Arial"/>
                <w:b/>
                <w:bCs/>
                <w:color w:val="196619"/>
                <w:sz w:val="22"/>
                <w:szCs w:val="22"/>
              </w:rPr>
              <w:t xml:space="preserve">Ready to insert</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Survivor bias direction</w:t>
            </w:r>
          </w:p>
        </w:tc>
        <w:tc>
          <w:tcPr>
            <w:tcW w:type="dxa" w:w="38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Explicit argument that bias is conservative</w:t>
            </w:r>
          </w:p>
        </w:tc>
        <w:tc>
          <w:tcPr>
            <w:tcW w:type="dxa" w:w="3280"/>
            <w:tcBorders>
              <w:top w:val="single" w:color="AAAAAA" w:sz="1"/>
              <w:left w:val="single" w:color="AAAAAA" w:sz="1"/>
              <w:bottom w:val="single" w:color="AAAAAA" w:sz="1"/>
              <w:right w:val="single" w:color="AAAAAA" w:sz="1"/>
            </w:tcBorders>
            <w:shd w:fill="E9F5E9" w:val="clear"/>
            <w:tcMar>
              <w:top w:type="dxa" w:w="80"/>
              <w:left w:type="dxa" w:w="120"/>
              <w:bottom w:type="dxa" w:w="80"/>
              <w:right w:type="dxa" w:w="120"/>
            </w:tcMar>
          </w:tcPr>
          <w:p>
            <w:r>
              <w:rPr>
                <w:rFonts w:ascii="Arial" w:cs="Arial" w:eastAsia="Arial" w:hAnsi="Arial"/>
                <w:b/>
                <w:bCs/>
                <w:color w:val="196619"/>
                <w:sz w:val="22"/>
                <w:szCs w:val="22"/>
              </w:rPr>
              <w:t xml:space="preserve">Ready to insert</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Arrival-time confound</w:t>
            </w:r>
          </w:p>
        </w:tc>
        <w:tc>
          <w:tcPr>
            <w:tcW w:type="dxa" w:w="38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Note added after variable list item 7</w:t>
            </w:r>
          </w:p>
        </w:tc>
        <w:tc>
          <w:tcPr>
            <w:tcW w:type="dxa" w:w="3280"/>
            <w:tcBorders>
              <w:top w:val="single" w:color="AAAAAA" w:sz="1"/>
              <w:left w:val="single" w:color="AAAAAA" w:sz="1"/>
              <w:bottom w:val="single" w:color="AAAAAA" w:sz="1"/>
              <w:right w:val="single" w:color="AAAAAA" w:sz="1"/>
            </w:tcBorders>
            <w:shd w:fill="E9F5E9" w:val="clear"/>
            <w:tcMar>
              <w:top w:type="dxa" w:w="80"/>
              <w:left w:type="dxa" w:w="120"/>
              <w:bottom w:type="dxa" w:w="80"/>
              <w:right w:type="dxa" w:w="120"/>
            </w:tcMar>
          </w:tcPr>
          <w:p>
            <w:r>
              <w:rPr>
                <w:rFonts w:ascii="Arial" w:cs="Arial" w:eastAsia="Arial" w:hAnsi="Arial"/>
                <w:b/>
                <w:bCs/>
                <w:color w:val="196619"/>
                <w:sz w:val="22"/>
                <w:szCs w:val="22"/>
              </w:rPr>
              <w:t xml:space="preserve">Ready to insert</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Limitations section</w:t>
            </w:r>
          </w:p>
        </w:tc>
        <w:tc>
          <w:tcPr>
            <w:tcW w:type="dxa" w:w="38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Complete rewrite — expanded to 3 paragraphs</w:t>
            </w:r>
          </w:p>
        </w:tc>
        <w:tc>
          <w:tcPr>
            <w:tcW w:type="dxa" w:w="3280"/>
            <w:tcBorders>
              <w:top w:val="single" w:color="AAAAAA" w:sz="1"/>
              <w:left w:val="single" w:color="AAAAAA" w:sz="1"/>
              <w:bottom w:val="single" w:color="AAAAAA" w:sz="1"/>
              <w:right w:val="single" w:color="AAAAAA" w:sz="1"/>
            </w:tcBorders>
            <w:shd w:fill="E9F5E9" w:val="clear"/>
            <w:tcMar>
              <w:top w:type="dxa" w:w="80"/>
              <w:left w:type="dxa" w:w="120"/>
              <w:bottom w:type="dxa" w:w="80"/>
              <w:right w:type="dxa" w:w="120"/>
            </w:tcMar>
          </w:tcPr>
          <w:p>
            <w:r>
              <w:rPr>
                <w:rFonts w:ascii="Arial" w:cs="Arial" w:eastAsia="Arial" w:hAnsi="Arial"/>
                <w:b/>
                <w:bCs/>
                <w:color w:val="196619"/>
                <w:sz w:val="22"/>
                <w:szCs w:val="22"/>
              </w:rPr>
              <w:t xml:space="preserve">Ready to insert</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Typo: "cross-referenching"</w:t>
            </w:r>
          </w:p>
        </w:tc>
        <w:tc>
          <w:tcPr>
            <w:tcW w:type="dxa" w:w="38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Fix to "cross-referencing"</w:t>
            </w:r>
          </w:p>
        </w:tc>
        <w:tc>
          <w:tcPr>
            <w:tcW w:type="dxa" w:w="3280"/>
            <w:tcBorders>
              <w:top w:val="single" w:color="AAAAAA" w:sz="1"/>
              <w:left w:val="single" w:color="AAAAAA" w:sz="1"/>
              <w:bottom w:val="single" w:color="AAAAAA" w:sz="1"/>
              <w:right w:val="single" w:color="AAAAAA" w:sz="1"/>
            </w:tcBorders>
            <w:shd w:fill="E9F5E9" w:val="clear"/>
            <w:tcMar>
              <w:top w:type="dxa" w:w="80"/>
              <w:left w:type="dxa" w:w="120"/>
              <w:bottom w:type="dxa" w:w="80"/>
              <w:right w:type="dxa" w:w="120"/>
            </w:tcMar>
          </w:tcPr>
          <w:p>
            <w:r>
              <w:rPr>
                <w:rFonts w:ascii="Arial" w:cs="Arial" w:eastAsia="Arial" w:hAnsi="Arial"/>
                <w:b/>
                <w:bCs/>
                <w:color w:val="196619"/>
                <w:sz w:val="22"/>
                <w:szCs w:val="22"/>
              </w:rPr>
              <w:t xml:space="preserve">Ready to fix</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Typo: "20203"</w:t>
            </w:r>
          </w:p>
        </w:tc>
        <w:tc>
          <w:tcPr>
            <w:tcW w:type="dxa" w:w="38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Fix to "2023" (Discussion section)</w:t>
            </w:r>
          </w:p>
        </w:tc>
        <w:tc>
          <w:tcPr>
            <w:tcW w:type="dxa" w:w="3280"/>
            <w:tcBorders>
              <w:top w:val="single" w:color="AAAAAA" w:sz="1"/>
              <w:left w:val="single" w:color="AAAAAA" w:sz="1"/>
              <w:bottom w:val="single" w:color="AAAAAA" w:sz="1"/>
              <w:right w:val="single" w:color="AAAAAA" w:sz="1"/>
            </w:tcBorders>
            <w:shd w:fill="E9F5E9" w:val="clear"/>
            <w:tcMar>
              <w:top w:type="dxa" w:w="80"/>
              <w:left w:type="dxa" w:w="120"/>
              <w:bottom w:type="dxa" w:w="80"/>
              <w:right w:type="dxa" w:w="120"/>
            </w:tcMar>
          </w:tcPr>
          <w:p>
            <w:r>
              <w:rPr>
                <w:rFonts w:ascii="Arial" w:cs="Arial" w:eastAsia="Arial" w:hAnsi="Arial"/>
                <w:b/>
                <w:bCs/>
                <w:color w:val="196619"/>
                <w:sz w:val="22"/>
                <w:szCs w:val="22"/>
              </w:rPr>
              <w:t xml:space="preserve">Ready to fix</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H0 test</w:t>
            </w:r>
          </w:p>
        </w:tc>
        <w:tc>
          <w:tcPr>
            <w:tcW w:type="dxa" w:w="38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Add t-test with Cohen's d</w:t>
            </w:r>
          </w:p>
        </w:tc>
        <w:tc>
          <w:tcPr>
            <w:tcW w:type="dxa" w:w="3280"/>
            <w:tcBorders>
              <w:top w:val="single" w:color="AAAAAA" w:sz="1"/>
              <w:left w:val="single" w:color="AAAAAA" w:sz="1"/>
              <w:bottom w:val="single" w:color="AAAAAA" w:sz="1"/>
              <w:right w:val="single" w:color="AAAAAA" w:sz="1"/>
            </w:tcBorders>
            <w:shd w:fill="FFF0E5" w:val="clear"/>
            <w:tcMar>
              <w:top w:type="dxa" w:w="80"/>
              <w:left w:type="dxa" w:w="120"/>
              <w:bottom w:type="dxa" w:w="80"/>
              <w:right w:type="dxa" w:w="120"/>
            </w:tcMar>
          </w:tcPr>
          <w:p>
            <w:r>
              <w:rPr>
                <w:rFonts w:ascii="Arial" w:cs="Arial" w:eastAsia="Arial" w:hAnsi="Arial"/>
                <w:b/>
                <w:bCs/>
                <w:color w:val="C55A11"/>
                <w:sz w:val="22"/>
                <w:szCs w:val="22"/>
              </w:rPr>
              <w:t xml:space="preserve">Requires CSV</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H1 test</w:t>
            </w:r>
          </w:p>
        </w:tc>
        <w:tc>
          <w:tcPr>
            <w:tcW w:type="dxa" w:w="38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Add logistic regression + chi-square</w:t>
            </w:r>
          </w:p>
        </w:tc>
        <w:tc>
          <w:tcPr>
            <w:tcW w:type="dxa" w:w="3280"/>
            <w:tcBorders>
              <w:top w:val="single" w:color="AAAAAA" w:sz="1"/>
              <w:left w:val="single" w:color="AAAAAA" w:sz="1"/>
              <w:bottom w:val="single" w:color="AAAAAA" w:sz="1"/>
              <w:right w:val="single" w:color="AAAAAA" w:sz="1"/>
            </w:tcBorders>
            <w:shd w:fill="FFF0E5" w:val="clear"/>
            <w:tcMar>
              <w:top w:type="dxa" w:w="80"/>
              <w:left w:type="dxa" w:w="120"/>
              <w:bottom w:type="dxa" w:w="80"/>
              <w:right w:type="dxa" w:w="120"/>
            </w:tcMar>
          </w:tcPr>
          <w:p>
            <w:r>
              <w:rPr>
                <w:rFonts w:ascii="Arial" w:cs="Arial" w:eastAsia="Arial" w:hAnsi="Arial"/>
                <w:b/>
                <w:bCs/>
                <w:color w:val="C55A11"/>
                <w:sz w:val="22"/>
                <w:szCs w:val="22"/>
              </w:rPr>
              <w:t xml:space="preserve">Requires CSV</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H2 test</w:t>
            </w:r>
          </w:p>
        </w:tc>
        <w:tc>
          <w:tcPr>
            <w:tcW w:type="dxa" w:w="38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Add ERC index + revised ANOVA (Wave 1)</w:t>
            </w:r>
          </w:p>
        </w:tc>
        <w:tc>
          <w:tcPr>
            <w:tcW w:type="dxa" w:w="3280"/>
            <w:tcBorders>
              <w:top w:val="single" w:color="AAAAAA" w:sz="1"/>
              <w:left w:val="single" w:color="AAAAAA" w:sz="1"/>
              <w:bottom w:val="single" w:color="AAAAAA" w:sz="1"/>
              <w:right w:val="single" w:color="AAAAAA" w:sz="1"/>
            </w:tcBorders>
            <w:shd w:fill="FFF0E5" w:val="clear"/>
            <w:tcMar>
              <w:top w:type="dxa" w:w="80"/>
              <w:left w:type="dxa" w:w="120"/>
              <w:bottom w:type="dxa" w:w="80"/>
              <w:right w:type="dxa" w:w="120"/>
            </w:tcMar>
          </w:tcPr>
          <w:p>
            <w:r>
              <w:rPr>
                <w:rFonts w:ascii="Arial" w:cs="Arial" w:eastAsia="Arial" w:hAnsi="Arial"/>
                <w:b/>
                <w:bCs/>
                <w:color w:val="C55A11"/>
                <w:sz w:val="22"/>
                <w:szCs w:val="22"/>
              </w:rPr>
              <w:t xml:space="preserve">Requires CSV</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Figures 1–4</w:t>
            </w:r>
          </w:p>
        </w:tc>
        <w:tc>
          <w:tcPr>
            <w:tcW w:type="dxa" w:w="38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Four new figures for the manuscript</w:t>
            </w:r>
          </w:p>
        </w:tc>
        <w:tc>
          <w:tcPr>
            <w:tcW w:type="dxa" w:w="3280"/>
            <w:tcBorders>
              <w:top w:val="single" w:color="AAAAAA" w:sz="1"/>
              <w:left w:val="single" w:color="AAAAAA" w:sz="1"/>
              <w:bottom w:val="single" w:color="AAAAAA" w:sz="1"/>
              <w:right w:val="single" w:color="AAAAAA" w:sz="1"/>
            </w:tcBorders>
            <w:shd w:fill="FFF0E5" w:val="clear"/>
            <w:tcMar>
              <w:top w:type="dxa" w:w="80"/>
              <w:left w:type="dxa" w:w="120"/>
              <w:bottom w:type="dxa" w:w="80"/>
              <w:right w:type="dxa" w:w="120"/>
            </w:tcMar>
          </w:tcPr>
          <w:p>
            <w:r>
              <w:rPr>
                <w:rFonts w:ascii="Arial" w:cs="Arial" w:eastAsia="Arial" w:hAnsi="Arial"/>
                <w:b/>
                <w:bCs/>
                <w:color w:val="C55A11"/>
                <w:sz w:val="22"/>
                <w:szCs w:val="22"/>
              </w:rPr>
              <w:t xml:space="preserve">Requires CSV</w:t>
            </w:r>
          </w:p>
        </w:tc>
      </w:tr>
    </w:tbl>
    <w:p>
      <w:pPr>
        <w:spacing w:after="80" w:before="80"/>
      </w:pPr>
      <w:r>
        <w:t xml:space="preserve"/>
      </w:r>
    </w:p>
    <w:p>
      <w:pPr>
        <w:spacing w:after="80" w:before="8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2026-02-26T08:28:48.702Z</dcterms:created>
  <dcterms:modified xsi:type="dcterms:W3CDTF">2026-02-26T08:28:48.702Z</dcterms:modified>
</cp:coreProperties>
</file>

<file path=docProps/custom.xml><?xml version="1.0" encoding="utf-8"?>
<Properties xmlns="http://schemas.openxmlformats.org/officeDocument/2006/custom-properties" xmlns:vt="http://schemas.openxmlformats.org/officeDocument/2006/docPropsVTypes"/>
</file>