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0599f1cf9c416708f9953be818e33c11ca4427"/>
    <w:p>
      <w:pPr>
        <w:pStyle w:val="Heading1"/>
      </w:pPr>
      <w:r>
        <w:t xml:space="preserve">Action plan: taking the SOF manuscript from restructured draft to press submission</w:t>
      </w:r>
    </w:p>
    <w:p>
      <w:pPr>
        <w:pStyle w:val="FirstParagraph"/>
      </w:pPr>
      <w:r>
        <w:t xml:space="preserve">Prepared 10 August 2026, after splitting the August merged file into an Introduction and eleven chapters.</w:t>
      </w:r>
    </w:p>
    <w:bookmarkStart w:id="20" w:name="where-the-manuscript-actually-stands"/>
    <w:p>
      <w:pPr>
        <w:pStyle w:val="Heading2"/>
      </w:pPr>
      <w:r>
        <w:t xml:space="preserve">Where the manuscript actually stands</w:t>
      </w:r>
    </w:p>
    <w:p>
      <w:pPr>
        <w:pStyle w:val="FirstParagraph"/>
      </w:pPr>
      <w:r>
        <w:t xml:space="preserve">The draft is 164,000 words of body prose across 132 numbered subchapters, carrying 749 endnote positions. That is a complete book in outline and roughly a complete book in evidence. It is not yet a book in prose, and four specific things stand between it and a press reader. They are listed in the order in which they have to be fixed, and the order is not negotiable: each one makes the next one cheaper.</w:t>
      </w:r>
    </w:p>
    <w:p>
      <w:pPr>
        <w:pStyle w:val="BodyText"/>
      </w:pPr>
      <w:r>
        <w:rPr>
          <w:bCs/>
          <w:b/>
        </w:rPr>
        <w:t xml:space="preserve">One: 282 of the 749 endnotes have no text.</w:t>
      </w:r>
      <w:r>
        <w:t xml:space="preserve"> </w:t>
      </w:r>
      <w:r>
        <w:t xml:space="preserve">This is the only finding that is data loss rather than a writing problem, which is why it comes first. The</w:t>
      </w:r>
      <w:r>
        <w:t xml:space="preserve"> </w:t>
      </w:r>
      <w:r>
        <w:rPr>
          <w:rStyle w:val="VerbatimChar"/>
        </w:rPr>
        <w:t xml:space="preserve">[^fn]</w:t>
      </w:r>
      <w:r>
        <w:t xml:space="preserve"> </w:t>
      </w:r>
      <w:r>
        <w:t xml:space="preserve">pool at the end of the merged file holds 285 definitions but only 140 distinct texts: Chapter 9’s endnote set appears three times over, renumbered twice, and the copies were assigned to Chapters 6 and 7. So Chapter 6 (79 notes) and Chapter 7 (118 notes) have no endnotes at all in this file, and their markers currently point at Deir el-Zor citations that belong to Chapter 9. Chapter 2 is missing 85 of 104. Nothing was invented to fill these gaps; every one is marked in place and listed in the audit workbook. Recovery is a file operation, not a writing operation, and it gets harder the longer the chapter source files drift from this merge.</w:t>
      </w:r>
    </w:p>
    <w:p>
      <w:pPr>
        <w:pStyle w:val="BodyText"/>
      </w:pPr>
      <w:r>
        <w:rPr>
          <w:bCs/>
          <w:b/>
        </w:rPr>
        <w:t xml:space="preserve">Two: the framework in the Introduction does not run through the chapters.</w:t>
      </w:r>
      <w:r>
        <w:t xml:space="preserve"> </w:t>
      </w:r>
      <w:r>
        <w:t xml:space="preserve">The Introduction commits the book to historical institutionalism, critical junctures with permissive and productive conditions, multiple streams, evolutionary institutionalism, and diffusion. Across 164,000 words of chapters,</w:t>
      </w:r>
      <w:r>
        <w:t xml:space="preserve"> </w:t>
      </w:r>
      <w:r>
        <w:t xml:space="preserve">“</w:t>
      </w:r>
      <w:r>
        <w:t xml:space="preserve">critical juncture</w:t>
      </w:r>
      <w:r>
        <w:t xml:space="preserve">”</w:t>
      </w:r>
      <w:r>
        <w:t xml:space="preserve"> </w:t>
      </w:r>
      <w:r>
        <w:t xml:space="preserve">appears nine times in Chapter 7 and once in Chapter 6, and nowhere else. Soifer’s permissive and productive conditions appear four times in the Introduction and zero times in every chapter. Kingdon appears nowhere. Lewis and Steinmo appear nowhere. Only the entrepreneur thread and, patchily, diffusion survive the trip from the Introduction into the empirical material. By the project’s own rule this is the flag: the chapters have lost the path the Introduction set.</w:t>
      </w:r>
    </w:p>
    <w:p>
      <w:pPr>
        <w:pStyle w:val="BodyText"/>
      </w:pPr>
      <w:r>
        <w:rPr>
          <w:bCs/>
          <w:b/>
        </w:rPr>
        <w:t xml:space="preserve">Three:</w:t>
      </w:r>
      <w:r>
        <w:rPr>
          <w:bCs/>
          <w:b/>
        </w:rPr>
        <w:t xml:space="preserve"> </w:t>
      </w:r>
      <w:r>
        <w:rPr>
          <w:bCs/>
          <w:b/>
        </w:rPr>
        <w:t xml:space="preserve">“</w:t>
      </w:r>
      <w:r>
        <w:rPr>
          <w:bCs/>
          <w:b/>
        </w:rPr>
        <w:t xml:space="preserve">institutional</w:t>
      </w:r>
      <w:r>
        <w:rPr>
          <w:bCs/>
          <w:b/>
        </w:rPr>
        <w:t xml:space="preserve">”</w:t>
      </w:r>
      <w:r>
        <w:rPr>
          <w:bCs/>
          <w:b/>
        </w:rPr>
        <w:t xml:space="preserve"> </w:t>
      </w:r>
      <w:r>
        <w:rPr>
          <w:bCs/>
          <w:b/>
        </w:rPr>
        <w:t xml:space="preserve">is a tic, not a word.</w:t>
      </w:r>
      <w:r>
        <w:t xml:space="preserve"> </w:t>
      </w:r>
      <w:r>
        <w:t xml:space="preserve">It appears 2,166 times, 13.2 times per thousand words. Chapter 11 runs at 54.7 per thousand, which is one word in eighteen. Chapters 4, 8 and 10 run above 23. In the worst passages the word is doing no work at all:</w:t>
      </w:r>
      <w:r>
        <w:t xml:space="preserve"> </w:t>
      </w:r>
      <w:r>
        <w:t xml:space="preserve">“</w:t>
      </w:r>
      <w:r>
        <w:t xml:space="preserve">the institutional reckoning that the senior officer corps will conduct is, in its institutional architecture, the most consequential institutional reckoning the country has conducted.</w:t>
      </w:r>
      <w:r>
        <w:t xml:space="preserve">”</w:t>
      </w:r>
      <w:r>
        <w:t xml:space="preserve"> </w:t>
      </w:r>
      <w:r>
        <w:t xml:space="preserve">A press reader recognises that pattern in a paragraph, and what they recognise is machine drafting.</w:t>
      </w:r>
    </w:p>
    <w:p>
      <w:pPr>
        <w:pStyle w:val="BodyText"/>
      </w:pPr>
      <w:r>
        <w:rPr>
          <w:bCs/>
          <w:b/>
        </w:rPr>
        <w:t xml:space="preserve">Four: the rhythm is flat.</w:t>
      </w:r>
      <w:r>
        <w:t xml:space="preserve"> </w:t>
      </w:r>
      <w:r>
        <w:t xml:space="preserve">There are 765 places where two sentences of more than thirty words run back to back. The voice depends on the long sentence closed by a short one; the draft has the long sentences and almost none of the short ones. This is the most laborious fix and the one that most changes how the book reads, which is why it comes last, after the material it operates on has stopped moving.</w:t>
      </w:r>
    </w:p>
    <w:bookmarkEnd w:id="20"/>
    <w:bookmarkStart w:id="21" w:name="the-sequence"/>
    <w:p>
      <w:pPr>
        <w:pStyle w:val="Heading2"/>
      </w:pPr>
      <w:r>
        <w:t xml:space="preserve">The sequence</w:t>
      </w:r>
    </w:p>
    <w:p>
      <w:pPr>
        <w:pStyle w:val="FirstParagraph"/>
      </w:pPr>
      <w:r>
        <w:rPr>
          <w:bCs/>
          <w:b/>
        </w:rPr>
        <w:t xml:space="preserve">Phase 0, endnote recovery. Two working days, no writing.</w:t>
      </w:r>
      <w:r>
        <w:t xml:space="preserve"> </w:t>
      </w:r>
      <w:r>
        <w:t xml:space="preserve">Locate the Chapter 6 and Chapter 7 endnote files in the Dropbox and Second Brain trees, and reattach 197 notes by position. The audit workbook’s</w:t>
      </w:r>
      <w:r>
        <w:t xml:space="preserve"> </w:t>
      </w:r>
      <w:r>
        <w:t xml:space="preserve">“</w:t>
      </w:r>
      <w:r>
        <w:t xml:space="preserve">Endnotes to supply</w:t>
      </w:r>
      <w:r>
        <w:t xml:space="preserve">”</w:t>
      </w:r>
      <w:r>
        <w:t xml:space="preserve"> </w:t>
      </w:r>
      <w:r>
        <w:t xml:space="preserve">sheet is the checklist. Chapter 2’s 85 gaps are a different problem: those notes were never written, so they go into Phase 4 rather than here. Do not start Phase 1 until this is done, because every later pass touches note positions and moving a note twice is how numbering breaks.</w:t>
      </w:r>
    </w:p>
    <w:p>
      <w:pPr>
        <w:pStyle w:val="BodyText"/>
      </w:pPr>
      <w:r>
        <w:rPr>
          <w:bCs/>
          <w:b/>
        </w:rPr>
        <w:t xml:space="preserve">Phase 1, the framework spine. One week.</w:t>
      </w:r>
      <w:r>
        <w:t xml:space="preserve"> </w:t>
      </w:r>
      <w:r>
        <w:t xml:space="preserve">Before touching a chapter, write two pages that map the Introduction’s apparatus onto the empirical material: which shock is a critical juncture and which is not, what the permissive and the productive conditions are in each case, where the streams converge and where they fail to, what diffuses and along which pathway. Then, and only then, write one harvest paragraph per chapter that cashes the chapter’s evidence into that apparatus. Twelve paragraphs, one per file, placed at the point of analytical yield rather than at the chapter head. This is the single highest-value week of work in the plan, because it converts a chronicle into an argument and because every later editing decision becomes easier once the load-bearing sentences are identified.</w:t>
      </w:r>
    </w:p>
    <w:p>
      <w:pPr>
        <w:pStyle w:val="BodyText"/>
      </w:pPr>
      <w:r>
        <w:rPr>
          <w:bCs/>
          <w:b/>
        </w:rPr>
        <w:t xml:space="preserve">Phase 2, the institutional purge. One week.</w:t>
      </w:r>
      <w:r>
        <w:t xml:space="preserve"> </w:t>
      </w:r>
      <w:r>
        <w:t xml:space="preserve">Chapter by chapter, worst first: Chapter 11, then 10, 4, 8. This is mostly mechanical and I can do the first pass: for every occurrence, either the word carries analytic weight (an institution as against an individual, a rule as against a practice) or it is filler. Filler goes. Where the sentence collapses without it, the sentence needed rewriting anyway. Expect Chapter 11 to come out shorter by a fifth and to read as though a different person wrote it.</w:t>
      </w:r>
    </w:p>
    <w:p>
      <w:pPr>
        <w:pStyle w:val="BodyText"/>
      </w:pPr>
      <w:r>
        <w:rPr>
          <w:bCs/>
          <w:b/>
        </w:rPr>
        <w:t xml:space="preserve">Phase 3, the line edit. Nine weeks.</w:t>
      </w:r>
      <w:r>
        <w:t xml:space="preserve"> </w:t>
      </w:r>
      <w:r>
        <w:t xml:space="preserve">Three subchapters per working day, in Word, track changes on, one chapter file open at a time. 132 subchapters at three a day is 44 working days. This is where the rhythm rule gets applied, where the flagged amplifiers get judged one by one, and where the scenes get their concrete detail checked. The audit workbook’s</w:t>
      </w:r>
      <w:r>
        <w:t xml:space="preserve"> </w:t>
      </w:r>
      <w:r>
        <w:t xml:space="preserve">“</w:t>
      </w:r>
      <w:r>
        <w:t xml:space="preserve">Style flags</w:t>
      </w:r>
      <w:r>
        <w:t xml:space="preserve">”</w:t>
      </w:r>
      <w:r>
        <w:t xml:space="preserve"> </w:t>
      </w:r>
      <w:r>
        <w:t xml:space="preserve">sheet is the work list, filtered by chapter and section, so each day starts with a finite named set of items rather than an open file.</w:t>
      </w:r>
    </w:p>
    <w:p>
      <w:pPr>
        <w:pStyle w:val="BodyText"/>
      </w:pPr>
      <w:r>
        <w:rPr>
          <w:bCs/>
          <w:b/>
        </w:rPr>
        <w:t xml:space="preserve">Phase 4, citations. Two weeks, running in parallel with Phase 3.</w:t>
      </w:r>
      <w:r>
        <w:t xml:space="preserve"> </w:t>
      </w:r>
      <w:r>
        <w:t xml:space="preserve">22 notes are marked TK, Chapter 2 needs 85 written from scratch, and the Introduction’s fifteen are all placeholders pointing at Wall Street Journal reporting from May 2026 that has never been formed into a citation. Everything goes through Zotero and comes out in Chicago 17 Notes-Bibliography. Two Wikipedia citations were removed in this pass and their claims now need real sources or need to go.</w:t>
      </w:r>
    </w:p>
    <w:p>
      <w:pPr>
        <w:pStyle w:val="BodyText"/>
      </w:pPr>
      <w:r>
        <w:rPr>
          <w:bCs/>
          <w:b/>
        </w:rPr>
        <w:t xml:space="preserve">Phase 5, the continuity read. One week.</w:t>
      </w:r>
      <w:r>
        <w:t xml:space="preserve"> </w:t>
      </w:r>
      <w:r>
        <w:t xml:space="preserve">Read the whole thing on paper, in order, in as few sittings as possible, marking only three things: where a claim is made twice, where a unit or person is introduced twice or not at all, and where the argument promised in Chapter 1 fails to arrive. Nothing else. This is the pass that catches what chapter-level work cannot see.</w:t>
      </w:r>
    </w:p>
    <w:p>
      <w:pPr>
        <w:pStyle w:val="BodyText"/>
      </w:pPr>
      <w:r>
        <w:t xml:space="preserve">Total: about fourteen weeks of steady work, with the first three weeks doing most of the structural repair.</w:t>
      </w:r>
    </w:p>
    <w:bookmarkEnd w:id="21"/>
    <w:bookmarkStart w:id="22" w:name="how-to-work-the-daily-cycle"/>
    <w:p>
      <w:pPr>
        <w:pStyle w:val="Heading2"/>
      </w:pPr>
      <w:r>
        <w:t xml:space="preserve">How to work the daily cycle</w:t>
      </w:r>
    </w:p>
    <w:p>
      <w:pPr>
        <w:pStyle w:val="FirstParagraph"/>
      </w:pPr>
      <w:r>
        <w:t xml:space="preserve">The plan is built around your existing rhythm, one chapter file open in Word with track changes running, and it is designed so that no session requires you to hold the whole book in your head.</w:t>
      </w:r>
    </w:p>
    <w:p>
      <w:pPr>
        <w:pStyle w:val="BodyText"/>
      </w:pPr>
      <w:r>
        <w:t xml:space="preserve">Start each session by opening the audit workbook, filtering</w:t>
      </w:r>
      <w:r>
        <w:t xml:space="preserve"> </w:t>
      </w:r>
      <w:r>
        <w:t xml:space="preserve">“</w:t>
      </w:r>
      <w:r>
        <w:t xml:space="preserve">Style flags</w:t>
      </w:r>
      <w:r>
        <w:t xml:space="preserve">”</w:t>
      </w:r>
      <w:r>
        <w:t xml:space="preserve"> </w:t>
      </w:r>
      <w:r>
        <w:t xml:space="preserve">to the chapter and section you are on, and reading the flags before the prose. You are then editing against a list of fifteen or twenty named items rather than against 15,000 words of undifferentiated text, which is the difference between a session that finishes and a session that drifts.</w:t>
      </w:r>
    </w:p>
    <w:p>
      <w:pPr>
        <w:pStyle w:val="BodyText"/>
      </w:pPr>
      <w:r>
        <w:t xml:space="preserve">Work in one direction only. Do not fix a Chapter 8 problem you notice while editing Chapter 3; write it on the flag sheet and keep going. The continuity read in Phase 5 exists precisely so that you do not have to act on cross-chapter noticing while you are inside a chapter.</w:t>
      </w:r>
    </w:p>
    <w:p>
      <w:pPr>
        <w:pStyle w:val="BodyText"/>
      </w:pPr>
      <w:r>
        <w:t xml:space="preserve">End each session by saving the file with the date in the name and sending it back to me. I extract the style rules your corrections imply, log them in the Style Amendments Log, and draft the amendment to the writing-style skill so the next chapter I touch already knows what you decided. That loop is the reason the last chapters should need less work than the first.</w:t>
      </w:r>
    </w:p>
    <w:bookmarkEnd w:id="22"/>
    <w:bookmarkStart w:id="23" w:name="what-i-do-next-on-your-word"/>
    <w:p>
      <w:pPr>
        <w:pStyle w:val="Heading2"/>
      </w:pPr>
      <w:r>
        <w:t xml:space="preserve">What I do next, on your word</w:t>
      </w:r>
    </w:p>
    <w:p>
      <w:pPr>
        <w:pStyle w:val="FirstParagraph"/>
      </w:pPr>
      <w:r>
        <w:t xml:space="preserve">I can start Phase 0 immediately if you point me at the Chapter 6 and Chapter 7 source files, or I can search the Dropbox and Second Brain trees for them myself. I can also run the Phase 2 institutional purge on Chapter 11 as a demonstration, so you can see what the prose looks like on the other side before committing nine weeks to the method.</w:t>
      </w:r>
    </w:p>
    <w:p>
      <w:pPr>
        <w:pStyle w:val="BodyText"/>
      </w:pPr>
      <w:r>
        <w:t xml:space="preserve">The one thing I would not do is start Phase 3. Line editing a chapter whose endnotes are missing and whose framework paragraph has not been written means editing sentences that are going to move.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2026-08-10T01:59:16Z</dcterms:created>
  <dcterms:modified xsi:type="dcterms:W3CDTF">2026-08-10T01:59:16Z</dcterms:modified>
</cp:coreProperties>
</file>

<file path=docProps/custom.xml><?xml version="1.0" encoding="utf-8"?>
<Properties xmlns="http://schemas.openxmlformats.org/officeDocument/2006/custom-properties" xmlns:vt="http://schemas.openxmlformats.org/officeDocument/2006/docPropsVTypes"/>
</file>