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troduction-introduction"/>
    <w:p>
      <w:pPr>
        <w:pStyle w:val="Heading1"/>
      </w:pPr>
      <w:r>
        <w:t xml:space="preserve">Introduction — Introduction</w:t>
      </w:r>
    </w:p>
    <w:p>
      <w:pPr>
        <w:pStyle w:val="FirstParagraph"/>
      </w:pPr>
      <w:r>
        <w:rPr>
          <w:iCs/>
          <w:i/>
        </w:rPr>
        <w:t xml:space="preserve">The Rise of Israel’s Special Operations Forces</w:t>
      </w:r>
    </w:p>
    <w:bookmarkStart w:id="26" w:name="the-wadi"/>
    <w:p>
      <w:pPr>
        <w:pStyle w:val="Heading2"/>
      </w:pPr>
      <w:r>
        <w:t xml:space="preserve">0.1 The Wadi</w:t>
      </w:r>
    </w:p>
    <w:p>
      <w:pPr>
        <w:pStyle w:val="FirstParagraph"/>
      </w:pPr>
      <w:r>
        <w:t xml:space="preserve">It was a shepherd who almost ended it.</w:t>
      </w:r>
    </w:p>
    <w:p>
      <w:pPr>
        <w:pStyle w:val="BodyText"/>
      </w:pPr>
      <w:r>
        <w:t xml:space="preserve">Sometime in the first days of March 2026, in a dry lakebed in the Himyar Valley of western Anbar Province, Iraq, a man following his flock across what is, on most maps, an empty desert noticed that the empty quarter was not entirely empty.</w:t>
      </w:r>
    </w:p>
    <w:p>
      <w:pPr>
        <w:pStyle w:val="BodyText"/>
      </w:pPr>
      <w:r>
        <w:t xml:space="preserve">Helicopters had been flying low along the wadi walls. Vehicles he did not recognize had passed in the night. He reported what he had seen to local Iraqi authorities, and within hours an Iraqi army patrol set out for the location to find out who, exactly, was operating an airstrip 180 kilometers west of Najaf without permission.</w:t>
      </w:r>
      <w:r>
        <w:rPr>
          <w:rStyle w:val="EndnoteReference"/>
        </w:rPr>
        <w:endnoteReference w:id="20"/>
      </w:r>
    </w:p>
    <w:p>
      <w:pPr>
        <w:pStyle w:val="BodyText"/>
      </w:pPr>
      <w:r>
        <w:t xml:space="preserve">What the shepherd had seen, but did not know, was the western tip of an Israeli 7th Wing special operations base. The base sat on the bones of an older installation — a facility built in the time of Saddam Hussein, abandoned after 2003, reused now by a foreign air force whose pilots were at that moment striking targets thirteen hundred kilometers further east.</w:t>
      </w:r>
      <w:r>
        <w:rPr>
          <w:rStyle w:val="EndnoteReference"/>
        </w:rPr>
        <w:endnoteReference w:id="21"/>
      </w:r>
    </w:p>
    <w:p>
      <w:pPr>
        <w:pStyle w:val="BodyText"/>
      </w:pPr>
      <w:r>
        <w:t xml:space="preserve">A 1.5-kilometer improvised runway had been bulldozed into the floor of the wadi, low enough between the walls of the dry channel that it did not register as a built feature from satellite imagery, and the base was crewed by personnel from three Israeli units: Unit 669, the Israeli Air Force’s combat search-and-rescue unit, on station to extract pilots downed over Iranian territory; Shaldag, the IAF’s premier SOF unit; and an element of Sayeret Matkal, the General Staff Reconnaissance Unit. The United States had been informed. The Iraqi government had not.</w:t>
      </w:r>
      <w:r>
        <w:rPr>
          <w:rStyle w:val="EndnoteReference"/>
        </w:rPr>
        <w:endnoteReference w:id="22"/>
      </w:r>
    </w:p>
    <w:p>
      <w:pPr>
        <w:pStyle w:val="BodyText"/>
      </w:pPr>
      <w:r>
        <w:t xml:space="preserve">The Iraqi patrol never reached the wadi. As it moved across the open desert toward the reported position, Israeli aircraft struck. By the time other Iraqi forces understood that someone had hit their own troops, the patrol’s wreckage was the only evidence left on that part of the ground, and even that evidence said nothing about the people in the dry lakebed.</w:t>
      </w:r>
      <w:r>
        <w:rPr>
          <w:rStyle w:val="EndnoteReference"/>
        </w:rPr>
        <w:endnoteReference w:id="23"/>
      </w:r>
    </w:p>
    <w:p>
      <w:pPr>
        <w:pStyle w:val="BodyText"/>
      </w:pPr>
      <w:r>
        <w:t xml:space="preserve">We know what we know about that morning because, in early May 2026 — two months after Operation Roaring Lion, the joint Israeli–American air campaign against the Iranian nuclear program that began on 28 February 2026, had ended — the Wall Street Journal and subsequent reporting in Israel and the United States disclosed the existence of the base, the airstrip, the personnel, and the strike against the Iraqi patrol that had nearly compromised it.</w:t>
      </w:r>
      <w:r>
        <w:rPr>
          <w:rStyle w:val="EndnoteReference"/>
        </w:rPr>
        <w:endnoteReference w:id="24"/>
      </w:r>
    </w:p>
    <w:p>
      <w:pPr>
        <w:pStyle w:val="BodyText"/>
      </w:pPr>
      <w:r>
        <w:t xml:space="preserve">None of the reporting was confirmed by Israel. None of it was likely to be. By any honest reckoning, the most striking detail in the whole story is not that the base existed, nor that Israeli aircraft struck Iraqi soldiers on Iraqi soil to defend it. The most striking detail is the one tucked into the end of the Journal’s account: across five weeks of strikes, no Israeli aircraft was downed over Iran. The combat search-and-rescue teams in the wadi were never called.</w:t>
      </w:r>
      <w:r>
        <w:rPr>
          <w:rStyle w:val="EndnoteReference"/>
        </w:rPr>
        <w:endnoteReference w:id="25"/>
      </w:r>
    </w:p>
    <w:p>
      <w:pPr>
        <w:pStyle w:val="BodyText"/>
      </w:pPr>
      <w:r>
        <w:t xml:space="preserve">A military unit deployed at extreme operational risk for a contingency that never came is the truest possible portrait of what special operations forces are, and what they do, and why they cost what they cost.</w:t>
      </w:r>
    </w:p>
    <w:p>
      <w:pPr>
        <w:pStyle w:val="BodyText"/>
      </w:pPr>
      <w:r>
        <w:t xml:space="preserve">It is also the kind of moment that nobody, in any honest history of any country’s military, has ever written into the founding myth of a unit. The story of the wadi is missing from the founding myth because the operational outcome was negative. Nothing happened, and yet the institutional outcome was positive. Israeli Special Operations Forces carried out a forward-deployed forward-operating-base mission, eighteen hundred kilometers from Tel Aviv, in a country with which Israel has no diplomatic relations, in coordination with the United States Air Force, against a third country, and they did it well enough that the country they were operating inside learned about it from a newspaper.</w:t>
      </w:r>
    </w:p>
    <w:p>
      <w:pPr>
        <w:pStyle w:val="BodyText"/>
      </w:pPr>
      <w:r>
        <w:t xml:space="preserve">This book is about how that became possible.</w:t>
      </w:r>
    </w:p>
    <w:p>
      <w:pPr>
        <w:pStyle w:val="BodyText"/>
      </w:pPr>
      <w:r>
        <w:t xml:space="preserve">The three units in the wadi — Sayeret Matkal, Shaldag, Unit 669 — were not selected at random. They are the Israeli equivalent of the American JSOC’s Special Mission Units, the apex layer of an elite-unit ecosystem that the Israel Defense Forces has spent the better part of a century constructing.</w:t>
      </w:r>
    </w:p>
    <w:bookmarkEnd w:id="26"/>
    <w:bookmarkStart w:id="27" w:name="the-envelope"/>
    <w:p>
      <w:pPr>
        <w:pStyle w:val="Heading2"/>
      </w:pPr>
      <w:r>
        <w:t xml:space="preserve">0.2 The Envelope</w:t>
      </w:r>
    </w:p>
    <w:p>
      <w:pPr>
        <w:pStyle w:val="FirstParagraph"/>
      </w:pPr>
      <w:r>
        <w:t xml:space="preserve">Two and a half years before the shepherd, on the morning of Saturday, 7 October 2023, in a different stretch of desert much closer to home, obscurity descended on the Israeli side of the line. At 6:29 a.m., across the Gaza envelope, the rocket alarms began.</w:t>
      </w:r>
    </w:p>
    <w:p>
      <w:pPr>
        <w:pStyle w:val="BodyText"/>
      </w:pPr>
      <w:r>
        <w:t xml:space="preserve">By the time the first salvos had finished, Hamas’s Izz al-Din al-Qassam Brigades and its allied factions were already inside the wire at thirty separate breach points along the perimeter fence, motorcycles and pickup trucks streaming through, paragliders descending onto open ground east of the festival at Re’im, and an attack force later estimated by Israeli investigators at roughly 3,800 fighters in the first wave was moving against, into, and through what Israeli planners had spent fifteen years calling Otef Aza — the Gaza envelope.</w:t>
      </w:r>
    </w:p>
    <w:p>
      <w:pPr>
        <w:pStyle w:val="BodyText"/>
      </w:pPr>
      <w:r>
        <w:t xml:space="preserve">The opening moves of the assault were designed to ensure that the breach could not be monitored or subverted. As soon as the first Qassam rocket left its launcher, Hamas operatives flew small commercial quadcopters, modified to drop munitions, along the fence line. They struck the generators of Israeli communications towers and the surveillance pylons of the</w:t>
      </w:r>
      <w:r>
        <w:t xml:space="preserve"> </w:t>
      </w:r>
      <w:r>
        <w:t xml:space="preserve">“</w:t>
      </w:r>
      <w:r>
        <w:t xml:space="preserve">armed sight</w:t>
      </w:r>
      <w:r>
        <w:t xml:space="preserve">”</w:t>
      </w:r>
      <w:r>
        <w:t xml:space="preserve"> </w:t>
      </w:r>
      <w:r>
        <w:t xml:space="preserve">system on which the IDF Southern Command’s situational awareness depended. At Kissufim, the first communications tower was disabled. At Re’im, the tower over the Gaza Division headquarters was hit. Within minutes, the standing eyes and ears of the entire envelope — the cameras, the remote-operated machine-gun emplacements, the cellular relays, the encrypted division network — had been blinded, partly or entirely, in successive bites.</w:t>
      </w:r>
    </w:p>
    <w:p>
      <w:pPr>
        <w:pStyle w:val="BodyText"/>
      </w:pPr>
      <w:r>
        <w:t xml:space="preserve">What the drones began, ground teams completed. By 7 a.m., Nukhba squads, the elite arm of the al-Qassam Brigades, had reached and seized the principal road junctions of the envelope. Highway 232, the north–south spine that connects every kibbutz between Yad Mordechai and Kerem Shalom, was cut at multiple chokepoints. Cars carrying festival attendees fleeing north from Re’im ran into ambushes near Be’eri and Mefalsim. Cars carrying first responders driving south from Ashdod and Be’er Sheva into the envelope ran into ambushes from the opposite direction. The envelope had become a sealed box.</w:t>
      </w:r>
    </w:p>
    <w:p>
      <w:pPr>
        <w:pStyle w:val="BodyText"/>
      </w:pPr>
      <w:r>
        <w:t xml:space="preserve">Inside it: tens of thousands of residents in the kibbutzim and moshavim of the regional councils of Sha’ar Hanegev, Eshkol, Sdot Negev, and Hof Ashkelon, the 3,500 attendees of the Nova Sukkot Gathering at Re’im, and 767 soldiers of the IDF’s Gaza Division. Around them, a force of roughly five thousand attackers, in successive waves.</w:t>
      </w:r>
    </w:p>
    <w:p>
      <w:pPr>
        <w:pStyle w:val="BodyText"/>
      </w:pPr>
      <w:r>
        <w:t xml:space="preserve">Hamas had succeeded in isolating the region. The IDF’s higher command did not understand what had happened for hours. The standing-force doctrine of the southern command, built, refined, and exercised over fifteen years, assumed that the Gaza Division would hold its perimeter and its internal lines for the time it took regular reinforcements to reach the envelope from the Negev and the center of the country. The Gaza Division did not hold. By midmorning, the entire division had been overrun; the divisional headquarters at Re’im was itself the scene of a several-hour close-quarters battle. The chief of the general staff would later say that he did not possess an accurate operational picture of his own ground in the envelope until midafternoon.</w:t>
      </w:r>
    </w:p>
    <w:p>
      <w:pPr>
        <w:pStyle w:val="BodyText"/>
      </w:pPr>
      <w:r>
        <w:t xml:space="preserve">This is the part of the story that has been told. The part that has been told less is the question of who, in the absence of a functioning division, retook the envelope.</w:t>
      </w:r>
    </w:p>
    <w:p>
      <w:pPr>
        <w:pStyle w:val="BodyText"/>
      </w:pPr>
      <w:r>
        <w:t xml:space="preserve">The answer is one that anyone who has studied the post-1974 architecture of Israel’s Special Operations Forces ecosystem would predict. Among the units and individuals who reached the envelope on their own initiative that morning there was a heavy and conspicuous over-representation of personnel from the special operations community. Some came as organic teams.</w:t>
      </w:r>
    </w:p>
    <w:p>
      <w:pPr>
        <w:pStyle w:val="BodyText"/>
      </w:pPr>
      <w:r>
        <w:t xml:space="preserve">A Shaldag company commander, on his own authority and before any order from above, opened a conference call with his platoon commanders before eight in the morning, scrambled his unit to its base, and within hours had Shaldag elements being air-inserted by helicopter into the rear of Hamas teams operating inside the divisional headquarters at Re’im and inside the kibbutzim of Be’eri, Kfar Aza, Alumim, and Holit. Five Shaldag operators were killed in those first days.</w:t>
      </w:r>
    </w:p>
    <w:p>
      <w:pPr>
        <w:pStyle w:val="BodyText"/>
      </w:pPr>
      <w:r>
        <w:t xml:space="preserve">Sayeret Matkal teams moved south independently and fought in close quarters in several kibbutzim. Shayetet 13 elements moved to Zikim and the southern beaches. The Yamam, the Israeli police’s counter-terror unit, moved on its own initiative toward Ofakim and the festival site and became the first organized force inside both. Operators of all three battalions of the 89th Commando Brigade — Duvdevan, Maglan, and Egoz — along with the Counter-Terror School at Mitkan Adam, the airborne combat search-and-rescue Unit 669, and the IDF’s specialized canine unit, Oketz, all arrived under their own steam.</w:t>
      </w:r>
    </w:p>
    <w:p>
      <w:pPr>
        <w:pStyle w:val="BodyText"/>
      </w:pPr>
      <w:r>
        <w:t xml:space="preserve">Others came as ad-hoc teams. Groups of two, three, five reservists, most of them former operators of those same units, who knew one another from their service years, reached one another by private cell phone on a network that, outside the immediate envelope, was still functioning. They agreed on rendezvous points along the highways feeding south, and drove down from Tel Aviv, from Jerusalem, from the Galilee, with personal weapons and what they could carry. By midmorning, the envelope contained, alongside its trapped civilians and its overwhelmed standing forces, a thickening layer of operators from every premier and elite unit in the IDF’s order of battle, almost none of whom had been activated, mobilized, or ordered there. They had simply gone.</w:t>
      </w:r>
    </w:p>
    <w:p>
      <w:pPr>
        <w:pStyle w:val="BodyText"/>
      </w:pPr>
      <w:r>
        <w:t xml:space="preserve">By the evening of 7 October, some sixteen hours after the first drone struck the tower at Kissufim, most of the envelope was back under Israeli control. The fighting at the kibbutzim would continue, in some cases, for days. The recovery of bodies and hostages would continue for years. But the strategic question of who held the ground was settled by nightfall, and it was settled, in significant part, by units the Israeli military and police had spent the better part of a century building to do exactly the kind of thing they did that day, even when nobody in authority had told them to do it.</w:t>
      </w:r>
    </w:p>
    <w:p>
      <w:pPr>
        <w:pStyle w:val="BodyText"/>
      </w:pPr>
      <w:r>
        <w:t xml:space="preserve">None of this was accidental.</w:t>
      </w:r>
    </w:p>
    <w:p>
      <w:pPr>
        <w:pStyle w:val="BodyText"/>
      </w:pPr>
      <w:r>
        <w:t xml:space="preserve">The exceptional abilities of the units that converged on the Gaza envelope on the morning of 7 October, and, two and a half years later, on the dry lakebed in the Himyar Valley, were the product of a system that had been preparing itself, decade by decade, for precisely such events.</w:t>
      </w:r>
    </w:p>
    <w:bookmarkEnd w:id="27"/>
    <w:bookmarkStart w:id="29" w:name="the-argument"/>
    <w:p>
      <w:pPr>
        <w:pStyle w:val="Heading2"/>
      </w:pPr>
      <w:r>
        <w:t xml:space="preserve">0.3 The Argument</w:t>
      </w:r>
    </w:p>
    <w:p>
      <w:pPr>
        <w:pStyle w:val="FirstParagraph"/>
      </w:pPr>
      <w:r>
        <w:t xml:space="preserve">The two mornings have little in common.</w:t>
      </w:r>
    </w:p>
    <w:p>
      <w:pPr>
        <w:pStyle w:val="BodyText"/>
      </w:pPr>
      <w:r>
        <w:t xml:space="preserve">In western Anbar, in March 2026, Israel’s special operations community executed, with what appears to have been complete tactical and operational success, the kind of forward-deployment mission that almost no military in the world is built to perform. The base existed, the personnel were in place, the contingency airlift was on alert, the strike against the Iraqi patrol was delivered cleanly, the operational secret held until a foreign newspaper broke it. It is the picture of an institution working.</w:t>
      </w:r>
    </w:p>
    <w:p>
      <w:pPr>
        <w:pStyle w:val="BodyText"/>
      </w:pPr>
      <w:r>
        <w:t xml:space="preserve">In the Gaza envelope, in October 2023, almost every formal element of Israel’s territorial defense doctrine failed at once. The intelligence services missed the warning. The fence was breached at thirty places. The standing division was overrun before lunchtime. The chief of the general staff did not know what he was looking at until midafternoon. It is the picture of an institution failing.</w:t>
      </w:r>
    </w:p>
    <w:p>
      <w:pPr>
        <w:pStyle w:val="BodyText"/>
      </w:pPr>
      <w:r>
        <w:t xml:space="preserve">What links the two mornings is not the operational outcome. It is the behavior of the special operations community at the moment of operational pressure. Whether the system was succeeding or whether it was failing, the people in the SOF units did the same thing. They moved toward the problem on their own initiative, with their own resources, in formations that they themselves constructed in real time, applying skills that had been built into them over twenty-five years of training, war, and reciprocal apprenticeship.</w:t>
      </w:r>
    </w:p>
    <w:p>
      <w:pPr>
        <w:pStyle w:val="BodyText"/>
      </w:pPr>
      <w:r>
        <w:t xml:space="preserve">That capacity — the capacity to act competently and independently at the highest end of military skill, in coordinated formations, under conditions of catastrophic surprise as well as under conditions of optimal preparation — is the central thing this book is about. It did not arise by accident. It was not produced by any single founder, any single doctrine, any single moment. It is the product of a long, contingent, and often inadvertent institutional history that begins in the second decade of the twentieth century and runs without interruption to the present.</w:t>
      </w:r>
    </w:p>
    <w:p>
      <w:pPr>
        <w:pStyle w:val="BodyText"/>
      </w:pPr>
      <w:r>
        <w:t xml:space="preserve">The argument of the book has three parts.</w:t>
      </w:r>
    </w:p>
    <w:p>
      <w:pPr>
        <w:pStyle w:val="BodyText"/>
      </w:pPr>
      <w:r>
        <w:t xml:space="preserve">First, the abilities that Israel’s special operations forces brought to the wadi and to the envelope are the product of institutional conditions, not just of operational necessity. Other countries have faced equivalent or worse threats and have not built equivalent institutions. The Israeli case is exceptional because Israeli institutional conditions are exceptional. The book identifies what those conditions are and shows how they accumulated.</w:t>
      </w:r>
    </w:p>
    <w:p>
      <w:pPr>
        <w:pStyle w:val="BodyText"/>
      </w:pPr>
      <w:r>
        <w:t xml:space="preserve">Second, Israel did not invent the modern special operations unit. The British did, mostly during the Second World War, in a brief window during which a small number of unorthodox officers — David Stirling, Dudley Clarke, Orde Wingate, Roger Courtney, Ralph Bagnold, and the rest — built a new category of military formation more or less from scratch. The most consequential of these units was the Special Air Service. The SAS was disbanded at the end of the war, reconstituted within a year, and went on, through a process of doctrinal export, personnel transfer, and reputational diffusion, to become the template that almost every subsequent special operations force in the Western world was modeled on, including Israel’s. Sayeret Matkal’s motto is the SAS motto. The founder of Sayeret Matkal, Avraham Arnan, kept the Hebrew translation of Virginia Cowles’s biography of Stirling on his desk and gave a copy to every graduate of the unit’s selection course.</w:t>
      </w:r>
      <w:r>
        <w:rPr>
          <w:rStyle w:val="EndnoteReference"/>
        </w:rPr>
        <w:endnoteReference w:id="28"/>
      </w:r>
      <w:r>
        <w:t xml:space="preserve"> </w:t>
      </w:r>
      <w:r>
        <w:t xml:space="preserve">The relationship is not subtle. It is part of the institutional DNA.</w:t>
      </w:r>
    </w:p>
    <w:p>
      <w:pPr>
        <w:pStyle w:val="BodyText"/>
      </w:pPr>
      <w:r>
        <w:t xml:space="preserve">Third, the Israeli case offers something that the British, American, French, and Russian cases do not. It offers the full life cycle of a special operations community — from origin to maturity to global diffusion outward — in a single national setting, over a period short enough to be reconstructed from accessible sources, by an analyst who is not himself a member of the community he is studying. The Israelis did not borrow their SOF wholesale from anywhere; they built them. The institutional record of how they built them is uniquely available because the state itself is young, the records are increasingly open, the operators have, in growing numbers, decided to talk, and the contemporaneous press in Hebrew is one of the most active military presses in the world.</w:t>
      </w:r>
    </w:p>
    <w:p>
      <w:pPr>
        <w:pStyle w:val="BodyText"/>
      </w:pPr>
      <w:r>
        <w:t xml:space="preserve">Some terminology, before the argument. Throughout this book I use special operations to refer to a class of military activity — small-team, time-limited, high-risk missions carried out in conditions of operational secrecy, often behind enemy lines or in politically sensitive environments. Special operations forces I use to refer to the units institutionally designated, trained, and equipped to conduct such operations as their primary role. Both terms have technical definitions in the various military doctrines that this book discusses, and where definitional differences across militaries matter, I note them. The distinction worth keeping in mind from the start is that special operations have always existed; special operations forces, as a permanent institutional category, are a development of the past century.</w:t>
      </w:r>
    </w:p>
    <w:p>
      <w:pPr>
        <w:pStyle w:val="BodyText"/>
      </w:pPr>
      <w:r>
        <w:t xml:space="preserve">A fourth question lies behind these three, and it is one a reader is entitled to ask: why special operations forces, and not some other instrument? The Industrial Revolution and its successors did not produce a single new kind of military unit. They produced new aircraft, new armored formations, new electronic-warfare establishments, new strategic-missile commands, new cyber forces. Each of these, in its own moment, was a candidate response to the problem of technologically asymmetric threats. Why have small, expensive, manpower-intensive elite units proliferated alongside, and often in advance of, the platforms? The answer, I argue throughout this book, is in the economics of force generation. Technological revolutions in warfare are expensive to match in kind. A state that cannot afford to chase its adversary’s new tanks, new missiles, or new satellites has, in the short term, only two paths: surrender capability, or substitute. Special operations forces are the substitute. Built on human capital rather than capital equipment, they can be created in years rather than decades, recruited from a state’s existing population rather than developed through industrial mobilization, and reoriented to new missions far more rapidly than a new platform can be procured. They are, in short, the cheapest, fastest, and most flexible adaptation a military bureaucracy can make when its conventional answers stop working. The rise of contemporary SOF is, at the macro level, the story of this substitution — repeated, across many states, across many decades, in response to the same underlying problem.</w:t>
      </w:r>
    </w:p>
    <w:p>
      <w:pPr>
        <w:pStyle w:val="BodyText"/>
      </w:pPr>
      <w:r>
        <w:t xml:space="preserve">A second analytical strand runs underneath the substitution-and-amplification dynamic and is worth naming explicitly. The continuous-conflict environments that produce SOFs are, in Williamson Murray’s framing, the prototypical complex adaptive systems: systems in which adversaries learn from one another, in which the cumulative weight of small innovations compounds across decades into qualitative shifts, and in which institutional survival depends on the speed at which one’s own organization can absorb the lessons that the adversary has just demonstrated.[NEW-Murray] The point is not that warfare is uniquely complex — most large-scale social activity is — but that the post-Industrial-Revolution expansion of available military technologies, communications, and organizational forms drove the rate at which battlefield conditions change to a level that conventional bureaucracies, with their natural lag, cannot match. SOFs are one of the institutional answers militaries developed to that mismatch. They are small enough, autonomous enough, and culturally distinct enough from the conventional staff to adapt at the tempo the adaptive-systems environment imposes. The historical-institutionalist account I am developing is not in tension with the adaptation account; it is the structural mechanism by which adaptation, when it occurs in the SOF domain, becomes durable rather than transient.</w:t>
      </w:r>
    </w:p>
    <w:p>
      <w:pPr>
        <w:pStyle w:val="BodyText"/>
      </w:pPr>
      <w:r>
        <w:t xml:space="preserve">The substitution story explains only one half of the dynamic. The other half operates from the opposite side of the technological gap. States with technological advantages also need special operations units — not as a substitute for what they cannot afford, but as a means of expressing what they already have. New platforms cannot use themselves; new sensors cannot integrate themselves into ground action; new precision munitions cannot put themselves on target. The technologically dominant state requires small, highly trained formations to bring its advantages to bear on the operational ground — to designate targets for its aircraft, to seize objectives that its tanks cannot reach, to maintain the human contact with adversaries that its sensors describe only abstractly. Sayeret Matkal at Beirut Airport in 1968 illustrates this from the Israeli side; the SAS in the Western Desert in 1942 illustrated it from the British. The same kind of unit, in other words, can emerge from both sides of an asymmetric pairing — exploited by the weaker side to find vulnerabilities in the stronger, and deployed by the stronger to apply its capabilities where mass formations cannot. The proliferation of SOF since the Industrial Revolution reflects this two-sided dynamic, not a one-way substitution. Both the disadvantaged and the advantaged build them, for different reasons, in the same general historical window.</w:t>
      </w:r>
    </w:p>
    <w:bookmarkEnd w:id="29"/>
    <w:bookmarkStart w:id="31" w:name="Xbe24d165b5476e9bae33c2b7f4b19759871b2e5"/>
    <w:p>
      <w:pPr>
        <w:pStyle w:val="Heading2"/>
      </w:pPr>
      <w:r>
        <w:t xml:space="preserve">0.4 A Country at War as a Condition of Existence</w:t>
      </w:r>
    </w:p>
    <w:p>
      <w:pPr>
        <w:pStyle w:val="FirstParagraph"/>
      </w:pPr>
      <w:r>
        <w:t xml:space="preserve">The Israeli case begins from a fact that is empirical, not rhetorical. Since its founding on 14 May 1948, the State of Israel has been in continuous, uninterrupted, and overlapping conflict with at least one of its neighbors or with at least one substate adversary. There is no year in Israel’s seventy-eight-year existence in which it has not had to plan for a violent contingency on at least one of its borders, and there is no period of more than a few months in which Israeli soldiers and civilians have not been killed by hostile action.</w:t>
      </w:r>
    </w:p>
    <w:p>
      <w:pPr>
        <w:pStyle w:val="BodyText"/>
      </w:pPr>
      <w:r>
        <w:t xml:space="preserve">This is, among modern states, unusual. Comparable democracies have had decades of peace punctuated by short wars; Israel has had eight decades of war punctuated by short cessations. The wars themselves vary in intensity. The state has fought conventional inter-state wars (1948, 1956, 1967, 1973), a war of attrition (1969–1970), recurrent counterinsurgencies (the First Intifada from 1987 through 1993, the Second Intifada from 2000 through 2005), expeditionary conflicts (Lebanon 1982, Lebanon 2006), repeated campaigns against the armed factions in Gaza (2008–2009, 2012, 2014, 2021), the long, multi-front war that began on 7 October 2023 and that is, in significant respects, still being fought as I write these words in the spring of 2026, and a strategic air campaign against the Iranian nuclear program in the early months of 2026 in coordination with the United States.</w:t>
      </w:r>
      <w:r>
        <w:rPr>
          <w:rStyle w:val="EndnoteReference"/>
        </w:rPr>
        <w:endnoteReference w:id="30"/>
      </w:r>
    </w:p>
    <w:p>
      <w:pPr>
        <w:pStyle w:val="BodyText"/>
      </w:pPr>
      <w:r>
        <w:t xml:space="preserve">Between these named wars, Israeli forces have conducted thousands of operations — overt and covert, attributed and unattributed, retaliatory and preventive, behind enemy lines and inside the airspace of states formally at peace with Israel. The intelligence services and the special operations forces have conducted assassinations in Beirut, Tunis, Damascus, and Tehran; sabotage operations against ballistic-missile programs in Iran, Syria, and Yemen; raids and reconnaissance missions into Egypt, Jordan, Lebanon, and Iraq; hostage rescues from a French-built airport in Uganda in 1976 and from compounds in Gaza forty-eight years later; the destruction of two foreign nuclear reactors (Osirak in 1981, Deir el-Zor in 2007); and, in the months covered by the prologue to this book, the most ambitious sustained air operation in the history of the IDF.</w:t>
      </w:r>
    </w:p>
    <w:p>
      <w:pPr>
        <w:pStyle w:val="BodyText"/>
      </w:pPr>
      <w:r>
        <w:t xml:space="preserve">The point of the inventory is not the inventory. The point is that the Israeli state has had to organize its public life around the assumption that the next conflict is always within a planning horizon. Defense is not a sector of the Israeli economy or a topic in Israeli politics. It is the substrate on which the economy and the politics rest.</w:t>
      </w:r>
    </w:p>
    <w:p>
      <w:pPr>
        <w:pStyle w:val="BodyText"/>
      </w:pPr>
      <w:r>
        <w:t xml:space="preserve">The institutional consequences of this fact compound. A military that fights continuously has to learn continuously, because the costs of not learning are visible within a generation rather than a century. The IDF’s after-action review culture, which is unusually rigorous by international standards, is a direct product of the continuous-conflict condition. So is the IDF’s tolerance for, and frequent encouragement of, doctrinal heterodoxy at lower command levels — the officer who improvises in the field, in defiance of higher command guidance, is more often vindicated by results in the Israeli military than condemned by superiors. So is the speed at which the IDF promotes and rotates its officers, which has the side effect of forcing each generation of senior commanders to confront, during their own service lives, problems that the previous generation did not have to address.</w:t>
      </w:r>
    </w:p>
    <w:p>
      <w:pPr>
        <w:pStyle w:val="BodyText"/>
      </w:pPr>
      <w:r>
        <w:t xml:space="preserve">The continuous-conflict condition has also produced something that is harder to describe but that anyone who has spent time inside the IDF will recognize: an institutional informality that, in moments of acute pressure, gives way to a habit of decentralized action. The Shaldag company commander who scrambled his unit at 7:30 a.m. on 7 October without waiting for any order from above did what officers of his unit have been doing since the early 1970s. The Sayeret Matkal teams that moved south independently on the same morning did what their predecessors did in the days before the Six-Day War. The reservists from Maglan, Duvdevan, and Egoz who drove south on their own initiative did what reservists from the same units, twenty years earlier, did in the opening hours of the Second Intifada. The institution selects for officers and operators who will act in the absence of orders, and it tolerates the consequences when they are wrong, because the alternative — passive forces waiting for guidance from above — costs more in the Israeli context than independent action ever could.</w:t>
      </w:r>
    </w:p>
    <w:p>
      <w:pPr>
        <w:pStyle w:val="BodyText"/>
      </w:pPr>
      <w:r>
        <w:t xml:space="preserve">The Israeli defense establishment has codified this two-fold pressure since the early 1950s in a single canonical distinction that runs through every doctrinal debate the IDF has had, and that the book will return to repeatedly in the chapters that follow. The distinction is between bita’hon yesod — fundamental security, the readiness of the state for a full-scale war against the conventional armies of its neighbors — and bita’hon shotef — current security, the day-to-day defense of the population against infiltration, raiding, terror, and irregular pressure. The two missions impose different doctrines. Fundamental security demands large standing and reserve formations, heavy combined-arms doctrine, sustained mobilization capacity, and the strategic depth that the state’s geography does not provide. Current security demands small mobile formations capable of operating in the border zones at unpredictable hours against adversaries who are themselves small, mobile, and unpredictable. The two doctrines compete continuously for the same finite pool of officers, soldiers, training time, equipment, and political attention. As the historian Zeev Drori has observed, this is the perennial dilemma the IDF’s commanders have wrestled with since the institution’s founding — and</w:t>
      </w:r>
      <w:r>
        <w:t xml:space="preserve"> </w:t>
      </w:r>
      <w:r>
        <w:t xml:space="preserve">“</w:t>
      </w:r>
      <w:r>
        <w:t xml:space="preserve">since the early 1950s, with the establishment of Unit 101 under Sharon’s command, the offensive disposition prevailed over the preventive methods that had relied on border patrols, observation posts, ambushes, and the pursuit of infiltrators.</w:t>
      </w:r>
      <w:r>
        <w:t xml:space="preserve">”</w:t>
      </w:r>
      <w:r>
        <w:t xml:space="preserve">[NEW-Drori] The Israeli SOF community is, in one important reading that runs through this book, the institutional bridge between the two security regimes: units small enough to be assigned to current-security missions, doctrinally professional enough to be assigned to fundamental-security missions, and culturally distinct enough from the conventional combined-arms IDF that they can move between the two registers without being captured by either.</w:t>
      </w:r>
    </w:p>
    <w:p>
      <w:pPr>
        <w:pStyle w:val="BodyText"/>
      </w:pPr>
      <w:r>
        <w:t xml:space="preserve">This is the inheritance of perpetual conflict. It is not the only thing that made the Israeli SOF community what it is. But it is the precondition for everything that follows.</w:t>
      </w:r>
    </w:p>
    <w:bookmarkEnd w:id="31"/>
    <w:bookmarkStart w:id="33" w:name="the-nation-in-arms"/>
    <w:p>
      <w:pPr>
        <w:pStyle w:val="Heading2"/>
      </w:pPr>
      <w:r>
        <w:t xml:space="preserve">0.5 The Nation in Arms</w:t>
      </w:r>
    </w:p>
    <w:p>
      <w:pPr>
        <w:pStyle w:val="FirstParagraph"/>
      </w:pPr>
      <w:r>
        <w:t xml:space="preserve">Continuous conflict produced a particular kind of military, and that military, in turn, produced a particular kind of society.</w:t>
      </w:r>
    </w:p>
    <w:p>
      <w:pPr>
        <w:pStyle w:val="BodyText"/>
      </w:pPr>
      <w:r>
        <w:t xml:space="preserve">The principle of universal conscription, established at the founding of the state by the Defense Service Law of 1949 and refined in every decade since, requires that Israeli citizens — Jewish men, Jewish women, and Druze men, with significant carve-outs that I will come to in a moment — serve in the Israel Defense Forces from the age of eighteen. Men serve, at the time of writing, for thirty-two months. Women serve for twenty-four. After release from active duty, men and many women remain in the reserves until their forties.</w:t>
      </w:r>
      <w:r>
        <w:rPr>
          <w:rStyle w:val="EndnoteReference"/>
        </w:rPr>
        <w:endnoteReference w:id="32"/>
      </w:r>
    </w:p>
    <w:p>
      <w:pPr>
        <w:pStyle w:val="BodyText"/>
      </w:pPr>
      <w:r>
        <w:t xml:space="preserve">What this means, in practice, is that almost every Jewish Israeli of secular or modern Orthodox background, and almost every Druze man, has at the age of eighteen the same experience as almost every other person of their age cohort: the medical screening, the assignment to a unit and a corps, the basic training, the army base, the friends-for-life, the operations whose details they cannot tell their families about, the wedding photographs in uniform, the funeral of a friend, the reserves call-ups that arrive at inconvenient moments for the rest of one’s life.</w:t>
      </w:r>
    </w:p>
    <w:p>
      <w:pPr>
        <w:pStyle w:val="BodyText"/>
      </w:pPr>
      <w:r>
        <w:t xml:space="preserve">The IDF is, in this sense, the most important social institution in the country. It is the school that almost everyone, at some level, attends. It is the first place where Mizrahi Israelis from peripheral development towns meet Ashkenazi Israelis from the kibbutzim, where Israeli-born youth meet recent immigrants from Russia and Ethiopia and France and the United States, where the secular meet the modern Orthodox, where the children of the elite meet the children of the working class, where, increasingly, the children of Russian-speaking immigrants of the 1990s meet the children of Soviet-era immigrants from a generation earlier. The integration is incomplete — there are units that are markedly more Ashkenazi-secular than the country as a whole, and there are corps that are markedly more Mizrahi than the country as a whole — but by international comparison it is unusual.</w:t>
      </w:r>
    </w:p>
    <w:p>
      <w:pPr>
        <w:pStyle w:val="BodyText"/>
      </w:pPr>
      <w:r>
        <w:t xml:space="preserve">Within universal service, there is a steep prestige hierarchy. The Israeli high school graduate of average ambition, who knows the system, knows which units sit at the top of the hierarchy before he or she begins his or her senior year. The pilot’s course of the Israeli Air Force; the operator’s course of Sayeret Matkal; the operator’s course of Shayetet 13; the operator’s course of Shaldag; the operator’s course of Unit 669; the operator’s courses of the brigade reconnaissance battalions of the Paratroopers, Golani, Givati, and Nahal; the academic-technical course at Talpiot and its younger counterpart Havatzalot; the cyber and signals-intelligence units of Unit 8200; the more recent commando battalions of the 89th Commando Brigade — Duvdevan, Maglan, Egoz, Rimon; and the elite paratrooper formations — are at the top of the hierarchy in roughly that order. There is an entire industry of preparatory courses, run mostly by former operators of these same units, that train high school students for the multi-day selection tryouts — the gibush — that determine who enters which pipeline.</w:t>
      </w:r>
    </w:p>
    <w:p>
      <w:pPr>
        <w:pStyle w:val="BodyText"/>
      </w:pPr>
      <w:r>
        <w:t xml:space="preserve">The motivation to compete is not, primarily, financial. Israeli military pay is modest. It is not, primarily, vocational; few of these graduates will spend their careers in uniform. The motivation is social. The graduate of a top SOF unit who served as an officer or NCO, who saw combat, who is known to have done what is done in those units, walks into Israeli civilian life with a credential that does for him or her in the Israeli labor market and the Israeli marriage market what graduation from a selective American university with a major in a high-prestige hard field does for an American graduate. The institutional rituals are different — the Israeli network is organized around the unit alumni association rather than the college class — but the function is recognizable. Selection to a top SOF unit, in Israel, is the local equivalent of admission to Harvard and a major in neuroscience.</w:t>
      </w:r>
    </w:p>
    <w:p>
      <w:pPr>
        <w:pStyle w:val="BodyText"/>
      </w:pPr>
      <w:r>
        <w:t xml:space="preserve">The comparison is imperfect, and I do not want to push it too far. The American Harvard graduate has been selected, primarily, on a basis of academic measurement and family advantage. The Israeli Sayeret Matkal graduate has been selected, primarily, on a basis of physical capacity, psychological resilience, technical aptitude, and demonstrated ability to function in a team under acute stress. Different traits, different selection mechanisms, different signaling content. But the analogy holds in one respect that matters for the argument of this book: in both societies, an eighteen-year-old who succeeds in passing a famously demanding selection process at the threshold of adulthood is marked, in the perception of every employer, every prospective partner, and every government, for the rest of his or her life.</w:t>
      </w:r>
    </w:p>
    <w:p>
      <w:pPr>
        <w:pStyle w:val="BodyText"/>
      </w:pPr>
      <w:r>
        <w:t xml:space="preserve">The composition of the SOF community, accordingly, is the composition of the broad population of high-ambition Israeli eighteen-year-olds. It draws from secular kibbutz culture, which contributed disproportionately to the founding generation and still contributes more than its demographic share. It draws from urban professional families in Tel Aviv, Jerusalem, and Haifa. It draws from the modern Orthodox movement, whose youth, since the 1990s, have produced a generation of officers in numbers that surprised the secular military establishment of the 1980s. It draws from the children of immigrants from the former Soviet Union, whose elite mathematical and technical-aptitude training has reshaped Unit 8200 and the other technological formations. It draws from the Druze community, whose representation in the elite infantry has been steady for sixty years. It draws from the children of working-class Mizrahi families in the development towns of the south and the periphery of the north, whose pathway into the SOF community was slower historically but is now well established. It draws, increasingly, from the Bedouin communities of the Negev and the Galilee, and from the children of the Ethiopian Israeli families who arrived in the 1980s and 1990s.</w:t>
      </w:r>
    </w:p>
    <w:p>
      <w:pPr>
        <w:pStyle w:val="BodyText"/>
      </w:pPr>
      <w:r>
        <w:t xml:space="preserve">It does not draw from the ultra-Orthodox community, whose religious leadership has, since the founding of the state, secured exemptions from military service that have been among the most politically contested features of Israeli public life and that, at the moment I am writing, are again at the center of a constitutional crisis. It does not draw, in any significant numbers, from the Israeli Arab citizenry, who are not conscripted and whose voluntary service is rare. And it draws somewhat less from the broad center of the Israeli middle class than the universal-conscription framework might suggest, because the gibush tryouts, the preparatory courses, the physical conditioning, and the test-taking strategies all favor the families and communities that already know how the system works.</w:t>
      </w:r>
    </w:p>
    <w:p>
      <w:pPr>
        <w:pStyle w:val="BodyText"/>
      </w:pPr>
      <w:r>
        <w:t xml:space="preserve">I note the exclusions because honesty requires it. The Israeli SOF community is not a perfect cross-section of Israeli society, and the gap between the universal-conscription ideal and the realities of differential service is one of the open wounds of Israeli politics. But the gap, in the comparative perspective that this book takes, is small. No other country with an SOF community of comparable size and sophistication recruits from anything like the social breadth that Israel does. The British SAS recruits, almost entirely, from soldiers who have already chosen a career in the British Army. The American JSOC units recruit from soldiers who have already chosen a career in the United States military. The French and the Russians do the same. Only Israel takes its top operators from the general population of eighteen-year-old citizens, after a competitive tryout, and only Israel has been doing so, continuously, for seventy-five years.</w:t>
      </w:r>
    </w:p>
    <w:p>
      <w:pPr>
        <w:pStyle w:val="BodyText"/>
      </w:pPr>
      <w:r>
        <w:t xml:space="preserve">That recruitment pattern is the second precondition for what we saw in the wadi and in the envelope. The Israeli SOF community is unusually deep because the pool it draws from is unusually wide. The operator who scrambled his Shaldag company on the morning of 7 October was, almost certainly, the son of a teacher or an accountant or a kibbutz farmer, who had gone through the same eighteen-year-old’s gibush that twenty thousand of his peers had also gone through, and who had emerged at the top because the system that selects operators is wide enough and ruthless enough to find the people who have what it takes to do the thing that must be done.</w:t>
      </w:r>
    </w:p>
    <w:bookmarkEnd w:id="33"/>
    <w:bookmarkStart w:id="39" w:name="X29b272f0efdcc3e959d24000522e79ef6b150ad"/>
    <w:p>
      <w:pPr>
        <w:pStyle w:val="Heading2"/>
      </w:pPr>
      <w:r>
        <w:t xml:space="preserve">0.6 What the Israeli Case Teaches Us About the Global Rise of SOF</w:t>
      </w:r>
    </w:p>
    <w:p>
      <w:pPr>
        <w:pStyle w:val="FirstParagraph"/>
      </w:pPr>
      <w:r>
        <w:t xml:space="preserve">The story I have just told is Israeli. The institutions are Israeli, the conditions are Israeli, the recruitment pool is Israeli. None of it is exportable as a model. No state in the world has Israel’s perpetual-conflict condition; no state in the world has Israel’s universal-conscription tradition; no state in the world has Israel’s social organization around military service. The British analyst who tries to use Israeli lessons to think about the future of the SAS, the American analyst who tries to use Israeli lessons to think about the future of JSOC, the French analyst who tries to use Israeli lessons to think about the future of the Commandement des Opérations Spéciales — each runs immediately into the limit of comparability.</w:t>
      </w:r>
    </w:p>
    <w:p>
      <w:pPr>
        <w:pStyle w:val="BodyText"/>
      </w:pPr>
      <w:r>
        <w:t xml:space="preserve">So why use Israel at all?</w:t>
      </w:r>
    </w:p>
    <w:p>
      <w:pPr>
        <w:pStyle w:val="BodyText"/>
      </w:pPr>
      <w:r>
        <w:t xml:space="preserve">The answer is that Israel offers something the comparative cases do not. It offers the cleanest available view of the underlying causal structure of the global rise of SOF, because it offers the full institutional life cycle — origin, professionalization, expansion, diffusion outward — in a single national setting, over a period short enough to be reconstructed from primary sources, in a state whose archival regime is, by international standards, increasingly open, and whose press is one of the most active military presses in the world.</w:t>
      </w:r>
    </w:p>
    <w:p>
      <w:pPr>
        <w:pStyle w:val="BodyText"/>
      </w:pPr>
      <w:r>
        <w:t xml:space="preserve">A brief note on chronology is in order, because the SAS-template story can mislead the reader into thinking that the modern SOF unit appeared ex nihilo in the Egyptian desert in 1941. It did not. Two prior moments deserve mention. The Second Boer War of 1899–1902 introduced into English the Afrikaans word Kommando (a unit under command), gave the British military its first sustained encounter with an irregular adversary that defeated conventional formations through mobility, marksmanship, and local knowledge, and produced two specific institutional precursors: Aubrey Wools-Sampson’s clandestine night-reconnaissance teams paid out of his own pocket and recruited from local African scouts, and Simon Joseph Fraser’s two companies of Scottish Highlanders deployed to South Africa with the ghillie suit — the heavy-foliage camouflage uniform whose military adoption traces to that deployment.[NEW-Boer] A decade and a half later, in the late summer of 1915, Captain Willy Martin Rohr of the German Army developed, with the cooperation of an experimental flamethrower unit, the small-team infiltration tactics that would become the basis of the Sturmtruppen — the Shock Troops — whose deployment in 1917 and 1918 broke the trench-warfare stalemate and supplied the first explicit institutional ancestor of modern small-unit infiltration doctrine.[NEW-Rohr] Neither the Boer War irregulars nor Rohr’s Shock Troops were SOFs in the modern institutional sense. But they were the proximate inheritances on which Stirling, Wingate, Bagnold, and Clarke built in the 1940s — and a careful account of the genealogy of modern SOFs cannot start with the SAS as if the SAS had been invented in a vacuum.</w:t>
      </w:r>
    </w:p>
    <w:p>
      <w:pPr>
        <w:pStyle w:val="BodyText"/>
      </w:pPr>
      <w:r>
        <w:t xml:space="preserve">What do I mean by the global rise of SOF? At the end of the Second World War, almost every state that had created commando-style formations during the war disbanded them. The SAS was disbanded in October 1945. The Special Boat Service was disbanded. The OSS was broken up. The American Rangers were stood down. The German Brandenburgers were dissolved with the German military. The Italian Decima Flottiglia MAS was dismantled. The Japanese Giretsu Kuteitai were dissolved with the Imperial Japanese forces. The disbandments were not coincidental. Conventional military leadership, in every country that had stood up these units, regarded them with suspicion, considered them a luxury that peacetime budgets could not justify, and saw their unconventional doctrines as a threat to the orderly running of large conventional formations.</w:t>
      </w:r>
      <w:r>
        <w:rPr>
          <w:rStyle w:val="EndnoteReference"/>
        </w:rPr>
        <w:endnoteReference w:id="34"/>
      </w:r>
    </w:p>
    <w:p>
      <w:pPr>
        <w:pStyle w:val="BodyText"/>
      </w:pPr>
      <w:r>
        <w:t xml:space="preserve">Yet within a year of the SAS’s disbandment, the British reconstituted it as a Territorial Army formation. Within five years, it had been redeployed to fight the Malayan Emergency. Within ten years, Australia and New Zealand had built their own SAS regiments using the British template.</w:t>
      </w:r>
      <w:r>
        <w:rPr>
          <w:rStyle w:val="EndnoteReference"/>
        </w:rPr>
        <w:endnoteReference w:id="35"/>
      </w:r>
      <w:r>
        <w:t xml:space="preserve"> </w:t>
      </w:r>
      <w:r>
        <w:t xml:space="preserve">Within twenty years, an American officer who had served on exchange with 22 SAS in Malaya had begun the long campaign to build the unit that became, in 1977, Delta Force. Within thirty years, every serious military in the world had built a unit modeled, more or less directly, on the SAS, on the OSS-derived Special Forces of the United States Army, or on one of the smaller WWII commando lineages.</w:t>
      </w:r>
    </w:p>
    <w:p>
      <w:pPr>
        <w:pStyle w:val="BodyText"/>
      </w:pPr>
      <w:r>
        <w:t xml:space="preserve">The trajectory is what I will call, throughout this book, the global rise of SOF, and it is the central historical fact that the book seeks to explain.</w:t>
      </w:r>
    </w:p>
    <w:p>
      <w:pPr>
        <w:pStyle w:val="BodyText"/>
      </w:pPr>
      <w:r>
        <w:t xml:space="preserve">Three standard explanations exist in the scholarly literature, and each is partly correct.</w:t>
      </w:r>
    </w:p>
    <w:p>
      <w:pPr>
        <w:pStyle w:val="BodyText"/>
      </w:pPr>
      <w:r>
        <w:t xml:space="preserve">The first is operational necessity. The post-war environment, the argument runs, was dominated by insurgencies, decolonization wars, the rise of substate terrorism in the 1960s and 1970s, the Cold War’s many proxy conflicts, and, eventually, the long American campaigns in Iraq and Afghanistan. Conventional militaries, designed for industrial war between mass armies, were ill-suited to these conflicts. SOF, which had been designed for irregular operations in the first place, were better fitted to the post-1945 threat environment. They were reconstituted because the threats demanded them.</w:t>
      </w:r>
    </w:p>
    <w:p>
      <w:pPr>
        <w:pStyle w:val="BodyText"/>
      </w:pPr>
      <w:r>
        <w:t xml:space="preserve">This is true as far as it goes. But it does not explain the pattern. Many states faced equivalent or worse threat environments without building equivalent SOF communities. The Soviet Union faced a brutal Afghan insurgency in the 1980s, and its response, in SOF terms, was to expand and diversify the Spetsnaz — but not to build anything approaching the institutional density of the Anglo-American community. The French faced two of the most demanding counterinsurgencies of the post-war period, in Indochina and Algeria, and the units that emerged from those campaigns were marginalized in the French military for decades afterward. The Indian military faced Naxalite, Kashmiri, and northeastern insurgencies for half a century without building a unit community of comparable scope and depth. Operational necessity opened windows. It did not, by itself, determine which states would walk through them.</w:t>
      </w:r>
    </w:p>
    <w:p>
      <w:pPr>
        <w:pStyle w:val="BodyText"/>
      </w:pPr>
      <w:r>
        <w:t xml:space="preserve">The second standard explanation is technology. The post-war decades brought the rotary-wing helicopter, the personal radio, the assault rifle, the lightweight optical sight, night-vision equipment, the satellite communications terminal, the laser designator, the man-portable surface-to-air missile, the precision-guided munition, and finally the drone. Each of these technologies favored small, technically proficient formations operating in coordination with broader military and intelligence assets. SOF, the argument runs, are what you get when these technologies are integrated into ground-force employment.</w:t>
      </w:r>
    </w:p>
    <w:p>
      <w:pPr>
        <w:pStyle w:val="BodyText"/>
      </w:pPr>
      <w:r>
        <w:t xml:space="preserve">This too is partly true. The SOF community, in every state that has one, is technology-intensive. Sayeret Matkal’s operators in the desert near the Syrian reactor in 2007 carried equipment that did not exist when the unit was founded in 1957; the unit’s operational profile in 2026 is unrecognizable from the perspective of 1967. But the technological explanation cannot account for the timing of SOF expansion across different states, or for the fact that the leading SOF communities developed their core doctrines before the technologies arrived, and then adapted the technologies to existing doctrine rather than the reverse.</w:t>
      </w:r>
    </w:p>
    <w:p>
      <w:pPr>
        <w:pStyle w:val="BodyText"/>
      </w:pPr>
      <w:r>
        <w:t xml:space="preserve">The third standard explanation is diffusion. The SAS, the argument runs, was the most successful WWII commando lineage, and it served as the template that other militaries adopted. Australian SAS, New Zealand SAS, the French 1st Marine Infantry Parachute Regiment (which traces its lineage to the French SAS squadrons formed under Stirling in 1942), the American Delta Force (whose founder Charles Beckwith served on exchange with 22 SAS during the Malayan Emergency), and Sayeret Matkal (whose founder Avraham Arnan distributed Cowles’s biography of Stirling to his graduates) all derive, in part, from the SAS template.</w:t>
      </w:r>
      <w:r>
        <w:rPr>
          <w:rStyle w:val="EndnoteReference"/>
        </w:rPr>
        <w:endnoteReference w:id="36"/>
      </w:r>
    </w:p>
    <w:p>
      <w:pPr>
        <w:pStyle w:val="BodyText"/>
      </w:pPr>
      <w:r>
        <w:t xml:space="preserve">This explanation is the closest to correct, in my view, but it requires careful handling. Diffusion is not, as the term sometimes suggests, the spread of a fixed object from a center to a periphery. It is the selective transmission of practices, doctrines, organizational forms, and reputations across a network of officers, ministries, training relationships, and published accounts. The SAS template did not arrive in Tel Aviv, Canberra, or Fort Bragg as a manual. It arrived as an example, refracted through the personal histories of officers who had encountered it, the published accounts of journalists who had written about it, and the institutional translation mechanisms that allowed Sayeret Matkal in 1957, the Australian SASR in 1964, and Delta Force in 1977 to build something that resembled the SAS while being shaped by the local environments into which the template was inserted.</w:t>
      </w:r>
    </w:p>
    <w:p>
      <w:pPr>
        <w:pStyle w:val="BodyText"/>
      </w:pPr>
      <w:r>
        <w:t xml:space="preserve">The argument of this book is that operational necessity, technological enablement, and diffusion all matter, but that they operate through a fourth and underlying causal structure: the structure of historical institutionalism. SOF expansion is, in the language of Capoccia and Kelemen, a story of critical junctures — moments at which institutional choice is unusually wide, in which entrepreneurial actors can build durable units that would not have been possible a year earlier or a year later.</w:t>
      </w:r>
      <w:r>
        <w:rPr>
          <w:rStyle w:val="EndnoteReference"/>
        </w:rPr>
        <w:endnoteReference w:id="37"/>
      </w:r>
      <w:r>
        <w:t xml:space="preserve"> </w:t>
      </w:r>
      <w:r>
        <w:t xml:space="preserve">The broader framework — the typology of displacement, layering, drift, and conversion through which institutional change unfolds in non-juncture periods — is the one James Mahoney and Kathleen Thelen have developed; the rise of SOF, as I argue across the chapters that follow, is the kind of phenomenon their framework was designed to explain.[NEW-MahoneyThelen] The Second World War was such a juncture. The early years of the Israeli state were another. The post-1973 reconstruction of the IDF was a third. The post-9/11 expansion of American SOF was a fourth.</w:t>
      </w:r>
    </w:p>
    <w:p>
      <w:pPr>
        <w:pStyle w:val="BodyText"/>
      </w:pPr>
      <w:r>
        <w:t xml:space="preserve">Two further bodies of scholarship inform the argument and require explicit acknowledgment at the outset. The first is the political-science literature on elite military units and their relationship to civil authority, which Eliot Cohen’s Commandos and Politicians (1978) established as a field and which has been extended in important ways by Anthony King’s</w:t>
      </w:r>
      <w:r>
        <w:t xml:space="preserve"> </w:t>
      </w:r>
      <w:r>
        <w:t xml:space="preserve">“</w:t>
      </w:r>
      <w:r>
        <w:t xml:space="preserve">The Special Air Service and the Concentration of Military Power</w:t>
      </w:r>
      <w:r>
        <w:t xml:space="preserve">”</w:t>
      </w:r>
      <w:r>
        <w:t xml:space="preserve"> </w:t>
      </w:r>
      <w:r>
        <w:t xml:space="preserve">(2009). Cohen’s account of how elite units in democratic states accumulate political weight that is disproportionate to their numerical size — and of the institutional pathologies that follow — supplies the analytical vocabulary for the recurring tension, traced throughout this book, between Israel’s SOF community and the conventional IDF chain of command.[NEW-Cohen] King’s account of the SAS as a deliberate British concentration of military power into a culturally distinct elite formation — and of the consequences for the broader British Army’s prestige economy — supplies the comparative reference point for the Sayeret Matkal story.[NEW-King] The second is Williamson Murray’s broader treatment of military adaptation as the structural mechanism by which militaries that survive in continuous conflict environments do so; Murray’s framework, introduced above in §3, complements the historical-institutionalist account and supplies its operational counterpart.</w:t>
      </w:r>
    </w:p>
    <w:p>
      <w:pPr>
        <w:pStyle w:val="BodyText"/>
      </w:pPr>
      <w:r>
        <w:t xml:space="preserve">Each critical juncture is preceded by a set of permissive conditions, in Soifer’s sense — conditions that make institutional innovation possible without by themselves causing it — and accompanied by productive conditions, conditions that determine which forms the innovation takes when it occurs.</w:t>
      </w:r>
      <w:r>
        <w:rPr>
          <w:rStyle w:val="EndnoteReference"/>
        </w:rPr>
        <w:endnoteReference w:id="38"/>
      </w:r>
      <w:r>
        <w:t xml:space="preserve"> </w:t>
      </w:r>
      <w:r>
        <w:t xml:space="preserve">In the Israeli case, the permissive condition for the founding of Sayeret Matkal was the operational frustration of the late 1950s, when the conventional doctrines of the post-Sinai War IDF could not provide the intelligence that the General Staff required for its emerging policy of cross-border deterrence. The productive condition was the example of the SAS, transmitted through Avraham Arnan’s reading of Cowles, alongside the parallel transmission, through more direct institutional channels, of the SOE’s intelligence-collection doctrines that the Yishuv’s leadership had absorbed in the 1941–1945 collaboration with the British.</w:t>
      </w:r>
    </w:p>
    <w:p>
      <w:pPr>
        <w:pStyle w:val="BodyText"/>
      </w:pPr>
      <w:r>
        <w:t xml:space="preserve">Critical junctures, however, do not build units on their own. A juncture opens a window; somebody has to walk through. In every case of SOF formation that this book examines, the institutional opportunity was exploited by a specific actor — what the institutional-entrepreneurship literature calls a divergent change initiator who not only proposes the new form but who actively participates in bringing it into being.[NEW] Yitzhak Sadeh, in the Arab Revolt of 1936–1939, turned the Yishuv’s improvised field companies into the doctrinal kernel of what would later become the Palmach. Avraham Arnan, in the intelligence vacuum of the mid-1950s, used a window that opened with the helicopter and the Sinai War’s reconnaissance failures to build Sayeret Matkal. Muki Betser, in the institutional rubble of the post–Yom Kippur reconstruction of 1974, used a window that opened with the IAF’s discovery that it had no organic ground force to build Shaldag. The opportunity, in each case, was bureaucratic before it was operational: it appeared at the moment at which the conventional military had no alternative answer to a new problem and at which an unorthodox officer was positioned to insist that he did. The three founders and the conditions that made their interventions possible are the structural skeleton of the chapters that follow.</w:t>
      </w:r>
    </w:p>
    <w:p>
      <w:pPr>
        <w:pStyle w:val="BodyText"/>
      </w:pPr>
      <w:r>
        <w:t xml:space="preserve">This is what historical institutionalism, applied carefully to the SOF problem, gives us. It does not deny operational necessity, or technological enablement, or diffusion. It locates them within a causal structure that explains the cross-national pattern: why some states with equivalent operational pressures and equivalent access to technologies and equivalent exposure to the SAS template built strong SOF communities, while others did not. The answer is institutional. It is the answer this book defends, in detail, across the chapters that follow.</w:t>
      </w:r>
    </w:p>
    <w:p>
      <w:pPr>
        <w:pStyle w:val="BodyText"/>
      </w:pPr>
      <w:r>
        <w:t xml:space="preserve">The Israeli case is the test case not because Israel is normal — it is not — but because Israel is the extreme value on each of the variables that historical institutionalism predicts will matter. Maximum operational necessity, sustained over the entire institutional life of the state. Maximum institutional permissiveness, since a young army that had not yet entrenched its conventional traditions in 1948 was unusually open to unconventional innovations. Maximum social organization around military service, through universal conscription and the prestige hierarchy described in the previous section. If institutional conditions matter, the Israeli case is where we should see them matter most strongly. And they do.</w:t>
      </w:r>
    </w:p>
    <w:bookmarkEnd w:id="39"/>
    <w:bookmarkStart w:id="41" w:name="Xbc1289184ba32c1391081321f2760a42b05c804"/>
    <w:p>
      <w:pPr>
        <w:pStyle w:val="Heading2"/>
      </w:pPr>
      <w:r>
        <w:t xml:space="preserve">0.7 Sources, Method, and the Outsider’s Position</w:t>
      </w:r>
    </w:p>
    <w:p>
      <w:pPr>
        <w:pStyle w:val="FirstParagraph"/>
      </w:pPr>
      <w:r>
        <w:t xml:space="preserve">I have no ties to Israel’s special operations community. I have served, like every Israeli of my generation, in the IDF; my own service was in the medical corps during the First Gulf War, and what I know about Sayeret Matkal, Shaldag, or Shayetet 13, I know as an outsider. I have not requested access to classified material. I have not, with one or two narrow exceptions, interviewed serving officers. I do not draw on documents that were leaked or shared outside official channels.</w:t>
      </w:r>
    </w:p>
    <w:p>
      <w:pPr>
        <w:pStyle w:val="BodyText"/>
      </w:pPr>
      <w:r>
        <w:t xml:space="preserve">The book draws, instead, on the large and increasingly accessible body of public sources that the IDF, the Israeli press, the Israeli academy, and a generation of retired operators have generated over the past three decades. The principal categories are these.</w:t>
      </w:r>
    </w:p>
    <w:p>
      <w:pPr>
        <w:pStyle w:val="BodyText"/>
      </w:pPr>
      <w:r>
        <w:t xml:space="preserve">First, declassified archival material from the IDF and Defense Establishment Archive, the Haganah Historical Archive, the Yad Tabenkin archive of the kibbutz movement, the Israel State Archives, and, for the British connection, the National Archives at Kew, including the SOE files released since the 1990s. The Israeli archival regime is uneven — some units are well documented, others are nearly opaque — but it is improving year over year, and the pace of declassification accelerated after 2010.</w:t>
      </w:r>
    </w:p>
    <w:p>
      <w:pPr>
        <w:pStyle w:val="BodyText"/>
      </w:pPr>
      <w:r>
        <w:t xml:space="preserve">Second, the contemporaneous Hebrew-language press. The Israeli press has covered the IDF, including the SOF community, with an intensity that has no parallel in any other country with an active SOF establishment. The state-licensed military press — Bamahane, the IDF weekly, and Maarachot, the journal of the IDF’s publishing house — has been publishing on these units since the 1950s, often with material that has been declassified specifically for press purposes. The civilian Hebrew-language press, much of it now accessible through the Hebrew Press Historical Archive at the National Library, has reported on operations and personalities since the 1920s. The depth of the press archive is one of the most distinctive features of the Israeli case.</w:t>
      </w:r>
    </w:p>
    <w:p>
      <w:pPr>
        <w:pStyle w:val="BodyText"/>
      </w:pPr>
      <w:r>
        <w:t xml:space="preserve">Third, memoirs, biographies, and authorized unit histories. Israeli operators retire young, write often, and, by international standards, write candidly. The retired commander who publishes his memoir at age fifty-five, after twenty-five years of service, is a standard feature of the Israeli book market. The book-length unit history, often written by a journalist working with a former unit commander, is another. These sources have to be read carefully — they overstate successes, understate failures, and reflect the institutional politics of the moment in which they were written — but they are voluminous, increasingly available in digital form, and increasingly cross-checkable against one another.</w:t>
      </w:r>
    </w:p>
    <w:p>
      <w:pPr>
        <w:pStyle w:val="BodyText"/>
      </w:pPr>
      <w:r>
        <w:t xml:space="preserve">Fourth, video and audio archives. Israel’s Ministry of Defense, the State Archives, the National Library of Israel, the IDF Spokesperson’s Unit, and several private archival projects have, in the past decade, uploaded thousands of hours of contemporaneous footage and operator interviews to publicly accessible platforms. Operator interviews recorded shortly after the events in question, often with reconstructed maps, have become an unusually rich source. I have transcribed and coded several thousand hours of this material for the project.</w:t>
      </w:r>
    </w:p>
    <w:p>
      <w:pPr>
        <w:pStyle w:val="BodyText"/>
      </w:pPr>
      <w:r>
        <w:t xml:space="preserve">Fifth, the investigative-journalism programs of Israeli television, especially Uvda (Fact) and its peers on Channel 12 and on the public broadcaster Kan. These programs have, over the past twenty years, produced a body of footage and interview material that, by the standards of comparative SOF studies, is exceptional.</w:t>
      </w:r>
    </w:p>
    <w:p>
      <w:pPr>
        <w:pStyle w:val="BodyText"/>
      </w:pPr>
      <w:r>
        <w:t xml:space="preserve">Sixth, the secondary scholarly literature in Hebrew and English, including the multi-volume works of Yoav Gelber on the Jewish Brigade and on the Israeli intelligence services, Zehava Ostfeld on the founding of the IDF, Uri Milstein on Unit 101 and the paratroopers and Sayeret Shaked, Mike Eldar on the naval commandos and on Sayeret Shaked, Moshe Zonder and Avner Shur on Sayeret Matkal and Avraham Arnan, Raphael Marcus on Israeli military innovation and adaptation under fire — the most recent monograph that directly addresses the adaptation framework applied to the IDF — and the journalism of Ronen Bergman, Yossi Melman, Amos Harel, and others.</w:t>
      </w:r>
      <w:r>
        <w:rPr>
          <w:rStyle w:val="EndnoteReference"/>
        </w:rPr>
        <w:endnoteReference w:id="40"/>
      </w:r>
    </w:p>
    <w:p>
      <w:pPr>
        <w:pStyle w:val="BodyText"/>
      </w:pPr>
      <w:r>
        <w:t xml:space="preserve">A relational database that I have built specifically for this project sits underneath the book. It tracks units, operations, individuals, dates, locations, equipment, casualties, and source citations. The full database, with source links and quotations under fair-use standards, is hosted as a dynamic online appendix and is open to corrections, additions, and challenges from readers. I take the view that the study of clandestine institutions from outside benefits from radical methodological transparency, and the appendix is the form that transparency takes.</w:t>
      </w:r>
    </w:p>
    <w:p>
      <w:pPr>
        <w:pStyle w:val="BodyText"/>
      </w:pPr>
      <w:r>
        <w:t xml:space="preserve">The methodological hazards are real. Official accounts overstate successes. Memoirs reconstruct memory under the pressure of self-presentation. Some sources are intentionally deceptive — deception, after all, is one of the crafts that several of the units I cover have specifically professionalized. I cannot guarantee that every detail in the book is correct. I can guarantee that every claim is sourced, that every contradictory account I encountered is flagged in the notes, and that the analytical argument does not rest on any single source that, if removed, would collapse the case.</w:t>
      </w:r>
    </w:p>
    <w:p>
      <w:pPr>
        <w:pStyle w:val="BodyText"/>
      </w:pPr>
      <w:r>
        <w:t xml:space="preserve">The comparative material on the SAS, the OSS, Delta Force, and the other non-Israeli units draws on the published historiography in English, supplemented by the National Archives files at Kew. I have read this literature carefully but I have not done original archival work in the British or American collections beyond what was necessary to verify points of comparison. The book’s contribution to the SAS literature is interpretive rather than archival.</w:t>
      </w:r>
    </w:p>
    <w:bookmarkEnd w:id="41"/>
    <w:bookmarkStart w:id="42" w:name="the-road-ahead"/>
    <w:p>
      <w:pPr>
        <w:pStyle w:val="Heading2"/>
      </w:pPr>
      <w:r>
        <w:t xml:space="preserve">0.8 The Road Ahead</w:t>
      </w:r>
    </w:p>
    <w:p>
      <w:pPr>
        <w:pStyle w:val="FirstParagraph"/>
      </w:pPr>
      <w:r>
        <w:t xml:space="preserve">The book I have written is a story that begins on the night-watch trails of Petah Tikva in 1878 and ends in the wadis of western Anbar Province in March 2026. The story is not a chronicle of every operation Israel’s special operations community has ever conducted — that book would run to several thousand pages and would tell the reader almost nothing about why the community exists in its present form. It is, instead, the story of how a small Jewish self-defense culture in late-Ottoman Palestine became, across approximately a century and a half, the most institutionally complex small-state special operations community in the modern military world; and it is the story of how that community was tested, on the morning of 7 October 2023 in the Gaza envelope and again, in opposite conditions, in the Anbar wadi sixteen months later, in the two operational moments that the prologue of this book has already set before the reader.</w:t>
      </w:r>
    </w:p>
    <w:p>
      <w:pPr>
        <w:pStyle w:val="BodyText"/>
      </w:pPr>
      <w:r>
        <w:t xml:space="preserve">I open the story in the autumn of 1878, in the agricultural settlements that the first arrivals of the aliyot — the immigration waves of religious and proto-Zionist Jews from Eastern Europe — had begun to establish in late-Ottoman Palestine. The world they entered was, in its operational character, a world in which armed self-defense was the unavoidable institutional condition of settlement. I trace, across the four decades that followed, the institutional evolution of that condition — through the night-watch arrangements at Petah Tikva, through the secret Bar Giora circle of 1907 and its public successor HaShomer two years later, through the NILI espionage network of the First World War, through Joseph Trumpeldor’s reconnaissance service in the Russian Crimea and his death at Tel Hai in March 1920. The world Yitzhak Sadeh entered when he arrived in Palestine in the autumn of 1920 was, in its essentials, the institutional world the previous four decades of armed self-defense had constructed; and that world supplied the doctrinal, social, and institutional inheritance on which every Israeli irregular warfare tradition the book would subsequently trace would be built.</w:t>
      </w:r>
    </w:p>
    <w:p>
      <w:pPr>
        <w:pStyle w:val="BodyText"/>
      </w:pPr>
      <w:r>
        <w:t xml:space="preserve">Sadeh is the first of the four entrepreneurial figures around whom the book’s argument is organized. I follow him from his birth as Yitzhak Landoberg in Lublin in 1890 through his arrival in Palestine, through the institutional debates of the 1920s and 1930s, through the Arab Revolt of 1936–1939 and the founding of the Special Night Squads with Orde Wingate — Ha-Yedid, the Friend — through the founding of the Palmach in the kibbutz dining hall at Mishmar Ha-Emek on the night of 15 May 1941, and through the wartime operational collaboration with the British Special Operations Executive and the Long Range Desert Group that ran from 1941 through the Second World War’s North African and Mediterranean campaigns. The doctrinal package that the wartime collaboration transmitted to the Yishuv — the SAS template that David Stirling had built in the Western Desert in 1941, the SOE clandestine apparatus that Maurice Oldfield and Tony Simonds had built at Mishmar Ha-Yam on the Carmel coast, the deep-reconnaissance pattern that Ralph Bagnold’s LRDG had institutionalized — would, across the next seventy years of Israeli institutional history, become the doctrinal substrate that every subsequent Israeli special operations formation would be built upon.</w:t>
      </w:r>
    </w:p>
    <w:p>
      <w:pPr>
        <w:pStyle w:val="BodyText"/>
      </w:pPr>
      <w:r>
        <w:t xml:space="preserve">Ben-Gurion’s order of 7 November 1948 dismantled the Palmach. The institutional vehicles that Sadeh had built across the previous decade did not survive the institutional shock that followed. The doctrinal package the institutional vehicles had carried did survive — in the private operational memory of the dispersed Palmach veterans whom the new IDF’s senior officer corps scattered across the conventional formations, and in the institutional template that would supply the operational foundation when the moment for reconstitution finally arrived. That moment came nine years later. In the autumn of 1957, in the wake of the Sinai Campaign’s institutional reckoning and the doctrinal vacuum that the early years of the IDF had not closed, a twenty-eight-year-old captain in the Aman directorate’s northern intelligence base in Safed — Avraham Arnan, born Avraham Herling in Jerusalem in December 1930, third-generation Jerusalemite, Palmach veteran, friend and protégé of the future IDF Chief of Staff David</w:t>
      </w:r>
      <w:r>
        <w:t xml:space="preserve"> </w:t>
      </w:r>
      <w:r>
        <w:t xml:space="preserve">“</w:t>
      </w:r>
      <w:r>
        <w:t xml:space="preserve">Dado</w:t>
      </w:r>
      <w:r>
        <w:t xml:space="preserve">”</w:t>
      </w:r>
      <w:r>
        <w:t xml:space="preserve"> </w:t>
      </w:r>
      <w:r>
        <w:t xml:space="preserve">Elazar — read Virginia Cowles’s biography of David Stirling and began to argue, in conversations with a small circle of officers across the IDF that he would spend the next three years pushing into formal institutional existence, that the State of Israel required a small permanent dedicated SOF formation on the SAS model. The unit that Arnan would build is Sayeret Matkal, the second entrepreneurial vehicle of the book’s argument, and the institutional sequence by which it was built — through the Rotem affair of February 1960, through the institutional opening that the post-Rotem reckoning produced, through the first formal selection course at Kfar Sirkin in the spring of 1961, and through the Bird Operations campaign against Syrian and Egyptian SIGINT targets that the unit conducted across 1963–1967 in concert with Aman’s Technological Unit and Uri Yarom’s Squadron 124 — is the institutional history that the central chapters of this book reconstruct.</w:t>
      </w:r>
    </w:p>
    <w:p>
      <w:pPr>
        <w:pStyle w:val="BodyText"/>
      </w:pPr>
      <w:r>
        <w:t xml:space="preserve">The Six-Day War of June 1967 produced, in its institutional aftermath, an Israeli SOF community whose institutional confidence had reached the highest point of its short history; the Yom Kippur War of October 1973 reduced that confidence to its lowest. Between those two institutional moments lies what I have called the Golden Era of Israeli special operations — the period from the Allenby Bridge crossing at Karameh in March 1968 through the rescue of the Sabena passengers at Lod airport in May 1972 through the Beirut Verdun Street assassinations of April 1973 — and the corresponding period of doctrinal drift in which Sayeret Matkal moved, under Dov Tamari’s command after Arnan’s 1964 handoff, from the strategic-reconnaissance mission Arnan had built it for toward the reprisal-and-counterterrorism mission that the broader post-1968 operational environment had been demanding. The institutional consequences of that drift were exposed in October 1973, when the strategic-depth intelligence that Sayeret Matkal had been built to supply was unavailable and the war’s catastrophic opening proceeded without it. The institutional argument that the post-Yom Kippur period produced — and that a then-thirty-year-old Sayeret Matkal officer named Muki Betser carried, across nearly a year of bureaucratic combat through the corridors of the Ministry of Defense and the IAF command, into the institutional vehicle that would, in 1974, be designated Shaldag — is the third entrepreneurial sequence of the book’s argument. The operational maturation of the integrated air-ground SOF template that Betser had built came on the afternoon of 9 June 1982, in the Beqaa Valley, in the operation that destroyed the Syrian SAM network and supplied the institutional opening for the larger Israeli ground campaign in Lebanon that began three days earlier and that would, across the following eighteen years, supply the operational testing ground in which the Israeli SOF community’s institutional doctrine would be either confirmed or qualified.</w:t>
      </w:r>
    </w:p>
    <w:p>
      <w:pPr>
        <w:pStyle w:val="BodyText"/>
      </w:pPr>
      <w:r>
        <w:t xml:space="preserve">I argue, in the closing third of the book, that the institutional doctrine was qualified. The eighteen-year Lebanon commitment that ran from June 1982 through the May 2000 withdrawal was the institutional period in which the SOF community discovered that the operational logic of the decisive raid, the precision insertion, and the unambiguous operational outcome — the operational logic around which the Sadeh-Arnan-Betser institutional tradition had been built — was not, by itself, sufficient to address the asymmetric strategic environment that Lebanon had presented. The institutional vehicles the community built in response — Duvdevan under Mossi Cohen’s 1986 founding, the refounded Sayeret Egoz under Erez Gerstein’s 1995 founding, the Premier Three’s international rescue operations at Khartoum in 1984 and at Addis Ababa in 1991 — supplied the institutional adaptations that the new strategic environment required. They did not, however, address the broader institutional question of how the SOF community would relate to the conventional Israeli ground forces in a strategic environment that the asymmetric pattern of Lebanon and the First and Second Intifadas had reshaped. The institutional answer to that question was the work of the fourth entrepreneurial figure of the book’s argument — the institutional dyad of Gadi Eisenkot and Aviv Kochavi, working in operational succession as Chiefs of the General Staff from 2015 to 2021, whose Commando Brigade consolidation of July 2015 and Ma’aseh AMAN cognitive-doctrinal reform of 2011–2014 produced the integrated operational system that the institutional community had been waiting for since the closing months of the Second Lebanon War.</w:t>
      </w:r>
    </w:p>
    <w:p>
      <w:pPr>
        <w:pStyle w:val="BodyText"/>
      </w:pPr>
      <w:r>
        <w:t xml:space="preserve">The integrated operational system was the system that arrived in the Gaza envelope on the morning of 7 October 2023. It is also the system that, sixteen months later, conducted the operation in the Anbar wadi with which this book’s prologue opened. The two operational moments are the bookends of the book’s argument and the bookends, more importantly, of the institutional capacity that the seven decades of institutional entrepreneurship the book reconstructs have produced. On 7 October that capacity arrived in the envelope after the breach had occurred, in numbers that exceeded the formal authorized strength of the community by a factor of three to four, and at an institutional cost paid in operators killed and wounded across the war’s seven theaters that exceeded, by the institutional measure of the war’s three-year span, the equivalent of two of the community’s mid-tier units. In the Anbar wadi the same institutional capacity arrived under opposite conditions — not catastrophic surprise but optimal preparation, not defensive reaction but offensive strategic depth — and produced the operational outcome that the institutional history the book reconstructs had been built to produce.</w:t>
      </w:r>
    </w:p>
    <w:p>
      <w:pPr>
        <w:pStyle w:val="BodyText"/>
      </w:pPr>
      <w:r>
        <w:t xml:space="preserve">The argument I will close the book with — and that the chapters between this introduction and the epilogue defend in detail — is that the institutional capacity the two mornings expressed is the cumulative product of decisions made by particular people, in particular institutions, under particular conditions, across approximately a century. The four entrepreneurial figures around whom the book’s argument is organized are necessary, but not sufficient, conditions for the institutional history. The institutional vehicles they built were necessary, but not sufficient, vehicles for the operational capacity. The capacity itself is a tool the political class operates. Whether the political class operates the tool wisely is the question that the institutional historiography of the post–7 October period will continue to engage for the decade and the century to come, and it is the question on which the institutional argument of the book turns. The chapters that follow trace the institutional history that produced the tool. The epilogue returns the reader to the two mornings on which the tool was tested. The question of what the country chooses to do with what the seven decades have produced is the question that the book leaves open — because, at the moment of the present writing in the closing days of May 2026, it remains open.</w:t>
      </w:r>
    </w:p>
    <w:bookmarkEnd w:id="42"/>
    <w:bookmarkStart w:id="43" w:name="notes"/>
    <w:p>
      <w:pPr>
        <w:pStyle w:val="Heading2"/>
      </w:pPr>
      <w:r>
        <w:t xml:space="preserve">Notes</w:t>
      </w:r>
    </w:p>
    <w:bookmarkEnd w:id="43"/>
    <w:bookmarkEnd w:id="44"/>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[TK — shepherd / patrol incident. WSJ reporting, May 2026, plus Israeli follow-up]</w:t>
      </w:r>
    </w:p>
  </w:endnote>
  <w:endnote w:id="21">
    <w:p>
      <w:pPr>
        <w:pStyle w:val="EndnoteText"/>
      </w:pPr>
      <w:r>
        <w:rPr>
          <w:rStyle w:val="EndnoteReference"/>
        </w:rPr>
        <w:endnoteRef/>
      </w:r>
      <w:r>
        <w:t xml:space="preserve"> </w:t>
      </w:r>
      <w:r>
        <w:t xml:space="preserve">[TK — 7th Wing base, Saddam-era facility. WSJ + Israeli secondary]</w:t>
      </w:r>
    </w:p>
  </w:endnote>
  <w:endnote w:id="22">
    <w:p>
      <w:pPr>
        <w:pStyle w:val="EndnoteText"/>
      </w:pPr>
      <w:r>
        <w:rPr>
          <w:rStyle w:val="EndnoteReference"/>
        </w:rPr>
        <w:endnoteRef/>
      </w:r>
      <w:r>
        <w:t xml:space="preserve"> </w:t>
      </w:r>
      <w:r>
        <w:t xml:space="preserve">[TK — composition of base personnel (Unit 669, Shaldag, Sayeret Matkal); coordination with US, non-notification of Iraq]</w:t>
      </w:r>
    </w:p>
  </w:endnote>
  <w:endnote w:id="23">
    <w:p>
      <w:pPr>
        <w:pStyle w:val="EndnoteText"/>
      </w:pPr>
      <w:r>
        <w:rPr>
          <w:rStyle w:val="EndnoteReference"/>
        </w:rPr>
        <w:endnoteRef/>
      </w:r>
      <w:r>
        <w:t xml:space="preserve"> </w:t>
      </w:r>
      <w:r>
        <w:t xml:space="preserve">[TK — strike on Iraqi patrol]</w:t>
      </w:r>
    </w:p>
  </w:endnote>
  <w:endnote w:id="24">
    <w:p>
      <w:pPr>
        <w:pStyle w:val="EndnoteText"/>
      </w:pPr>
      <w:r>
        <w:rPr>
          <w:rStyle w:val="EndnoteReference"/>
        </w:rPr>
        <w:endnoteRef/>
      </w:r>
      <w:r>
        <w:t xml:space="preserve"> </w:t>
      </w:r>
      <w:r>
        <w:t xml:space="preserve">[TK — WSJ disclosure, early May 2026; subsequent Israeli reporting (Yedioth, Haaretz, Walla, N12)]</w:t>
      </w:r>
    </w:p>
  </w:endnote>
  <w:endnote w:id="25">
    <w:p>
      <w:pPr>
        <w:pStyle w:val="EndnoteText"/>
      </w:pPr>
      <w:r>
        <w:rPr>
          <w:rStyle w:val="EndnoteReference"/>
        </w:rPr>
        <w:endnoteRef/>
      </w:r>
      <w:r>
        <w:t xml:space="preserve"> </w:t>
      </w:r>
      <w:r>
        <w:t xml:space="preserve">[TK — zero Israeli aircraft losses across the campaign; CSAR teams never tasked]</w:t>
      </w:r>
    </w:p>
  </w:endnote>
  <w:endnote w:id="28">
    <w:p>
      <w:pPr>
        <w:pStyle w:val="EndnoteText"/>
      </w:pPr>
      <w:r>
        <w:rPr>
          <w:rStyle w:val="EndnoteReference"/>
        </w:rPr>
        <w:endnoteRef/>
      </w:r>
      <w:r>
        <w:t xml:space="preserve"> </w:t>
      </w:r>
      <w:r>
        <w:t xml:space="preserve">[TK — On Avraham Arnan and Cowles’s The Phantom Major: Cowles 1958; Zonder; Shur; Pedahzur and Arnan biographical files]</w:t>
      </w:r>
    </w:p>
  </w:endnote>
  <w:endnote w:id="30">
    <w:p>
      <w:pPr>
        <w:pStyle w:val="EndnoteText"/>
      </w:pPr>
      <w:r>
        <w:rPr>
          <w:rStyle w:val="EndnoteReference"/>
        </w:rPr>
        <w:endnoteRef/>
      </w:r>
      <w:r>
        <w:t xml:space="preserve"> </w:t>
      </w:r>
      <w:r>
        <w:t xml:space="preserve">[TK — Selective inventory of Israeli wars; expand in the war chronology table in the appendix]</w:t>
      </w:r>
    </w:p>
  </w:endnote>
  <w:endnote w:id="32">
    <w:p>
      <w:pPr>
        <w:pStyle w:val="EndnoteText"/>
      </w:pPr>
      <w:r>
        <w:rPr>
          <w:rStyle w:val="EndnoteReference"/>
        </w:rPr>
        <w:endnoteRef/>
      </w:r>
      <w:r>
        <w:t xml:space="preserve"> </w:t>
      </w:r>
      <w:r>
        <w:t xml:space="preserve">[TK — Defense Service Law (Israel), 1949, with subsequent amendments; cite latest consolidated version and Pedahzur 2017 on conscription as social institution]</w:t>
      </w:r>
    </w:p>
  </w:endnote>
  <w:endnote w:id="34">
    <w:p>
      <w:pPr>
        <w:pStyle w:val="EndnoteText"/>
      </w:pPr>
      <w:r>
        <w:rPr>
          <w:rStyle w:val="EndnoteReference"/>
        </w:rPr>
        <w:endnoteRef/>
      </w:r>
      <w:r>
        <w:t xml:space="preserve"> </w:t>
      </w:r>
      <w:r>
        <w:t xml:space="preserve">[TK — Disbandment of WWII commando lineages: Macintyre 2017 on the SAS; Hogan on Rangers; for OSS see Smith; for Decima MAS see Greene/Massignani; for Brandenburgers see Spaeter]</w:t>
      </w:r>
    </w:p>
  </w:endnote>
  <w:endnote w:id="35">
    <w:p>
      <w:pPr>
        <w:pStyle w:val="EndnoteText"/>
      </w:pPr>
      <w:r>
        <w:rPr>
          <w:rStyle w:val="EndnoteReference"/>
        </w:rPr>
        <w:endnoteRef/>
      </w:r>
      <w:r>
        <w:t xml:space="preserve"> </w:t>
      </w:r>
      <w:r>
        <w:t xml:space="preserve">[TK — British reconstitution of SAS, Malayan Emergency deployment, Australian and New Zealand SAS formation: Macintyre; Horner on Australian SASR]</w:t>
      </w:r>
    </w:p>
  </w:endnote>
  <w:endnote w:id="36">
    <w:p>
      <w:pPr>
        <w:pStyle w:val="EndnoteText"/>
      </w:pPr>
      <w:r>
        <w:rPr>
          <w:rStyle w:val="EndnoteReference"/>
        </w:rPr>
        <w:endnoteRef/>
      </w:r>
      <w:r>
        <w:t xml:space="preserve"> </w:t>
      </w:r>
      <w:r>
        <w:t xml:space="preserve">[TK — Beckwith on his SAS exchange and the founding of Delta Force: Beckwith 1983]</w:t>
      </w:r>
    </w:p>
  </w:endnote>
  <w:endnote w:id="37">
    <w:p>
      <w:pPr>
        <w:pStyle w:val="EndnoteText"/>
      </w:pPr>
      <w:r>
        <w:rPr>
          <w:rStyle w:val="EndnoteReference"/>
        </w:rPr>
        <w:endnoteRef/>
      </w:r>
      <w:r>
        <w:t xml:space="preserve"> </w:t>
      </w:r>
      <w:r>
        <w:t xml:space="preserve">[TK — Capoccia and Kelemen 2007 on critical junctures]</w:t>
      </w:r>
    </w:p>
  </w:endnote>
  <w:endnote w:id="38">
    <w:p>
      <w:pPr>
        <w:pStyle w:val="EndnoteText"/>
      </w:pPr>
      <w:r>
        <w:rPr>
          <w:rStyle w:val="EndnoteReference"/>
        </w:rPr>
        <w:endnoteRef/>
      </w:r>
      <w:r>
        <w:t xml:space="preserve"> </w:t>
      </w:r>
      <w:r>
        <w:t xml:space="preserve">[TK — Soifer 2012 on permissive and productive conditions]</w:t>
      </w:r>
    </w:p>
  </w:endnote>
  <w:endnote w:id="40">
    <w:p>
      <w:pPr>
        <w:pStyle w:val="EndnoteText"/>
      </w:pPr>
      <w:r>
        <w:rPr>
          <w:rStyle w:val="EndnoteReference"/>
        </w:rPr>
        <w:endnoteRef/>
      </w:r>
      <w:r>
        <w:t xml:space="preserve"> </w:t>
      </w:r>
      <w:r>
        <w:t xml:space="preserve">[TK — Gelber on the Jewish Brigade and the intelligence services; Ostfeld on the founding of the IDF; Milstein on Unit 101 and the Paratroopers; Eldar on Shayetet 13 and Sayeret Shaked; Zonder and Shur on Sayeret Matkal; Bergman, Melman, Harel for journalism]</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2026-08-10T01:56:48Z</dcterms:created>
  <dcterms:modified xsi:type="dcterms:W3CDTF">2026-08-10T01:56:48Z</dcterms:modified>
</cp:coreProperties>
</file>

<file path=docProps/custom.xml><?xml version="1.0" encoding="utf-8"?>
<Properties xmlns="http://schemas.openxmlformats.org/officeDocument/2006/custom-properties" xmlns:vt="http://schemas.openxmlformats.org/officeDocument/2006/docPropsVTypes"/>
</file>