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chapter-1-watchmen-and-settlers"/>
    <w:p>
      <w:pPr>
        <w:pStyle w:val="Heading1"/>
      </w:pPr>
      <w:r>
        <w:t xml:space="preserve">Chapter 1 — Watchmen and Settlers</w:t>
      </w:r>
    </w:p>
    <w:p>
      <w:pPr>
        <w:pStyle w:val="FirstParagraph"/>
      </w:pPr>
      <w:r>
        <w:t xml:space="preserve">Jewish Armed Self-Defense in Palestine, 1878–1920</w:t>
      </w:r>
    </w:p>
    <w:bookmarkStart w:id="22" w:name="X365c3bce2953f4ca0deaefc5947545fb1568b77"/>
    <w:p>
      <w:pPr>
        <w:pStyle w:val="Heading2"/>
      </w:pPr>
      <w:r>
        <w:t xml:space="preserve">1.1 The Night Watch at Petah Tikva, late 1880s</w:t>
      </w:r>
    </w:p>
    <w:p>
      <w:pPr>
        <w:pStyle w:val="FirstParagraph"/>
      </w:pPr>
      <w:r>
        <w:t xml:space="preserve">There was, in the first weeks of every spring in the orange groves east of Jaffa, a stretch of approximately five hours between midnight and the first appearance of light over the Judean foothills during which one young man, or two, or at most three, were the only people responsible for the physical survival of one of the eight Jewish agricultural settlements that, in the late 1880s, made up the entire institutional reach of the Zionist project in Ottoman Palestine.</w:t>
      </w:r>
    </w:p>
    <w:p>
      <w:pPr>
        <w:pStyle w:val="BodyText"/>
      </w:pPr>
      <w:r>
        <w:t xml:space="preserve">He carried a rifle if one had been issued to him — Mauser, in most cases, surplus from one of the European armies, acquired by the settlement committee through one of the European Jewish philanthropic networks that had begun, by the mid-1880s, to extend their financial reach into the Yishuv. He carried a lantern. He walked the perimeter of the cultivated fields the settlement had cleared in the previous decade, listening for the sound of a knife in a citrus branch, the snort of a tethered animal that had detected movement, the careful step of an intruder who had crossed the unfenced boundary between the Jewish-cultivated land and the Arab-cultivated land that, in 1888 as in every preceding year of the settlement’s history, ran a hundred meters away from the houses themselves. The settlement was Petah Tikva — the Gate of Hope, in literal Hebrew, named for a verse in the Book of Hosea that the founders had taken as their charter — and the watcher, on any given night, was one of the small group of young men whom the settlement’s committee had appointed to the task of guarding what the settlement, as a corporate entity, had been built to defend.</w:t>
      </w:r>
      <w:r>
        <w:rPr>
          <w:rStyle w:val="EndnoteReference"/>
        </w:rPr>
        <w:endnoteReference w:id="20"/>
      </w:r>
    </w:p>
    <w:p>
      <w:pPr>
        <w:pStyle w:val="BodyText"/>
      </w:pPr>
      <w:r>
        <w:t xml:space="preserve">The watcher was almost certainly a young man and almost certainly Jewish. This was a recent state of affairs. Through most of the 1880s, the agricultural settlements of the First Aliyah had relied for their nighttime perimeter security on local Arab guards — natur in Arabic, shomer in Hebrew — hired by the settlement committees from the surrounding Palestinian villages and paid in cash or in kind from the settlement’s communal accounts. The arrangement had practical advantages. The Arab guards knew the terrain. They knew the local family networks within which most night-time incidents — the theft of livestock or crops, the petty assault on a settler caught moving between the settlement and the nearby town — could be defused before they became serious. They knew which of the local clans were inclined to violence and which were inclined to negotiation. The arrangement also had, in the political vocabulary of the late-nineteenth-century Yishuv, a defect that would become increasingly intolerable as the settlement project matured. The Zionist project’s foundational claim was that the Jewish people would, by returning to their ancient land, transform themselves into a normal nation that defended itself rather than relying on the protection of others — and the practice of hiring Arab guards to defend Jewish settlements at night was, by every available reading, the institutional embarrassment that contradicted that claim every twenty-four hours.</w:t>
      </w:r>
      <w:r>
        <w:rPr>
          <w:rStyle w:val="EndnoteReference"/>
        </w:rPr>
        <w:endnoteReference w:id="21"/>
      </w:r>
    </w:p>
    <w:p>
      <w:pPr>
        <w:pStyle w:val="BodyText"/>
      </w:pPr>
      <w:r>
        <w:t xml:space="preserve">The transition from Arab guards to Jewish guards was the first institutional question the Yishuv had to answer about its own military organization, and it was a question the Yishuv would still be answering, in different forms and across different decades, for the next seventy years. The watcher at Petah Tikva in 1888 was, in his own night-by-night practice, the first answer the Yishuv produced. He was the institutional figure with whom the long story this book traces begins.</w:t>
      </w:r>
    </w:p>
    <w:bookmarkEnd w:id="22"/>
    <w:bookmarkStart w:id="28" w:name="X0c8fab9e2b0a012c2acfc3cf9467d96f44d9698"/>
    <w:p>
      <w:pPr>
        <w:pStyle w:val="Heading2"/>
      </w:pPr>
      <w:r>
        <w:t xml:space="preserve">1.2 The Yishuv in 1878 — Settlement, Security, and the Absence of State</w:t>
      </w:r>
    </w:p>
    <w:p>
      <w:pPr>
        <w:pStyle w:val="FirstParagraph"/>
      </w:pPr>
      <w:r>
        <w:t xml:space="preserve">To understand what the watcher at Petah Tikva was watching, the reader needs to understand what Palestine, in the closing decades of the nineteenth century, was — and was not.</w:t>
      </w:r>
      <w:r>
        <w:rPr>
          <w:rStyle w:val="EndnoteReference"/>
        </w:rPr>
        <w:endnoteReference w:id="23"/>
      </w:r>
    </w:p>
    <w:p>
      <w:pPr>
        <w:pStyle w:val="BodyText"/>
      </w:pPr>
      <w:r>
        <w:t xml:space="preserve">It was a province of the Ottoman Empire. The territory that would, in 1922, become Mandatory Palestine was, before the First World War, administratively divided across the Mutasarrifate of Jerusalem (a special administrative unit reporting directly to Constantinople, comprising the southern half of the country) and the vilayets of Beirut and Damascus (which together comprised the northern half). The Ottoman state, by the 1880s, was a declining imperial power whose grip on its peripheral provinces had been weakened by a half-century of European intervention, internal reform programs, and recurring fiscal crisis. The state’s military and police presence in Palestine, outside Jerusalem and the few coastal cities, was thin. The administration of justice in the rural areas, where the agricultural settlements were located, was largely a matter of negotiation between the local Ottoman kaymakam (district governor), the local Arab notable families whose clan networks held the de facto authority over the surrounding villages, and whatever external European consul — French, British, Russian, Austrian — could be brought to bear in defense of any non-Ottoman subject whose interests had been compromised. The European capitulations — the eighteenth-century treaties that gave foreign powers the right to extraterritorial protection of their nationals in Ottoman territory — were the legal infrastructure on which a great deal of the early Zionist project rested, because they meant that the Jewish settlers, most of whom retained their Russian, German, Austrian, or French citizenship in the early years, could appeal beyond the Ottoman administration to their respective consulates when local disputes turned violent.</w:t>
      </w:r>
      <w:r>
        <w:rPr>
          <w:rStyle w:val="EndnoteReference"/>
        </w:rPr>
        <w:endnoteReference w:id="24"/>
      </w:r>
    </w:p>
    <w:p>
      <w:pPr>
        <w:pStyle w:val="BodyText"/>
      </w:pPr>
      <w:r>
        <w:t xml:space="preserve">It was a country with a population of approximately four hundred and fifty thousand people in 1878, of whom approximately twenty-five thousand were Jewish — almost all of them concentrated in the Four Holy Cities of Jerusalem, Hebron, Safed, and Tiberias, supported by the halukkah, the system of charitable remittances from the Jewish communities of Europe and the Ottoman Empire that funded the religious-study communities of the pre-Zionist Yishuv ha-Yashan (the Old Yishuv). The Jewish population was not, in 1878, an agricultural population. It did not own significant tracts of cultivable land. It did not, with rare exceptions, work the soil. The communities of the Four Holy Cities lived in religious study and prayer, in the small commercial activity that the cities sustained, and on the European charitable remittances. The institutional infrastructure of an agricultural Jewish presence in Palestine — land purchases, settlement committees, agricultural schools, irrigation works, marketing cooperatives — did not yet exist.</w:t>
      </w:r>
      <w:r>
        <w:rPr>
          <w:rStyle w:val="EndnoteReference"/>
        </w:rPr>
        <w:endnoteReference w:id="25"/>
      </w:r>
    </w:p>
    <w:p>
      <w:pPr>
        <w:pStyle w:val="BodyText"/>
      </w:pPr>
      <w:r>
        <w:t xml:space="preserve">It was a country in which violence, when it occurred between communities, was governed by an unspoken but well-understood code that the local Arab population had worked out over the preceding centuries of Ottoman rule. The code was customary, not statutory; it was enforced through the clan structures and the inter-clan negotiating mechanisms (the sulha tradition of reconciliation, the fasl system of clan compensation for injury or death) rather than through the Ottoman criminal courts. It was a code that, on the whole, kept the level of inter-community violence low — there had not been a major massacre of the Jewish communities of Palestine since the riots of 1834 against the Jews of Safed, and the smaller incidents that occurred regularly were generally resolved through inter-communal negotiation rather than through escalation. The code, however, depended on the assumption that newcomers would learn it and abide by its conventions. The Zionist settlers of the First Aliyah, who began arriving in late 1881 and who founded their first agricultural settlements in 1882, did not know the code; they had to learn it, and they had to learn it under conditions that the existing Jewish-Arab equilibrium of the country was not well equipped to manage.</w:t>
      </w:r>
      <w:r>
        <w:rPr>
          <w:rStyle w:val="EndnoteReference"/>
        </w:rPr>
        <w:endnoteReference w:id="26"/>
      </w:r>
    </w:p>
    <w:p>
      <w:pPr>
        <w:pStyle w:val="BodyText"/>
      </w:pPr>
      <w:r>
        <w:t xml:space="preserve">The proximate trigger for the First Aliyah was the wave of anti-Jewish violence that swept the western provinces of the Russian Empire in 1881–1882, in the aftermath of Tsar Alexander II’s assassination in March 1881. The pogroms, the May Laws of 1882 that restricted Jewish settlement within the Russian Empire, and the broader collapse of the maskilic hope that Russian Jewry’s integration into the Russian state was politically possible, produced a wave of Jewish emigration that, in its overwhelming majority, went to the United States. A small fraction — perhaps twenty-five thousand individuals across the decade between 1882 and 1891 — went, instead, to Palestine. They came from western Russia, from Romania, from Galicia. They came with savings that ranged from modest to substantial, with political and religious commitments that ranged from secular socialist to traditional Orthodox, and with agricultural experience that ranged from nearly none to none at all. They settled, by 1888, in approximately fifteen agricultural moshavot — Petah Tikva (refounded in 1883 after an earlier 1878 attempt had failed), Rishon LeZion (1882), Zikhron Ya’akov (1882), Rosh Pinna (1882), Yesud HaMa’ala (1883), Rehovot (1890), and the others — that, taken together, constituted the institutional novelty in Palestine that the local Arab and Ottoman populations had not previously encountered.</w:t>
      </w:r>
      <w:r>
        <w:rPr>
          <w:rStyle w:val="EndnoteReference"/>
        </w:rPr>
        <w:endnoteReference w:id="27"/>
      </w:r>
    </w:p>
    <w:p>
      <w:pPr>
        <w:pStyle w:val="BodyText"/>
      </w:pPr>
      <w:r>
        <w:t xml:space="preserve">The novelty was a Jewish population that, for the first time in the modern history of the country, wanted to own and work agricultural land in its own name, using its own labor, on its own terms. The institutional consequences would consume the next seventy years.</w:t>
      </w:r>
    </w:p>
    <w:bookmarkEnd w:id="28"/>
    <w:bookmarkStart w:id="36" w:name="X5616e4f018a344d92741517c3d974ce1a4faae1"/>
    <w:p>
      <w:pPr>
        <w:pStyle w:val="Heading2"/>
      </w:pPr>
      <w:r>
        <w:t xml:space="preserve">1.3 The First Defenders — Settlement Militias, 1878–1907</w:t>
      </w:r>
    </w:p>
    <w:p>
      <w:pPr>
        <w:pStyle w:val="FirstParagraph"/>
      </w:pPr>
      <w:r>
        <w:t xml:space="preserve">The story of armed Jewish self-defense in Palestine begins, by every account I have been able to consult, with the spring of 1886 and an incident on the outskirts of Petah Tikva that the Petah Tikva settlement archive has preserved in unusual detail.</w:t>
      </w:r>
      <w:r>
        <w:rPr>
          <w:rStyle w:val="EndnoteReference"/>
        </w:rPr>
        <w:endnoteReference w:id="29"/>
      </w:r>
    </w:p>
    <w:p>
      <w:pPr>
        <w:pStyle w:val="BodyText"/>
      </w:pPr>
      <w:r>
        <w:t xml:space="preserve">The protagonist was a young man named Yehuda Raab, who had taken the Hebrew family name Ben-Ezer — son of help, in literal Hebrew — and who was, in March 1886, twenty-one years old. He had been born in Hungary, brought to Palestine by his family as a child in 1875, and had grown up in the small agricultural project on which his father had been a founding member: the 1878 attempt at Petah Tikva, which had collapsed within two years due to malaria and to a dispute with the local Arab village of Mlabes whose lands the settlement had nominally been founded on, and the 1883 refounding of the same settlement on slightly different ground a few kilometers away. Ben-Ezer had grown up working the citrus and almond fields that the settlement was beginning to cultivate. He had absorbed, in his late teens, the practical Arabic that the settlement’s everyday business with the surrounding villages required. He had also absorbed, from the same daily contact, a clear understanding of the structural problem the settlement faced: the orange groves and almond orchards that were the settlement’s economic base were physically interleaved with the cultivated lands of the surrounding Palestinian villages, and the boundary between the two was, in 1886, neither fenced, nor marked, nor formally surveyed.</w:t>
      </w:r>
      <w:r>
        <w:rPr>
          <w:rStyle w:val="EndnoteReference"/>
        </w:rPr>
        <w:endnoteReference w:id="30"/>
      </w:r>
    </w:p>
    <w:p>
      <w:pPr>
        <w:pStyle w:val="BodyText"/>
      </w:pPr>
      <w:r>
        <w:t xml:space="preserve">The incident of March 1886 began when a herd of livestock from one of the neighboring villages — by the standard reconstruction, the village of Yahudia — crossed the unmarked boundary into Petah Tikva’s almond orchards and began grazing on the settlement’s crops. Ben-Ezer, with two of his colleagues — Yehoshua Stampfer and Sander Haddad — confronted the shepherds, impounded the herd, and announced their intention to drive the herd to the Ottoman kaymakam in Jaffa to lodge a formal complaint and recover damages. The three young men left Petah Tikva for Jaffa on the morning of Monday, 29 March 1886, with the impounded herd.</w:t>
      </w:r>
      <w:r>
        <w:rPr>
          <w:rStyle w:val="EndnoteReference"/>
        </w:rPr>
        <w:endnoteReference w:id="31"/>
      </w:r>
    </w:p>
    <w:p>
      <w:pPr>
        <w:pStyle w:val="BodyText"/>
      </w:pPr>
      <w:r>
        <w:t xml:space="preserve">What followed, in the hours after they left, has become the founding atrocity in the institutional memory of Petah Tikva’s defense organization. Residents of the neighboring villages, alerted by the morning’s events and aware that the settlement’s three principal young men had departed for the city, mobilized for an attack. By midday, a group of approximately fifty armed villagers had reached Petah Tikva’s outskirts. They fired on the settlement’s houses, where the women, the elderly, and the children had taken cover. They entered the orchard outbuildings. In the course of the assault they beat to death Rachel Haddad Halevi, the mother of Sander Haddad — the first violent Jewish fatality in the institutional record of Yishuv self-defense in the modern Zionist period — and they seized a smaller herd of Jewish-owned livestock as compensation for the herd Ben-Ezer had impounded. By the time Ben-Ezer and his colleagues returned from Jaffa that evening, the attack had ended; the attackers had withdrawn; the dead had been counted; and the institutional question had been posed in terms that the settlement, and every other settlement that learned about the events of 29 March, would not be able to ignore.</w:t>
      </w:r>
      <w:r>
        <w:rPr>
          <w:rStyle w:val="EndnoteReference"/>
        </w:rPr>
        <w:endnoteReference w:id="32"/>
      </w:r>
    </w:p>
    <w:p>
      <w:pPr>
        <w:pStyle w:val="BodyText"/>
      </w:pPr>
      <w:r>
        <w:t xml:space="preserve">The question was straightforward and the settlement’s answer was, in retrospect, equally straightforward. The settlement could not afford to outsource its physical security to the surrounding Arab villages whose internal political dynamics it could not control. It had to organize its own defense, and that defense had to be organized in a way that placed the obligation on the settlement’s own young men rather than on hired outsiders. In the weeks that followed the March 1886 attack, Ben-Ezer, Stampfer, and several others organized what the settlement archive describes as a mishmar — a watch — that rotated nightly across a roster of approximately a dozen young settler men, each carrying a rifle or a club, each responsible for a specific sector of the settlement’s perimeter, each reporting to a settlement committee that the mishmar itself reported to. The institution was informal. It carried no name beyond the generic Hebrew word for guard duty. It paid its participants nothing beyond a small allowance for nights spent on watch. But it was, in the institutional history I am tracing, the first piece of organized Jewish armed self-defense in Palestine in the modern Zionist period — and the model it established would be replicated, with local variations, across the agricultural settlements of the next two decades.</w:t>
      </w:r>
      <w:r>
        <w:rPr>
          <w:rStyle w:val="EndnoteReference"/>
        </w:rPr>
        <w:endnoteReference w:id="33"/>
      </w:r>
    </w:p>
    <w:p>
      <w:pPr>
        <w:pStyle w:val="BodyText"/>
      </w:pPr>
      <w:r>
        <w:t xml:space="preserve">The replication was, by 1900, complete. Rishon LeZion had its own mishmar. So did Rehovot. So did Zikhron Ya’akov. So did the smaller settlements of the Galilee and the coastal plain. The model varied across the settlements — some employed full-time paid watchmen, others rotated young settlers through unpaid roster duty, some retained Arab guards alongside Jewish guards in arrangements that the historian Yair Stern’s local history of Petah Tikva has described in detail — but the underlying structure was consistent: each settlement organized its own defense; the defense was the responsibility of the settlement’s own young men; the institutional connection between settlements was minimal and ad hoc; and the broader Jewish institutional infrastructure in Palestine — the Hovevei Zion offices, the Anglo-Palestine Company, the Baron de Rothschild’s settlement administration — was not, in this period, engaged in the construction of any country-wide defense organization that would have linked the settlements into a coordinated whole.</w:t>
      </w:r>
      <w:r>
        <w:rPr>
          <w:rStyle w:val="EndnoteReference"/>
        </w:rPr>
        <w:endnoteReference w:id="34"/>
      </w:r>
    </w:p>
    <w:p>
      <w:pPr>
        <w:pStyle w:val="BodyText"/>
      </w:pPr>
      <w:r>
        <w:t xml:space="preserve">There are two analytical points to make about this period that bear on the longer institutional history.</w:t>
      </w:r>
    </w:p>
    <w:p>
      <w:pPr>
        <w:pStyle w:val="BodyText"/>
      </w:pPr>
      <w:r>
        <w:t xml:space="preserve">The first is that the settlement militias of the late nineteenth and early twentieth centuries were, by every available measure, popular formations rather than professional formations. They drew their personnel from the settlement’s general male population — the same young men who worked the fields by day stood watch by night — and they imposed no specialized training requirement, no formal command structure, no doctrinal commitment, no operational ambition beyond the immediate physical defense of the settlement’s perimeter. They were defensive in character (they did not pursue attackers across the settlement boundary into Arab territory), reactive in timing (they responded to incidents rather than anticipating them), and territorial in scope (they did not operate beyond the cultivated lands of the settlement that employed them). This was the institutional model the Yishuv built in its first quarter-century of armed self-defense, and it would set the institutional default against which every subsequent attempt to build a more professional, more offensive, more coordinated defensive organization would have to argue.</w:t>
      </w:r>
    </w:p>
    <w:p>
      <w:pPr>
        <w:pStyle w:val="BodyText"/>
      </w:pPr>
      <w:r>
        <w:t xml:space="preserve">The second is that the personnel pool that the settlement militias drew on was an unusual one by European standards of the period. The young men who stood watch at Petah Tikva in 1886 were not products of European military training — none of them had served in a European army before emigrating, and the few who had military experience had it in capacities (cavalry, artillery, infantry of the line) that had little to do with night-time perimeter defense in an agricultural settlement. They were, instead, products of the late-nineteenth-century Eastern European Jewish yeshiva and gymnasium education system. They could read three or four languages. They were, in many cases, devoted readers of the late-nineteenth-century Russian and Hebrew nationalist literature. They were, by the cultural categories of the European armies of the period, not soldier material at all. The Yishuv’s first defenders were intellectual young men who taught themselves to use rifles because the institutional alternative had been to continue paying Arab villagers to defend Jewish settlements at night, and that alternative had become, by 1886, ideologically and practically untenable. This pattern — defense as the avocation of intellectually formed young men rather than the vocation of professional soldiers — would persist in the Yishuv’s military institutions for the next half century, and it would shape the SOF community’s distinctive cultural character throughout the period this book covers.</w:t>
      </w:r>
      <w:r>
        <w:rPr>
          <w:rStyle w:val="EndnoteReference"/>
        </w:rPr>
        <w:endnoteReference w:id="35"/>
      </w:r>
    </w:p>
    <w:bookmarkEnd w:id="36"/>
    <w:bookmarkStart w:id="44" w:name="bar-giora-and-hashomer-19071909"/>
    <w:p>
      <w:pPr>
        <w:pStyle w:val="Heading2"/>
      </w:pPr>
      <w:r>
        <w:t xml:space="preserve">1.4 Bar-Giora and HaShomer, 1907–1909</w:t>
      </w:r>
    </w:p>
    <w:p>
      <w:pPr>
        <w:pStyle w:val="FirstParagraph"/>
      </w:pPr>
      <w:r>
        <w:t xml:space="preserve">The settlement-militia model was the Yishuv’s institutional default. By the first decade of the twentieth century, a small group of young men inside the Yishuv had concluded that the default was inadequate.</w:t>
      </w:r>
    </w:p>
    <w:p>
      <w:pPr>
        <w:pStyle w:val="BodyText"/>
      </w:pPr>
      <w:r>
        <w:t xml:space="preserve">The leaders of the group were Israel Shochat and Mania Wilbushewits. Both had arrived in Palestine in 1904 as part of the Second Aliyah — the wave of approximately thirty-five thousand young, ideologically committed, mostly socialist Jewish immigrants who came to Palestine between 1904 and 1914 and who would, more than any other single demographic group, set the institutional character of the Yishuv that would, in 1948, become the State of Israel. Both Shochat and Wilbushewits were from the Russian-Jewish revolutionary milieu that, in the years after the failed 1905 revolution, had concluded that the integration of Russian Jewry into the Russian state was politically impossible and that the only solution to the situation of European Jewry was the construction of a Jewish national home elsewhere. They were both socialists. They were both Zionists. They were both, by their early twenties, persuaded that what the Yishuv lacked — and what the Yishuv would need if it was to grow into a real national community — was a small, professional, doctrinally committed armed force that would take over from the settlement militias the responsibility for the country-wide defense of the Jewish population.</w:t>
      </w:r>
      <w:r>
        <w:rPr>
          <w:rStyle w:val="EndnoteReference"/>
        </w:rPr>
        <w:endnoteReference w:id="37"/>
      </w:r>
    </w:p>
    <w:p>
      <w:pPr>
        <w:pStyle w:val="BodyText"/>
      </w:pPr>
      <w:r>
        <w:t xml:space="preserve">The institutional vehicle they constructed was a secret society called Bar-Giora, after Shimon Bar Giora, one of the leaders of the Jewish revolt against Rome in 66–73 CE. The founding meeting took place on the evening of 29 September 1907 in the apartment of Yitzhak Ben-Zvi — at the time a young Labor Zionist intellectual, much later the second President of the State of Israel — in the Warsaw home complex in Jaffa. The participants in the founding meeting were Shochat, Ben-Zvi, Alexander Zaid, Yisrael Giladi, and several others — a group of seven or eight young men, all in their early twenties, all from the Russian-Jewish revolutionary milieu, all committed to the proposition that the Yishuv could not be defended by the settlement militias alone. They formally elected Shochat as the group’s leader. They committed themselves to secrecy. They adopted as the group’s motto a sentence that, in retrospect, defines the long arc of the institutional argument this book traces: In blood and fire Judea fell — in blood and fire Judea will rise — the closing line of the poet Yaakov Cohen’s</w:t>
      </w:r>
      <w:r>
        <w:t xml:space="preserve"> </w:t>
      </w:r>
      <w:r>
        <w:t xml:space="preserve">“</w:t>
      </w:r>
      <w:r>
        <w:t xml:space="preserve">Biryonim</w:t>
      </w:r>
      <w:r>
        <w:t xml:space="preserve">”</w:t>
      </w:r>
      <w:r>
        <w:t xml:space="preserve"> </w:t>
      </w:r>
      <w:r>
        <w:t xml:space="preserve">(Brigands), published in 1903, which had become, by 1907, the canonical Hebrew expression of the revolutionary-nationalist mood that the Russian-Jewish Second Aliyah had brought to Palestine. David Ben-Gurion — at the time twenty-one years old, also a recent Second Aliyah arrival, also a Labor Zionist intellectual in the Jaffa milieu — was not invited to the founding meeting. The omission would have institutional consequences for the next four decades.</w:t>
      </w:r>
      <w:r>
        <w:rPr>
          <w:rStyle w:val="EndnoteReference"/>
        </w:rPr>
        <w:endnoteReference w:id="38"/>
      </w:r>
    </w:p>
    <w:p>
      <w:pPr>
        <w:pStyle w:val="BodyText"/>
      </w:pPr>
      <w:r>
        <w:t xml:space="preserve">The group’s institutional purpose was three-fold. First, it would take over from the settlement militias the contracts for the defense of the agricultural settlements, replacing the part-time amateur watchmen with full-time professional guards. Second, it would build, on the basis of the contractual income, a country-wide network of trained personnel — a kvutza, in the Hebrew of the period — that could be mobilized for collective defense in moments of broader threat. Third, and most consequentially for the long institutional argument, it would establish the principle of kibbush ha-shmira — the conquest of guard duty — which paralleled the broader Labor Zionist principle of kibbush ha-avoda, the conquest of labor: just as the Yishuv’s agricultural settlements should be worked exclusively by Jewish labor rather than by hired Arab labor, so the Yishuv’s agricultural settlements should be defended exclusively by Jewish guards rather than by hired Arab watchmen. The principle had economic logic (it directed the cash flow of the settlement defense budgets to the Jewish national project rather than to the surrounding Arab villages), ideological logic (it asserted the Zionist claim that Jewish national existence required Jewish self-defense), and social logic (it created a pool of young Jewish men whose social position was defined by their physical capacity to defend the settlement rather than by their commercial or scholarly attainments). All three logics would, across the next four decades, reshape the institutional character of the Yishuv in fundamental ways.</w:t>
      </w:r>
      <w:r>
        <w:rPr>
          <w:rStyle w:val="EndnoteReference"/>
        </w:rPr>
        <w:endnoteReference w:id="39"/>
      </w:r>
    </w:p>
    <w:p>
      <w:pPr>
        <w:pStyle w:val="BodyText"/>
      </w:pPr>
      <w:r>
        <w:t xml:space="preserve">The group operated in secret for roughly two years. In 1909, after the secret society had recruited approximately fifty members and had begun to negotiate settlement-defense contracts under the cover of various commercial fronts, Shochat and his colleagues concluded that the time had come to surface the organization. The transition was formalized at a meeting at the agricultural settlement of Mes’cha (later renamed Kfar Tavor) in the Lower Galilee on 12 April 1909, at which the secret Bar-Giora group dissolved itself and reconstituted as a public organization under the name HaShomer — the Watchman. The new organization retained the same leadership, the same membership, the same motto, the same institutional purposes. What changed was its public visibility. HaShomer would, from 1909 forward, conduct its settlement-defense contracts openly, recruit publicly, and operate as a recognized institutional element of the Yishuv’s emerging organizational landscape.</w:t>
      </w:r>
      <w:r>
        <w:rPr>
          <w:rStyle w:val="EndnoteReference"/>
        </w:rPr>
        <w:endnoteReference w:id="40"/>
      </w:r>
    </w:p>
    <w:p>
      <w:pPr>
        <w:pStyle w:val="BodyText"/>
      </w:pPr>
      <w:r>
        <w:t xml:space="preserve">The first HaShomer contract, signed in the spring of 1909, was for the defense of Mes’cha itself. Subsequent contracts followed at Sejera (where Shochat and Wilbushewits had been resident for several years, working as agricultural laborers and developing the personal network out of which Bar-Giora and HaShomer would emerge), at Yavniel, at Hadera, and at several of the larger settlements of the Galilee and the coastal plain. By 1914 — five years after HaShomer’s founding — the organization had approximately one hundred members, held defense contracts at approximately twenty settlements, and had become, in the institutional reality of the pre-WWI Yishuv, the country’s first professional armed organization.</w:t>
      </w:r>
      <w:r>
        <w:rPr>
          <w:rStyle w:val="EndnoteReference"/>
        </w:rPr>
        <w:endnoteReference w:id="41"/>
      </w:r>
    </w:p>
    <w:p>
      <w:pPr>
        <w:pStyle w:val="BodyText"/>
      </w:pPr>
      <w:r>
        <w:t xml:space="preserve">HaShomer was small, professional, doctrinally committed, country-wide, and politically aligned with the Russian-Jewish revolutionary Labor Zionist movement. It paid its members. It selected them stringently. It operated across the Galilee, the coastal plain, and the smaller settlements of the Judean foothills under a coordinating leadership that could move personnel from one sector to another in moments of acute need. It insisted on autonomy from the political institutions of the labor movement and held that autonomy to be the precondition of its operational effectiveness. By 1914 it was, in the institutional reality of the pre-WWI Yishuv, the country’s first professional armed organization.</w:t>
      </w:r>
      <w:r>
        <w:rPr>
          <w:rStyle w:val="EndnoteReference"/>
        </w:rPr>
        <w:endnoteReference w:id="42"/>
      </w:r>
    </w:p>
    <w:p>
      <w:pPr>
        <w:pStyle w:val="BodyText"/>
      </w:pPr>
      <w:r>
        <w:t xml:space="preserve">Whether this was the right model for what the Yishuv was about to become was a question on which David Ben-Gurion and the leadership of the new Ahdut HaAvoda labor-Zionist party would, by 1919, have a different view. The argument between the two camps — elite-professional versus broad-democratic, small and tight versus large and inclusive — is the argument that §1.10 of this chapter will close. In 1909, the argument had not yet been joined. HaShomer existed. It defended its assigned settlements. It answered, in operational terms, the question that Yehuda Raab and his colleagues at Petah Tikva had first posed in March 1886: who, in the absence of a Jewish state, defends Jewish settlements at night?</w:t>
      </w:r>
      <w:r>
        <w:rPr>
          <w:rStyle w:val="EndnoteReference"/>
        </w:rPr>
        <w:endnoteReference w:id="43"/>
      </w:r>
    </w:p>
    <w:bookmarkEnd w:id="44"/>
    <w:bookmarkStart w:id="51" w:name="hashomer-in-operation-19091914"/>
    <w:p>
      <w:pPr>
        <w:pStyle w:val="Heading2"/>
      </w:pPr>
      <w:r>
        <w:t xml:space="preserve">1.5 HaShomer in Operation, 1909–1914</w:t>
      </w:r>
    </w:p>
    <w:p>
      <w:pPr>
        <w:pStyle w:val="FirstParagraph"/>
      </w:pPr>
      <w:r>
        <w:t xml:space="preserve">The five years between HaShomer’s founding at Mes’cha in April 1909 and the outbreak of the First World War in August 1914 were the only period in the institution’s history during which it operated under conditions approximating those it had been designed for: an Ottoman state with sufficient residual capacity to keep the larger inter-communal disputes from escalating into open warfare; a settlement population that was growing fast enough to require defense services but slowly enough to permit those services to be supplied by a single, small, professional organization; and a Yishuv political leadership that was still in the early stages of consolidating around the Labor Zionist parties whose institutional ascendancy would, after 1920, change the terms under which HaShomer could operate. In those five years HaShomer did the work that, in its own institutional self-understanding, was the work the organization existed to do.</w:t>
      </w:r>
      <w:r>
        <w:rPr>
          <w:rStyle w:val="EndnoteReference"/>
        </w:rPr>
        <w:endnoteReference w:id="45"/>
      </w:r>
    </w:p>
    <w:p>
      <w:pPr>
        <w:pStyle w:val="BodyText"/>
      </w:pPr>
      <w:r>
        <w:t xml:space="preserve">It held the night watch at the settlements it had contracted with. It conducted the morning roll of livestock at the boundary between Jewish-cultivated land and the surrounding Arab village fields. It transported the settlement’s agricultural products to market along the rural roads, which in the period before the WWI British military construction were narrow, unpaved tracks across which a single horse-drawn cart could move only slowly and only by daylight. It received the small daily flows of contested incidents — the lost herd, the stolen tool, the trespass into the orchards, the verbal exchange in the market town that had escalated into a shoving match — and it disposed of those incidents through the same network of inter-clan negotiation and Ottoman administrative complaint that the Arab guards of the preceding decade had used, with the institutional difference that HaShomer was now the party negotiating on the settlement’s behalf rather than a third party mediating between the settlement and its neighbors.</w:t>
      </w:r>
      <w:r>
        <w:rPr>
          <w:rStyle w:val="EndnoteReference"/>
        </w:rPr>
        <w:endnoteReference w:id="46"/>
      </w:r>
    </w:p>
    <w:p>
      <w:pPr>
        <w:pStyle w:val="BodyText"/>
      </w:pPr>
      <w:r>
        <w:t xml:space="preserve">The personal style of the HaShomer guards in this period — the long mustaches, the kaffiyeh headdress that several of them deliberately adopted in imitation of the Bedouin riders whose horsemanship they admired, the long Arabian-bred horses that the organization purchased through the agricultural supply networks of the Galilee, the ostentatious display of side-arms that the Ottoman authorities tolerated within limits — was the subject of a substantial amount of contemporary photographic documentation, much of which survives in the HaShomer Archive at Kfar Giladi and which has, in the century since, become one of the most enduring visual signatures of the pre-state Yishuv’s military self-image. The photographic record is, by every available reading, somewhat deceptive. The guards were not, as the photographs sometimes suggest, romantic Arabian-style cavalry; they were practical settlement security personnel whose Bedouin style was a deliberate institutional choice designed both to signal proficiency to the surrounding Palestinian population (which respected the Bedouin equestrian tradition more than it respected the European military tradition the guards were equally familiar with) and to construct, for the Yishuv’s own consumption, a Jewish military self-image distinct from the European-military patterns the founding generation had wanted to leave behind in Russia. The photographs are an institutional artifact in their own right.</w:t>
      </w:r>
      <w:r>
        <w:rPr>
          <w:rStyle w:val="EndnoteReference"/>
        </w:rPr>
        <w:endnoteReference w:id="47"/>
      </w:r>
    </w:p>
    <w:p>
      <w:pPr>
        <w:pStyle w:val="BodyText"/>
      </w:pPr>
      <w:r>
        <w:t xml:space="preserve">The operational record of HaShomer in this period is uneven, and the institutional record’s own self-description should be read with the same caution as any other in-house institutional history. There were settlements where the HaShomer contracts produced clear improvements over the previous-period arrangements — Mes’cha and Sejera both reported, in the years after their contracts began, lower rates of crop loss and a noticeable reduction in the small-scale Arab raiding that had been the settlement’s principal security problem. There were also settlements where the HaShomer arrangements were less successful — settlements where the high costs of the HaShomer contracts (paid out of cash-poor settlement accounts) were difficult to sustain, where the political tension between the HaShomer guards (committed Labor Zionists) and the settlement administrators (often more conservative Hovevei Zion or Rothschild administration figures) produced friction, where the small operational mistakes the organization made — a guard who fired on a trespasser when a verbal warning would have sufficed, a leadership decision that escalated a local dispute when a settlement administrator would have preferred to defuse it — produced consequences that the settlement felt it had to bear. The institutional record is mixed, in other words, in the way that institutional records of small-scale security organizations almost always are when they are examined in operational detail.</w:t>
      </w:r>
      <w:r>
        <w:rPr>
          <w:rStyle w:val="EndnoteReference"/>
        </w:rPr>
        <w:endnoteReference w:id="48"/>
      </w:r>
    </w:p>
    <w:p>
      <w:pPr>
        <w:pStyle w:val="BodyText"/>
      </w:pPr>
      <w:r>
        <w:t xml:space="preserve">What HaShomer built in these five years was an institutional culture more than it was a body of operational doctrine. Membership was small and was selected on stringent criteria — operational skill, political reliability, personal compatibility with the existing membership. Operations were decided by the organization’s own internal leadership in consultation with the local guards on the ground; the labor-Zionist political institutions, the Hovevei Zion committees, the Rothschild settlement administration were consulted as appropriate but did not hold command authority. And the organization functioned, fundamentally, as a network of personal relationships among approximately one hundred individuals who had all known one another for years before they joined and who would, in the years after the organization’s eventual dissolution, retain those personal connections through the decades that followed.</w:t>
      </w:r>
      <w:r>
        <w:rPr>
          <w:rStyle w:val="EndnoteReference"/>
        </w:rPr>
        <w:endnoteReference w:id="49"/>
      </w:r>
    </w:p>
    <w:p>
      <w:pPr>
        <w:pStyle w:val="BodyText"/>
      </w:pPr>
      <w:r>
        <w:t xml:space="preserve">The five years of HaShomer’s operational maturity ended in August 1914 with the Ottoman entry into the First World War on the side of the Central Powers. The war was a catastrophe for the Yishuv generally, for the agricultural settlements that depended on the European philanthropic networks for their cash flow, and for HaShomer specifically, since the Ottoman authorities — newly suspicious of the European citizenship of most of the Yishuv’s male population, newly mobilizing the country’s resources for the war effort, newly concerned about internal security in a province that bordered the British-held Sinai and that would, by 1917, become a theatre of British–Ottoman military operations — moved through 1914 and 1915 to expel, deport, conscript, or otherwise neutralize the Yishuv’s organized male population. HaShomer’s operations contracted; several of its members were deported to Egypt as enemy aliens; others fled to the smaller Galilee settlements where Ottoman authority was weakest; the broader operational infrastructure the organization had built between 1909 and 1914 became, by 1916, increasingly difficult to sustain.</w:t>
      </w:r>
      <w:r>
        <w:rPr>
          <w:rStyle w:val="EndnoteReference"/>
        </w:rPr>
        <w:endnoteReference w:id="50"/>
      </w:r>
    </w:p>
    <w:p>
      <w:pPr>
        <w:pStyle w:val="BodyText"/>
      </w:pPr>
      <w:r>
        <w:t xml:space="preserve">The institutional story HaShomer had constructed before the war did not survive the war intact. The personal network the organization had built — and the institutional habits it had instilled in its members — would survive, and would become the resource on which the post-war Yishuv would build what came next.</w:t>
      </w:r>
    </w:p>
    <w:bookmarkEnd w:id="51"/>
    <w:bookmarkStart w:id="60" w:name="nili-19151917"/>
    <w:p>
      <w:pPr>
        <w:pStyle w:val="Heading2"/>
      </w:pPr>
      <w:r>
        <w:t xml:space="preserve">1.6 NILI, 1915–1917</w:t>
      </w:r>
    </w:p>
    <w:p>
      <w:pPr>
        <w:pStyle w:val="FirstParagraph"/>
      </w:pPr>
      <w:r>
        <w:t xml:space="preserve">There is no honest way to tell the story of Jewish armed self-defense in Palestine during the First World War without telling the story of NILI, and there is no honest way to tell the story of NILI that fully integrates it into the institutional history this chapter is reconstructing. NILI was not a defense organization. It was an intelligence network. Its operational purpose was to supply information from inside Ottoman Palestine to British military intelligence in Egypt. Its members were not HaShomer members; the two organizations operated in parallel, with little institutional contact and with substantial mutual suspicion. NILI’s institutional inheritance — its place in the longer arc of the Yishuv’s military development — has been disputed for the entire century since the organization’s destruction in October 1917, and the dispute is not settled by my account here. What is settled is that NILI established, in its three years of operations, the first documented case in modern Jewish history of an organized clandestine intelligence-collection operation conducted by Jews against a hostile state in service of a competing power, and that the operational tradecraft, personnel patterns, and institutional vocabulary the network developed in those three years would resurface, in different organizational form, in every subsequent Yishuv and Israeli intelligence service. NILI belongs in the institutional history this chapter is reconstructing, and the chapter is incomplete without it.</w:t>
      </w:r>
      <w:r>
        <w:rPr>
          <w:rStyle w:val="EndnoteReference"/>
        </w:rPr>
        <w:endnoteReference w:id="52"/>
      </w:r>
    </w:p>
    <w:p>
      <w:pPr>
        <w:pStyle w:val="BodyText"/>
      </w:pPr>
      <w:r>
        <w:t xml:space="preserve">The organization’s central figures were the Aaronsohn family — Aaron Aaronsohn, the agronomist who had become, by the 1910s, one of the most prominent figures in the European-funded agricultural research establishment in Palestine; his sister Sarah Aaronsohn, who would become the network’s operational anchor in the period after Aaron’s relocation to Egypt; their younger brother Alexander Aaronsohn, who served as one of the network’s principal couriers across the Sinai front; and Avshalom Feinberg, Aaron’s assistant at the agricultural research station at Atlit and the network’s co-founder, whose death in the Sinai desert in January 1917 became, in the network’s later mythology, the founding sacrifice. The Aaronsohns were not Labor Zionists. They were, by the political vocabulary of the period, members of the Yishuv ha-Yashan’s settler bourgeoisie — Romanian-Jewish immigrants of the late nineteenth century whose family had become prosperous through agricultural development and who, by the early twentieth century, were politically and culturally distinct from the Russian-Jewish Labor Zionist milieu out of which HaShomer had emerged. The institutional separation between NILI and HaShomer was, in part, this political-cultural separation; it was, in part, the structural separation that the two organizations’ different operational purposes imposed; and it was, in part, the operational caution that any clandestine intelligence network must maintain regarding any other organization it cannot directly control.</w:t>
      </w:r>
      <w:r>
        <w:rPr>
          <w:rStyle w:val="EndnoteReference"/>
        </w:rPr>
        <w:endnoteReference w:id="53"/>
      </w:r>
    </w:p>
    <w:p>
      <w:pPr>
        <w:pStyle w:val="BodyText"/>
      </w:pPr>
      <w:r>
        <w:t xml:space="preserve">The network’s origin was in the summer of 1915, when the Ottoman wartime mobilization had begun to impose conditions on the Yishuv that the Aaronsohn family had concluded constituted a strategic threat to the long-term survival of the Jewish population. The expulsions, the conscriptions, the agricultural requisitions, and — above all — the visible threat that the Ottoman authorities might apply to the Yishuv the same systematic ethnic-cleansing program they had begun, in the same year, to apply to the Armenian population of eastern Anatolia, were the proximate triggers. Aaron Aaronsohn had personal contacts in the British scientific community in Egypt through his pre-war agricultural research. He concluded that the Yishuv’s survival required active cooperation with the British military effort against the Ottomans. He proposed, to his sister Sarah and to Avshalom Feinberg, the construction of a clandestine network that would supply British intelligence with the information the British would need to plan and execute the eventual campaign for the conquest of Palestine. The proposal was accepted. Through the autumn of 1915 and into 1916, the network was constructed.</w:t>
      </w:r>
      <w:r>
        <w:rPr>
          <w:rStyle w:val="EndnoteReference"/>
        </w:rPr>
        <w:endnoteReference w:id="54"/>
      </w:r>
    </w:p>
    <w:p>
      <w:pPr>
        <w:pStyle w:val="BodyText"/>
      </w:pPr>
      <w:r>
        <w:t xml:space="preserve">The operational tradecraft NILI developed across 1915 and 1916 was elementary by the standards of the major intelligence services of the period — the network had no radio communications, no formal organizational structure, no funded operations budget — but it was sophisticated by the standards of any prior Jewish intelligence operation in modern history. The network used the Atlit agricultural research station as its operational base. It used the agricultural research apparatus — the field surveys, the soil samples, the meteorological observations, the irrigation projects — as cover for the systematic collection of information about Ottoman military deployments, supply movements, and infrastructure conditions across the country. It used carrier pigeons, when these could be obtained, for short-range communication. It used couriers — Alexander Aaronsohn and the smaller group of trusted operators — for the longer-range transmission of intelligence reports from Atlit to the British naval vessels that, after 1916, would patrol the coast at predetermined rendezvous points to receive the network’s reports. It used the family’s pre-war commercial and scientific networks across the country as the social infrastructure for the collection effort.</w:t>
      </w:r>
      <w:r>
        <w:rPr>
          <w:rStyle w:val="EndnoteReference"/>
        </w:rPr>
        <w:endnoteReference w:id="55"/>
      </w:r>
    </w:p>
    <w:p>
      <w:pPr>
        <w:pStyle w:val="BodyText"/>
      </w:pPr>
      <w:r>
        <w:t xml:space="preserve">The network’s most consequential operational failure was Avshalom Feinberg’s January 1917 death in the Sinai desert, during a courier mission that attempted to cross the Ottoman-British lines on foot. Feinberg and his courier partner, Yosef Lishansky, were attacked by Bedouin raiders shortly after crossing into the no-man’s-land between the Ottoman lines and the British forward positions. Feinberg was killed. Lishansky was wounded but survived; he reached British lines, was treated in an Egyptian military hospital, and would return to Palestine in the spring of 1917 as one of the network’s most active operators in the months before its destruction. The Sinai losses changed the network’s operational calculus — it became clear that the overland courier route was too dangerous to sustain — and the network shifted to maritime exfiltration via the British naval rendezvous off the coast at Atlit as its primary communication channel. The shift was, in retrospect, the operational decision that would, by October 1917, expose the network to Ottoman counter-intelligence.</w:t>
      </w:r>
      <w:r>
        <w:rPr>
          <w:rStyle w:val="EndnoteReference"/>
        </w:rPr>
        <w:endnoteReference w:id="56"/>
      </w:r>
    </w:p>
    <w:p>
      <w:pPr>
        <w:pStyle w:val="BodyText"/>
      </w:pPr>
      <w:r>
        <w:t xml:space="preserve">The network’s destruction came in October 1917, less than a month before General Edmund Allenby’s British forces would launch the offensive that would, by December 1917, place Jerusalem in British hands and that the NILI intelligence had been gathered to support. A carrier pigeon dispatched from Atlit on 3 September 1917, intended to convey a routine intelligence report to the British forward operating base in northern Sinai, lost its course and landed in a Caesarea Ottoman military camp some forty kilometers up the coast. The pigeon was captured; the message it carried was decoded; the Ottoman authorities, who had for months suspected the existence of a Jewish-run intelligence network operating somewhere along the central coast, now had operational confirmation. The investigation proceeded with the speed and brutality that characterized Ottoman wartime counter-intelligence operations across the empire. By the first week of October, Ottoman security forces had identified the Atlit research station as the network’s base. They arrested the network’s known associates across the country. They placed Sarah Aaronsohn under detention at her family’s home in Zikhron Ya’akov, interrogating her for several days under torture. On 9 October 1917, anticipating that further interrogation would compromise the surviving members of the network, Sarah Aaronsohn shot herself; she died of the wound four days later. Lishansky was captured several weeks later in the Judean hills; he was tried by an Ottoman military court and executed by hanging in Damascus on 16 December 1917 — three days after Allenby’s forces had entered Jerusalem from the south. The network ceased operating.</w:t>
      </w:r>
      <w:r>
        <w:rPr>
          <w:rStyle w:val="EndnoteReference"/>
        </w:rPr>
        <w:endnoteReference w:id="57"/>
      </w:r>
    </w:p>
    <w:p>
      <w:pPr>
        <w:pStyle w:val="BodyText"/>
      </w:pPr>
      <w:r>
        <w:t xml:space="preserve">The institutional consequences of NILI for the Yishuv’s military development are difficult to summarize because they are contested, even today, in the Israeli historical literature. The contemporary Labor Zionist leadership — Ben-Gurion, the HaShomer leadership, the Ahdut HaAvoda intellectuals who would shape the post-1920 Yishuv — regarded NILI’s collaboration with the British as a political miscalculation that had endangered the Yishuv’s standing with the Ottoman authorities and that had been retrospectively vindicated only by the contingent fact of Ottoman defeat. The Aaronsohns’ political descendants and the broader settler-bourgeois milieu out of which NILI had emerged regarded the network as the first serious Jewish military-intelligence operation in modern history and as the unsung foundation on which all subsequent Israeli intelligence services would later build. The dispute carried through into the institutional consciousness of the post-1948 Israeli intelligence community — the Mossad, the Shin Bet, AMAN — none of which formally acknowledged NILI as an institutional ancestor until well into the 1990s, but all of which retained, in the senior personnel networks of the founding generation, individuals who had known the surviving Aaronsohns personally and who had absorbed NILI’s institutional lessons.</w:t>
      </w:r>
      <w:r>
        <w:rPr>
          <w:rStyle w:val="EndnoteReference"/>
        </w:rPr>
        <w:endnoteReference w:id="58"/>
      </w:r>
    </w:p>
    <w:p>
      <w:pPr>
        <w:pStyle w:val="BodyText"/>
      </w:pPr>
      <w:r>
        <w:t xml:space="preserve">For the purposes of the long argument this book is making, NILI matters in two specific respects.</w:t>
      </w:r>
    </w:p>
    <w:p>
      <w:pPr>
        <w:pStyle w:val="BodyText"/>
      </w:pPr>
      <w:r>
        <w:t xml:space="preserve">It matters, first, because NILI established that Jews in Palestine were institutionally capable of conducting an organized intelligence operation against a hostile state. The institutional pattern — clandestine collection, courier-based transmission, maritime exfiltration, cover identities embedded in legitimate commercial or scientific activity — would resurface, in modified form, in every subsequent Yishuv and Israeli intelligence operation, including the Aliyah Bet illegal-immigration operations of the 1930s and 1940s, the Mossad le-Aliyah Bet of the late Mandate period, the Shai (the Haganah’s intelligence service) of the 1940s, and the formal Israeli intelligence services of the post-1948 state. The institutional template NILI established — small network, personal trust, cover identities, foreign-power collaboration when strategic interests aligned — was, in important respects, the template the Israeli intelligence services would still be operating on a half-century later.</w:t>
      </w:r>
    </w:p>
    <w:p>
      <w:pPr>
        <w:pStyle w:val="BodyText"/>
      </w:pPr>
      <w:r>
        <w:t xml:space="preserve">It matters, second, because NILI established the principle that intelligence collection by Jewish personnel inside hostile territory was an instrument of national policy rather than an avocation of individual adventurers. The pre-NILI history of Jewish-conducted intelligence in Palestine is the history of individual Jews who happened to have political or commercial reasons for collecting information that occasionally proved useful to one or another foreign power; NILI was the first instance of an organized, institutionally directed, collectively decided collection operation conducted by Jews in the service of an articulated national interest. The institutional shift — from individual avocation to collective national policy — is the conceptual shift on which every subsequent Israeli SOF intelligence operation, from the Sayeret Matkal Bird Operations of 1963–1967 through the contemporary Mab”m operations against Iran, has rested.</w:t>
      </w:r>
    </w:p>
    <w:p>
      <w:pPr>
        <w:pStyle w:val="BodyText"/>
      </w:pPr>
      <w:r>
        <w:t xml:space="preserve">NILI did not survive its founders. The institutional principle it established did.</w:t>
      </w:r>
      <w:r>
        <w:rPr>
          <w:rStyle w:val="EndnoteReference"/>
        </w:rPr>
        <w:endnoteReference w:id="59"/>
      </w:r>
    </w:p>
    <w:bookmarkEnd w:id="60"/>
    <w:bookmarkStart w:id="70" w:name="the-jewish-legion-19151918"/>
    <w:p>
      <w:pPr>
        <w:pStyle w:val="Heading2"/>
      </w:pPr>
      <w:r>
        <w:t xml:space="preserve">1.7 The Jewish Legion, 1915–1918</w:t>
      </w:r>
    </w:p>
    <w:p>
      <w:pPr>
        <w:pStyle w:val="FirstParagraph"/>
      </w:pPr>
      <w:r>
        <w:t xml:space="preserve">The institutional story that runs parallel to NILI through the First World War years — and that ends with a more straightforwardly positive operational and institutional outcome — is the story of the Jewish military units that formed within the British Army between 1915 and 1918, and that have come down to the historical record under the general name of the Jewish Legion.</w:t>
      </w:r>
      <w:r>
        <w:rPr>
          <w:rStyle w:val="EndnoteReference"/>
        </w:rPr>
        <w:endnoteReference w:id="61"/>
      </w:r>
    </w:p>
    <w:p>
      <w:pPr>
        <w:pStyle w:val="BodyText"/>
      </w:pPr>
      <w:r>
        <w:t xml:space="preserve">The story begins, as the institutional histories generally agree, in Alexandria in the late spring of 1915, with the convergence of two individuals whose institutional energies would, between them, produce the first formal Jewish military unit in modern history that operated as an integrated component of a Great Power’s regular military forces. The two were Yosef Trumpeldor — the Russian-Jewish veteran of the Russo-Japanese War who had lost his left arm at the siege of Port Arthur in 1904, who had been decorated with the four classes of the Cross of Saint George (the highest enlisted decoration the Tsarist army could award), and who had emigrated to Palestine in 1912 as one of the most prominent figures of the Zionist movement — and Ze’ev Jabotinsky, the Russian-Jewish journalist and Zionist activist whose political-organizational talents had, by 1915, made him the most consequential public advocate for the construction of a formal Jewish military force inside the Allied armies. Trumpeldor had been deported from Palestine to Egypt by the Ottoman authorities in the early months of 1915, along with several thousand other foreign-passport Jews whom the wartime administration regarded as a security risk. Jabotinsky had arrived in Alexandria, by his own subsequent account, with the specific intention of using the dislocated Palestinian-Jewish refugee population as the personnel base for a Zionist military initiative that he had begun to think about in the closing months of 1914.</w:t>
      </w:r>
      <w:r>
        <w:rPr>
          <w:rStyle w:val="EndnoteReference"/>
        </w:rPr>
        <w:endnoteReference w:id="62"/>
      </w:r>
    </w:p>
    <w:p>
      <w:pPr>
        <w:pStyle w:val="BodyText"/>
      </w:pPr>
      <w:r>
        <w:t xml:space="preserve">The two men met in the Alexandria refugee community in April or May 1915. Their political and personal differences were substantial — Trumpeldor was a temperamentally cautious officer with a working-class Russian military background; Jabotinsky was a Polish-Jewish intellectual with no military experience and a famously confrontational temperament — but their institutional alignment was complete. Both believed that the moment of the war was the moment at which the Zionist movement had to establish a formal military presence inside an Allied army. Both believed that the British command in Egypt was the institutional access point through which the presence could be established. Both believed that the long-term political consequence — the establishment of a Jewish national right to military force, recognized by the Great Powers as part of the war’s eventual settlement — outweighed the short-term operational compromises that the British command would inevitably demand. They committed themselves to the joint pursuit of the project, divided their roles — Trumpeldor would handle the military negotiations with the British command; Jabotinsky would handle the political-organizational work with the refugee community and with the broader Allied political establishment — and began.</w:t>
      </w:r>
      <w:r>
        <w:rPr>
          <w:rStyle w:val="EndnoteReference"/>
        </w:rPr>
        <w:endnoteReference w:id="63"/>
      </w:r>
    </w:p>
    <w:p>
      <w:pPr>
        <w:pStyle w:val="BodyText"/>
      </w:pPr>
      <w:r>
        <w:t xml:space="preserve">The first operational result of their efforts was the Zion Mule Corps, formed under British command in March 1915 and authorized as an auxiliary supply unit for the British forces being assembled for the Gallipoli campaign that would, on 25 April, open the Dardanelles offensive. The Mule Corps was not, by the standards either Trumpeldor or Jabotinsky had hoped for, a Jewish combat unit. It was an auxiliary transport unit, organized to move ammunition and supplies from the beach landing zones up the steep cliffs of the Gallipoli peninsula to the British forward positions — work that required, principally, the management of pack mules under fire, and that was given to the Mule Corps in part because the British command preferred to use Jewish foreign-passport personnel for support functions rather than for combat. Jabotinsky, who had argued for a Jewish combat unit, refused to participate in the Mule Corps and used the months of its existence to press for the more ambitious institutional outcome that he and Trumpeldor had originally envisioned. Trumpeldor, who accepted the Mule Corps as the available institutional vehicle, went to Gallipoli with it. The unit’s commanding officer was Lieutenant-Colonel John Henry Patterson, a British officer of Irish background whose pre-war career as a railway engineer and big-game hunter in colonial Africa had supplied him with one of the most distinctive personal résumés in the British officer corps of the period and whose subsequent advocacy for the Zionist cause would become one of the most important British contributions to the institutional history of the Yishuv military project.</w:t>
      </w:r>
      <w:r>
        <w:rPr>
          <w:rStyle w:val="EndnoteReference"/>
        </w:rPr>
        <w:endnoteReference w:id="64"/>
      </w:r>
    </w:p>
    <w:p>
      <w:pPr>
        <w:pStyle w:val="BodyText"/>
      </w:pPr>
      <w:r>
        <w:t xml:space="preserve">The Mule Corps’s operational record at Gallipoli was, by every available account, considerably more distinguished than the unit’s auxiliary status had implied. The Corps moved supplies under sustained Ottoman fire across some of the most difficult terrain of the Gallipoli campaign. Trumpeldor, despite his missing arm, was repeatedly cited by Patterson and by the British divisional command for personal bravery under fire. Several Mule Corps personnel were killed in action; several more were wounded. The unit’s casualty rate, on a per-capita basis, was comparable to that of the British line infantry battalions operating in the same sector. By the time the British forces evacuated Gallipoli in January 1916, the Mule Corps had established — in the operational record of a campaign that produced few institutional positives for any of the units that fought in it — a documented Jewish military performance that the broader Zionist political effort could draw on as evidence of the Jewish population’s military capability.</w:t>
      </w:r>
      <w:r>
        <w:rPr>
          <w:rStyle w:val="EndnoteReference"/>
        </w:rPr>
        <w:endnoteReference w:id="65"/>
      </w:r>
    </w:p>
    <w:p>
      <w:pPr>
        <w:pStyle w:val="BodyText"/>
      </w:pPr>
      <w:r>
        <w:t xml:space="preserve">The Mule Corps’s longer-term significance, however, was not its Gallipoli performance per se but its role as the institutional precedent for the formation, in the years that followed, of the three formal British infantry battalions that came collectively to be called the Jewish Legion. Between 1917 and 1918, the British War Office authorized the creation of three battalions of the Royal Fusiliers regiment that were composed, in their majority, of Jewish personnel. The 38th Royal Fusiliers, raised in London in the summer of 1917 from British-domiciled Jews, was commanded by Patterson — the same Patterson who had commanded the Mule Corps — and contained, among its other personnel, a young David Ben-Gurion and a young Yitzhak Ben-Zvi, both of whom had been deported from Palestine by the Ottomans and had made their way through Egypt to the United States, where they had recruited extensively for the Jewish military effort before crossing to England to enlist. The 39th Royal Fusiliers, raised in Nova Scotia from American and Canadian Jewish volunteers, joined the 38th in Palestine in the spring of 1918. The 40th Royal Fusiliers, raised in Palestine itself from the local Jewish population after Allenby’s December 1917 conquest of Jerusalem, completed the formation of the Legion in the summer of 1918. All three battalions saw operational service in the Jordan Valley campaign of September–October 1918 that completed the British conquest of Palestine.</w:t>
      </w:r>
      <w:r>
        <w:rPr>
          <w:rStyle w:val="EndnoteReference"/>
        </w:rPr>
        <w:endnoteReference w:id="66"/>
      </w:r>
    </w:p>
    <w:p>
      <w:pPr>
        <w:pStyle w:val="BodyText"/>
      </w:pPr>
      <w:r>
        <w:t xml:space="preserve">The Jewish Legion’s operational contribution to the conquest of Palestine was modest. The Legion battalions were brigaded with conventional British infantry formations, assigned secondary roles in the operational planning, and produced no decisive contribution to the campaign’s outcome. Its institutional contribution was larger. The 38th, 39th, and 40th Royal Fusiliers were, in their official British designations, regular Royal Fusiliers battalions; in their internal organization, their unit ceremonial, their religious-observance arrangements, and their popular self-identification, they were Jewish battalions. The British Army’s accommodation of that double identity — Hebrew prayer arrangements, Jewish dietary provisions, the Shield of David insignia incorporated into the unit badges — was the first time in the modern era that a Great Power’s military had formally recognized Jewish soldiers as Jewish soldiers.</w:t>
      </w:r>
      <w:r>
        <w:rPr>
          <w:rStyle w:val="EndnoteReference"/>
        </w:rPr>
        <w:endnoteReference w:id="67"/>
      </w:r>
    </w:p>
    <w:p>
      <w:pPr>
        <w:pStyle w:val="BodyText"/>
      </w:pPr>
      <w:r>
        <w:t xml:space="preserve">The 38th and 39th Royal Fusiliers contained, in their ranks, a remarkable concentration of individuals who would, in the post-war Yishuv, become senior figures of the Haganah, the Yishuv labor leadership, and the political leadership of the State of Israel. Ben-Gurion, Ben-Zvi, Eliyahu Golomb (the future Haganah leader, who served in the Mule Corps), Berl Katznelson (the future Ahdut HaAvoda intellectual leader, who attempted to enlist but was rejected on health grounds) all passed through the Legion experience.</w:t>
      </w:r>
      <w:r>
        <w:rPr>
          <w:rStyle w:val="EndnoteReference"/>
        </w:rPr>
        <w:endnoteReference w:id="68"/>
      </w:r>
    </w:p>
    <w:p>
      <w:pPr>
        <w:pStyle w:val="BodyText"/>
      </w:pPr>
      <w:r>
        <w:t xml:space="preserve">The Balfour Declaration of November 1917, which committed the British government to support the establishment of a Jewish national home in Palestine, was issued less than three months after the formation of the 38th Royal Fusiliers; whether the Legion’s existence was a factor in the British War Cabinet’s deliberations remains a question the diplomatic-history literature has not fully resolved. By the end of 1919, all three battalions had been disbanded and the Jewish military presence inside the British Army formally terminated.</w:t>
      </w:r>
      <w:r>
        <w:rPr>
          <w:rStyle w:val="EndnoteReference"/>
        </w:rPr>
        <w:endnoteReference w:id="69"/>
      </w:r>
    </w:p>
    <w:bookmarkEnd w:id="70"/>
    <w:bookmarkStart w:id="75" w:name="X6f680c491393e0b8712b7bf6292c0a0e419b2a5"/>
    <w:p>
      <w:pPr>
        <w:pStyle w:val="Heading2"/>
      </w:pPr>
      <w:r>
        <w:t xml:space="preserve">1.8 Trumpeldor and the Crimean Training Camp, 1919</w:t>
      </w:r>
    </w:p>
    <w:p>
      <w:pPr>
        <w:pStyle w:val="FirstParagraph"/>
      </w:pPr>
      <w:r>
        <w:t xml:space="preserve">The thread of the institutional story this chapter is tracing now braids together. Yosef Trumpeldor, the Mule Corps commander, had returned to Russia in the late summer of 1917, in the chaos of the months between the February and October Russian Revolutions, to organize what he hoped would be a Russian-Jewish military force that could, after the war’s end, transfer in formed units to Palestine. The Russian Civil War conditions made the formation of any such force impossible. By the autumn of 1918, Trumpeldor had concluded that the available institutional path was the establishment of agricultural-training camps in the Russian-Jewish hinterland that would prepare young Russian Jews — physically, technically, and ideologically — for emigration to Palestine when the political situation permitted. The institutional vehicle Trumpeldor constructed was the HeHalutz (The Pioneer) movement, which by early 1919 had begun to organize training operations in several locations across the disintegrating Russian Empire’s southwestern provinces.</w:t>
      </w:r>
      <w:r>
        <w:rPr>
          <w:rStyle w:val="EndnoteReference"/>
        </w:rPr>
        <w:endnoteReference w:id="71"/>
      </w:r>
    </w:p>
    <w:p>
      <w:pPr>
        <w:pStyle w:val="BodyText"/>
      </w:pPr>
      <w:r>
        <w:t xml:space="preserve">The most important of these operations was the agricultural-training camp Trumpeldor established in the Crimean peninsula, near the Black Sea port of Sevastopol, in the spring of 1919. The Crimean camp was a small institutional facility — perhaps fifty trainees at any given time, supported by a handful of permanent staff, operating in deteriorating Russian Civil War conditions that made even the camp’s basic logistical sustainment a matter of constant improvisation. Its institutional purpose was the threefold project of preparing the Russian-Jewish youth who passed through it for the agricultural, the Hebrew-linguistic, and — Trumpeldor’s particular insistence — the self-defense requirements of life in Palestine. The Crimean camp was the first institutional facility in modern Jewish history at which a coherent program of paramilitary training was organized for a population of Jewish civilians on their way to a Jewish military future. The men and women who passed through it would, over the course of the next decade, supply a disproportionate share of the early Haganah’s officer corps and an important fraction of the senior personnel of the Yishuv’s labor-Zionist leadership of the 1920s and 1930s.</w:t>
      </w:r>
      <w:r>
        <w:rPr>
          <w:rStyle w:val="EndnoteReference"/>
        </w:rPr>
        <w:endnoteReference w:id="72"/>
      </w:r>
    </w:p>
    <w:p>
      <w:pPr>
        <w:pStyle w:val="BodyText"/>
      </w:pPr>
      <w:r>
        <w:t xml:space="preserve">It was at the Crimean camp, in October or November 1919, that Trumpeldor encountered a thirty-year-old former Tsarist army officer and recent Red Army defector named Yitzhak Landoberg — the figure whom Chapter 2 of this book will introduce in detail as Yitzhak Sadeh, the first of the three entrepreneurs around whose institutional careers the rest of the book is organized. Landoberg had crossed several hundred kilometers of contested Civil War ground to reach the Crimea. He had arrived, by his own subsequent account, in the condition of a man who had run out of options inside the revolutionary Russia he had spent his early adult life trying to remake, and who needed, more urgently than he could explain to his Hechalutz hosts at the camp, a place to stop. He stayed for three months. He drank, talked, and read with Trumpeldor through the winter of 1919–1920 in the kitchen of the Crimean base — the encounter that, as Chapter 2 will describe, would in the standard biographical account become the personal-relational vehicle through which Landoberg’s own political trajectory turned eastward, away from the failing Russian revolution, toward the Jewish national project in Palestine that Trumpeldor had spent the preceding decade building toward.</w:t>
      </w:r>
      <w:r>
        <w:rPr>
          <w:rStyle w:val="EndnoteReference"/>
        </w:rPr>
        <w:endnoteReference w:id="73"/>
      </w:r>
    </w:p>
    <w:p>
      <w:pPr>
        <w:pStyle w:val="BodyText"/>
      </w:pPr>
      <w:r>
        <w:t xml:space="preserve">Trumpeldor left the Crimea for Palestine in January 1920. He had been called north by the Yishuv’s labor-Zionist leadership to organize the defense of the small Jewish settlements in the Upper Galilee, where the postwar collapse of Ottoman authority and the slow arrival of the French and British mandate boundaries had left a vacuum that local Arab forces — including the irregulars of the short-lived Arab Kingdom of Syria under Faisal — were beginning to fill with raids on the Jewish settlements. The new line of the British mandate, which had not yet been finally surveyed, ran somewhere through the Upper Galilee, and the Jewish settlements just south of the proposed line — Metulla, Hamara, Kfar Giladi, Tel-Hai — were exposed both to the operational pressure of the Arab raiding parties and to the political uncertainty of which Great Power’s mandate they would, in the eventual settlement, fall under. Trumpeldor’s arrival in the Galilee in the early weeks of 1920 was the institutional response the Yishuv’s labor-Zionist leadership had been able to construct on short notice; it was also, as the events of 1 March 1920 would demonstrate, an institutional response that was not commensurate with the operational scale of the threat the Upper Galilee settlements faced.</w:t>
      </w:r>
      <w:r>
        <w:rPr>
          <w:rStyle w:val="EndnoteReference"/>
        </w:rPr>
        <w:endnoteReference w:id="74"/>
      </w:r>
    </w:p>
    <w:p>
      <w:pPr>
        <w:pStyle w:val="BodyText"/>
      </w:pPr>
      <w:r>
        <w:t xml:space="preserve">The Crimean camp closed in the spring of 1920, in the final weeks of the Russian Civil War’s southwestern campaign that placed the Crimea decisively under Bolshevik control. The HeHalutz movement’s institutional infrastructure in the Russian Empire collapsed within the year that followed. The personnel who had passed through the camp dispersed — some to Palestine via the increasingly difficult emigration routes, some to other European countries, some who would never leave Russia at all. The institutional vehicle Trumpeldor had constructed did not survive his departure for Palestine.</w:t>
      </w:r>
    </w:p>
    <w:p>
      <w:pPr>
        <w:pStyle w:val="BodyText"/>
      </w:pPr>
      <w:r>
        <w:t xml:space="preserve">The institutional principle it had established — that Jewish agricultural-paramilitary training could be conducted, in organized form, at scale, for a defined population, with the explicit operational goal of preparing that population for life inside a Jewish military future — would survive. The principle would, in the subsequent decade, become the institutional template on which the labor-Zionist youth movements would build their own internal paramilitary-training infrastructure, and the institutional template on which the post-1920 Haganah would build its own training apparatus. The Crimean camp’s small institutional fact would, in the longer arc, become one of the constitutive precedents for the Yishuv’s later military development.</w:t>
      </w:r>
    </w:p>
    <w:p>
      <w:pPr>
        <w:pStyle w:val="BodyText"/>
      </w:pPr>
      <w:r>
        <w:t xml:space="preserve">What awaited Trumpeldor at Tel-Hai is the subject of §1.9 below. What awaited Yitzhak Landoberg in Palestine, where he would arrive — by the same chain of personal and political decisions that the Crimean encounter had set in motion — in the late summer of 1920, is the subject of the chapter that follows.</w:t>
      </w:r>
    </w:p>
    <w:bookmarkEnd w:id="75"/>
    <w:bookmarkStart w:id="85" w:name="tel-hai-march-1920"/>
    <w:p>
      <w:pPr>
        <w:pStyle w:val="Heading2"/>
      </w:pPr>
      <w:r>
        <w:t xml:space="preserve">1.9 Tel-Hai, March 1920</w:t>
      </w:r>
    </w:p>
    <w:p>
      <w:pPr>
        <w:pStyle w:val="FirstParagraph"/>
      </w:pPr>
      <w:r>
        <w:t xml:space="preserve">On the first of March 1920, a Monday morning in the high country north of the Sea of Galilee, the small Jewish settlement of Tel-Hai — a few wooden structures, a courtyard, several outbuildings, and the perimeter wall the settlement’s residents had built over the preceding months out of basalt stones quarried from the surrounding fields — became the site of the most consequential firefight in the institutional history of the pre-state Yishuv. Eight Jewish defenders were killed in the engagement, including Yosef Trumpeldor. Five Arab raiders were killed. The settlement was evacuated in the days that followed. The institutional significance of the morning’s events would, in the half-century that followed, be the subject of a Hebrew literary, political, and educational reconstruction more elaborate than any other single episode in Yishuv military history before 1948 received — and the reconstruction would, in important respects, set the terms inside which every subsequent Yishuv and Israeli engagement with the question of military sacrifice would have to be argued.</w:t>
      </w:r>
      <w:r>
        <w:rPr>
          <w:rStyle w:val="EndnoteReference"/>
        </w:rPr>
        <w:endnoteReference w:id="76"/>
      </w:r>
    </w:p>
    <w:p>
      <w:pPr>
        <w:pStyle w:val="BodyText"/>
      </w:pPr>
      <w:r>
        <w:t xml:space="preserve">The structural conditions that produced the morning’s events deserve specific naming, because the chapter’s institutional argument depends on them. The Upper Galilee in early 1920 was, in legal terms, a zone of jurisdictional uncertainty. The Sykes-Picot Agreement of 1916 had assigned the territory north of a line running roughly from Acre to the Sea of Galilee to the French sphere of influence; the post-war Anglo-French negotiations had, by early 1920, modified the Sykes-Picot line in ways that placed the Upper Galilee inside the area provisionally administered by the French in their capacity as the new mandatory power for Syria and Lebanon. The British, who had administered the Galilee militarily after the 1918 conquest of Palestine, had withdrawn their forces from the area in the early weeks of 1920 in anticipation of the formal mandate boundary settlement, but the French had not yet deployed administrative or security personnel into the vacated area. The result was a zone of approximately one hundred square kilometers in the Upper Galilee — including the settlements of Metulla, Hamara, Kfar Giladi, and Tel-Hai — that, in March 1920, had no functioning state authority of any kind.</w:t>
      </w:r>
      <w:r>
        <w:rPr>
          <w:rStyle w:val="EndnoteReference"/>
        </w:rPr>
        <w:endnoteReference w:id="77"/>
      </w:r>
    </w:p>
    <w:p>
      <w:pPr>
        <w:pStyle w:val="BodyText"/>
      </w:pPr>
      <w:r>
        <w:t xml:space="preserve">The vacuum was being filled by the irregular military forces of the short-lived Arab Kingdom of Syria under Faisal ibn Hussein, the Hashemite prince whose forces had conducted the Arab Revolt of 1916–1918 in cooperation with T. E. Lawrence and the British military and who had, in March 1920 — at almost the same moment the Tel-Hai engagement was unfolding — been proclaimed King of Syria at a congress in Damascus. The Faisal regime’s institutional reach into the Upper Galilee was thin; its operational control over the irregular forces operating in the area was thinner; the local Arab village leaderships that had historically dominated the region were operating, in early 1920, with effectively unconstrained authority. The Jewish settlements of the Upper Galilee — small, isolated, geographically exposed, dependent on agricultural cash flows that the wartime collapse had reduced to almost nothing — were the most vulnerable foreign-passport population in the entire territory.</w:t>
      </w:r>
      <w:r>
        <w:rPr>
          <w:rStyle w:val="EndnoteReference"/>
        </w:rPr>
        <w:endnoteReference w:id="78"/>
      </w:r>
    </w:p>
    <w:p>
      <w:pPr>
        <w:pStyle w:val="BodyText"/>
      </w:pPr>
      <w:r>
        <w:t xml:space="preserve">Trumpeldor had arrived in the Upper Galilee in February 1920, two months after his departure from the Crimean training camp, in response to the Yishuv’s labor-Zionist leadership’s urgent request that he assess the security situation and organize whatever defensive arrangements could be improvised on short notice. He brought with him a small group of HeHalutz veterans whom he had drawn from the Crimean cohort and the Jewish-immigrant communities of Egypt and Beirut. By the last week of February 1920, he had distributed approximately twenty trained defenders across the four settlements, with the largest concentration — perhaps a dozen — at Tel-Hai, which the Yishuv leadership had assessed as the most exposed of the four. The defenders were armed with a mix of European military rifles — Lebel, Mauser, Mosin-Nagant — acquired through the same informal channels that had supplied HaShomer with its weapons before the war. They had improvised a communications system based on visual signals between the four settlements. They had no support from any external force.</w:t>
      </w:r>
      <w:r>
        <w:rPr>
          <w:rStyle w:val="EndnoteReference"/>
        </w:rPr>
        <w:endnoteReference w:id="79"/>
      </w:r>
    </w:p>
    <w:p>
      <w:pPr>
        <w:pStyle w:val="BodyText"/>
      </w:pPr>
      <w:r>
        <w:t xml:space="preserve">The morning of 1 March 1920 began with the arrival at Tel-Hai of a small Arab delegation from one of the surrounding villages — al-Khalisa, by the standard reconstruction — under the leadership of Kamel Hussein, a local notable whom the settlement’s records had identified as a moderate figure who had previously negotiated with the settlement leadership on routine matters. The delegation’s nominal purpose was to search the settlement for French military personnel whom the irregular forces operating in the area had suspected the settlement of harboring. The settlement’s leadership — Trumpeldor and several others — admitted the delegation under the assumption that the search would be brief and that a peaceful resolution was possible. The delegation entered the courtyard. The search began. What happened next is, in the historical reconstruction, disputed in its specifics. The standard accounts agree that one of the Arab delegation members fired a weapon in the upper room of the courtyard building, where one of the female Yishuv defenders — Devorah Drachler — was on watch; that Drachler returned fire; that the courtyard exploded into a general firefight between the Arab delegation and the Yishuv defenders; that within the first minute of the engagement Trumpeldor had been wounded twice, once in the hand and once in the stomach, the stomach wound being severe; that the firefight continued for several hours through the afternoon, with reinforcements arriving from both sides; that the eight Jewish defenders were killed in the course of the engagement, with Trumpeldor dying of his wounds by mid-afternoon; that five Arab attackers were killed; that the Arab raiding party withdrew at sunset; and that the settlement was evacuated within forty-eight hours.</w:t>
      </w:r>
      <w:r>
        <w:rPr>
          <w:rStyle w:val="EndnoteReference"/>
        </w:rPr>
        <w:endnoteReference w:id="80"/>
      </w:r>
    </w:p>
    <w:p>
      <w:pPr>
        <w:pStyle w:val="BodyText"/>
      </w:pPr>
      <w:r>
        <w:t xml:space="preserve">The institutional consequence of the morning’s events for the immediate Yishuv military situation was, in operational terms, modest. The four Upper Galilee settlements were evacuated in the weeks that followed. The territorial line that the eventual Anglo-French mandate settlement would draw — fixed in the Paulet-Newcombe Agreement of December 1920, which placed the four settlements inside the British Palestine mandate rather than inside the French Syria-Lebanon mandate — meant that the settlements would, in due course, be refounded under British administrative protection. The operational loss the Yishuv had sustained was, by the standards of the period, recoverable.</w:t>
      </w:r>
      <w:r>
        <w:rPr>
          <w:rStyle w:val="EndnoteReference"/>
        </w:rPr>
        <w:endnoteReference w:id="81"/>
      </w:r>
    </w:p>
    <w:p>
      <w:pPr>
        <w:pStyle w:val="BodyText"/>
      </w:pPr>
      <w:r>
        <w:t xml:space="preserve">The institutional consequence of the morning’s events for the longer arc of Yishuv military self-understanding was, by every available reading, decisive. Two specific elements of the reconstruction deserve naming.</w:t>
      </w:r>
    </w:p>
    <w:p>
      <w:pPr>
        <w:pStyle w:val="BodyText"/>
      </w:pPr>
      <w:r>
        <w:t xml:space="preserve">The first is the sentence that Trumpeldor reportedly spoke to those around him in the final hours of his life — Tov la-mut be’ad artzenu,</w:t>
      </w:r>
      <w:r>
        <w:t xml:space="preserve"> </w:t>
      </w:r>
      <w:r>
        <w:t xml:space="preserve">“</w:t>
      </w:r>
      <w:r>
        <w:t xml:space="preserve">It is good to die for our country.</w:t>
      </w:r>
      <w:r>
        <w:t xml:space="preserve">”</w:t>
      </w:r>
      <w:r>
        <w:t xml:space="preserve"> </w:t>
      </w:r>
      <w:r>
        <w:t xml:space="preserve">The sentence’s historical authenticity has been disputed — several scholars have suggested that the standard formulation reflects the literary reconstruction Jabotinsky produced in the weeks after Trumpeldor’s death rather than what Trumpeldor said — but the question of authenticity is, for the institutional history this book is reconstructing, secondary to the question of institutional uptake. The sentence became, in the months and years that followed Trumpeldor’s death, the foundational text of the Yishuv’s emerging cult of military sacrifice. It was printed in the labor-Zionist press. It was set to music. It was taught in the schools of the Yishuv labor movement. It was reproduced on memorial plaques at Tel-Hai itself, at Kfar Giladi, and at the dozens of other sites that, across the next two decades, would mark the institutional memorialization of the Tel-Hai dead. The sentence was, in the practical institutional vocabulary of the post-1920 Yishuv, the formula by which subsequent Yishuv military fatalities would be assigned their place in a longer narrative of national sacrifice — a narrative whose institutional templates the post-1948 IDF would inherit and would, with relatively few modifications, still be operating with a century later.</w:t>
      </w:r>
      <w:r>
        <w:rPr>
          <w:rStyle w:val="EndnoteReference"/>
        </w:rPr>
        <w:endnoteReference w:id="82"/>
      </w:r>
    </w:p>
    <w:p>
      <w:pPr>
        <w:pStyle w:val="BodyText"/>
      </w:pPr>
      <w:r>
        <w:t xml:space="preserve">The second is the figure of Trumpeldor himself, whose biographical trajectory — Russian-Jewish revolutionary, Tsarist army officer, decorated combat veteran, prisoner of war, Hechalutz organizer, Mule Corps officer, Crimean training-camp commander, Upper Galilee defender — supplied the Yishuv’s emerging military self-image with a figure whose institutional uses, in the years and decades that followed, would prove almost limitless. Trumpeldor was, in the post-1920 Yishuv’s reconstruction, the first Jewish military hero of the Zionist era — the figure whose biographical archive could be drawn on to demonstrate that Jews were institutionally capable of military service at the highest standards, that Jewish military service was historically continuous with the Russian-Jewish revolutionary tradition out of which the Second Aliyah had emerged, and that Jewish military sacrifice was politically meaningful in the construction of the national project. The reconstruction was, by every honest reading, more elaborate than the historical Trumpeldor would have authorized. It was also, in its institutional consequences for the post-1920 Yishuv’s military development, indispensable.</w:t>
      </w:r>
      <w:r>
        <w:rPr>
          <w:rStyle w:val="EndnoteReference"/>
        </w:rPr>
        <w:endnoteReference w:id="83"/>
      </w:r>
    </w:p>
    <w:p>
      <w:pPr>
        <w:pStyle w:val="BodyText"/>
      </w:pPr>
      <w:r>
        <w:t xml:space="preserve">Ze’ev Jabotinsky, who had been Trumpeldor’s institutional partner across the entire 1915–1918 Jewish Legion project, eulogized Trumpeldor on 8 March 1920 in a speech at the labor-Zionist headquarters in Tel Aviv that became, in the months that followed, one of the most widely reproduced texts of the post-Tel-Hai memorialization. The eulogy framed Trumpeldor as the embodiment of a specifically modest Jewish military virtue — humble, seriously committed, uncomplaining — that the Yishuv’s post-1920 institutional culture would draw on as the model for the kind of Jewish soldier the Yishuv was being constructed to produce. The eulogy’s literary register — sober, restrained, classically nationalist — set the tone for what would, over the following decade, become a substantial body of Hebrew literary production memorializing Tel-Hai and the dead.</w:t>
      </w:r>
      <w:r>
        <w:rPr>
          <w:rStyle w:val="EndnoteReference"/>
        </w:rPr>
        <w:endnoteReference w:id="84"/>
      </w:r>
    </w:p>
    <w:p>
      <w:pPr>
        <w:pStyle w:val="BodyText"/>
      </w:pPr>
      <w:r>
        <w:t xml:space="preserve">The Tel-Hai myth that grew up in the months and years after the firefight was not, in its primary function, a memorialization of the past. It was a forward-looking instrument. The dead at Tel-Hai supplied the Yishuv labor leadership with a politically usable vocabulary for the construction of a national-military project that, in the spring of 1920, was still in the earliest stages of its institutional formation. The cult would persist, and would be drawn on, in different registers and for different purposes, in every subsequent decade of the Yishuv’s military development.</w:t>
      </w:r>
    </w:p>
    <w:p>
      <w:pPr>
        <w:pStyle w:val="BodyText"/>
      </w:pPr>
      <w:r>
        <w:t xml:space="preserve">The events of 1 March 1920, in their institutional reconstruction, were the founding moment in the modern Yishuv’s cult of military sacrifice.</w:t>
      </w:r>
    </w:p>
    <w:bookmarkEnd w:id="85"/>
    <w:bookmarkStart w:id="94" w:name="the-haganah-june-1920"/>
    <w:p>
      <w:pPr>
        <w:pStyle w:val="Heading2"/>
      </w:pPr>
      <w:r>
        <w:t xml:space="preserve">1.10 The Haganah, June 1920</w:t>
      </w:r>
    </w:p>
    <w:p>
      <w:pPr>
        <w:pStyle w:val="FirstParagraph"/>
      </w:pPr>
      <w:r>
        <w:t xml:space="preserve">Three months after the firefight at Tel-Hai, on Saturday, 12 June 1920, in Tel Aviv, the institutional decision was made that would govern the structure of Yishuv military self-defense for the next twenty-eight years. The decision was made at a meeting of the Ahdut HaAvoda labor-Zionist party, under the operational leadership of David Ben-Gurion. The decision was that responsibility for the defense of the Jewish population of Palestine would, from that day forward, rest with a new Yishuv-wide popular militia organization called HaHaganah — the Defense — that the Ahdut HaAvoda leadership would construct, fund, and politically direct. The decision was, in its operational consequences, the formal end of HaShomer, which would dissolve itself in a final meeting at Kfar Giladi on 18 May 1920 in anticipation of the Ahdut HaAvoda decision. The dispute that produced the decision, and the institutional precommitments the decision encoded, are the subject of this section.</w:t>
      </w:r>
      <w:r>
        <w:rPr>
          <w:rStyle w:val="EndnoteReference"/>
        </w:rPr>
        <w:endnoteReference w:id="86"/>
      </w:r>
    </w:p>
    <w:p>
      <w:pPr>
        <w:pStyle w:val="BodyText"/>
      </w:pPr>
      <w:r>
        <w:t xml:space="preserve">The proximate trigger for the Ahdut HaAvoda decision was the Tel-Hai engagement and the broader pattern of attacks on Jewish settlements in the spring of 1920 — the Tel-Hai events themselves; the April 1920 Nebi Musa riots in Jerusalem, in which five Jews were killed and more than two hundred wounded in three days of violence in the Old City and surrounding neighborhoods; and the smaller but cumulatively serious pattern of attacks across the country that signaled a level of organized Arab-Jewish conflict the existing institutional arrangements were not capable of managing. The Yishuv political leadership had concluded by April 1920 that the small, distributed, settlement-based defensive arrangements of the previous quarter-century could not provide the security the Yishuv would need in the new political conditions of the British mandate period. A larger, country-wide, organizationally coherent defensive instrument was required.</w:t>
      </w:r>
      <w:r>
        <w:rPr>
          <w:rStyle w:val="EndnoteReference"/>
        </w:rPr>
        <w:endnoteReference w:id="87"/>
      </w:r>
    </w:p>
    <w:p>
      <w:pPr>
        <w:pStyle w:val="BodyText"/>
      </w:pPr>
      <w:r>
        <w:t xml:space="preserve">The institutional question that the Ahdut HaAvoda decision answered was not whether such an instrument should exist; that question had been settled in the affirmative by the events of the spring. The question was what institutional form the new instrument should take, and on this question the Yishuv’s labor leadership had been arguing for the better part of a year.</w:t>
      </w:r>
    </w:p>
    <w:p>
      <w:pPr>
        <w:pStyle w:val="BodyText"/>
      </w:pPr>
      <w:r>
        <w:t xml:space="preserve">Two competing institutional models were on the table.</w:t>
      </w:r>
    </w:p>
    <w:p>
      <w:pPr>
        <w:pStyle w:val="BodyText"/>
      </w:pPr>
      <w:r>
        <w:t xml:space="preserve">The first model — call it the HaShomer model — held that the new instrument should be a small, professional, elite organization, recruited on stringent selection criteria from across the Yishuv, paid full-time wages, operating with substantial autonomy from the political institutions that funded it, and committed to the operational doctrine that the HaShomer leadership had developed in the pre-war period. The HaShomer model’s advocates included Israel Shochat, the surviving HaShomer leadership, and a significant fraction of the labor-Zionist movement’s veteran cadres — particularly the Russian-Jewish revolutionary cohort that had constituted HaShomer’s institutional base before 1914.</w:t>
      </w:r>
      <w:r>
        <w:rPr>
          <w:rStyle w:val="EndnoteReference"/>
        </w:rPr>
        <w:endnoteReference w:id="88"/>
      </w:r>
    </w:p>
    <w:p>
      <w:pPr>
        <w:pStyle w:val="BodyText"/>
      </w:pPr>
      <w:r>
        <w:t xml:space="preserve">The second model — call it the popular-militia model — held that the new instrument should be a Yishuv-wide popular force, recruited from the general adult male population of the labor-Zionist settlements and urban neighborhoods, organized as an extension of the labor-Zionist parties’ institutional infrastructure, operating under direct political control of the elected institutions of the Yishuv labor movement, and committed to the principle that the defense of the Yishuv was a collective political responsibility of the entire labor movement rather than a specialized professional function of an elite military formation. The popular-militia model’s advocates included Ben-Gurion and his Ahdut HaAvoda colleagues — many of whom, like Ben-Gurion himself, had been excluded from HaShomer’s founding circle in 1907 and had subsequently constructed their own labor-Zionist political careers in institutions that paralleled HaShomer rather than depending on it.</w:t>
      </w:r>
      <w:r>
        <w:rPr>
          <w:rStyle w:val="EndnoteReference"/>
        </w:rPr>
        <w:endnoteReference w:id="89"/>
      </w:r>
    </w:p>
    <w:p>
      <w:pPr>
        <w:pStyle w:val="BodyText"/>
      </w:pPr>
      <w:r>
        <w:t xml:space="preserve">The institutional case for each model was substantial. The HaShomer model had operational track record — five years of professional security service across the agricultural settlements of the Galilee and the coastal plain — that the popular-militia advocates could not match. The popular-militia model had political logic — the Yishuv labor movement’s project of constructing a mass labor-Zionist constituency required that the movement’s military arm be embedded in that constituency rather than separated from it by professional elitism — that the HaShomer advocates could not, in the political environment of 1920, easily counter. The institutional case for each model encoded a different theory of what the Yishuv was about to become. The HaShomer case assumed that the Yishuv would remain a small, specialized, technically demanding national project requiring small, specialized, technically demanding institutional instruments. The popular-militia case assumed that the Yishuv was about to become a mass political project that would require, and that would have to construct, institutional instruments commensurate with its mass character.</w:t>
      </w:r>
      <w:r>
        <w:rPr>
          <w:rStyle w:val="EndnoteReference"/>
        </w:rPr>
        <w:endnoteReference w:id="90"/>
      </w:r>
    </w:p>
    <w:p>
      <w:pPr>
        <w:pStyle w:val="BodyText"/>
      </w:pPr>
      <w:r>
        <w:t xml:space="preserve">The political contest was settled, in the months between January and June 1920, by Ben-Gurion’s superior political-organizational skills inside Ahdut HaAvoda and by the broader institutional weight that the labor-Zionist parties had acquired in the Yishuv political landscape of the late Mandate period. The HaShomer leadership, which had recognized by April or May 1920 that the political contest was lost, made the decision to dissolve HaShomer in advance of the Ahdut HaAvoda decision rather than allow the new institutional arrangement to be imposed on a still-existing organization. The 18 May 1920 final meeting at Kfar Giladi was, in this respect, a tactical concession by the HaShomer leadership designed to preserve the surviving HaShomer alumni network’s political standing inside the post-dissolution institutional landscape. The HaShomer alumni would, after May 1920, formally join the Haganah and would carry their professional skills into the new organization; their institutional preferences for the elite-professional model would, however, remain unsatisfied, and the tension between those preferences and the popular-militia model that Ben-Gurion had codified in June 1920 would persist as an institutional fault line inside the Haganah for the next two decades.</w:t>
      </w:r>
      <w:r>
        <w:rPr>
          <w:rStyle w:val="EndnoteReference"/>
        </w:rPr>
        <w:endnoteReference w:id="91"/>
      </w:r>
    </w:p>
    <w:p>
      <w:pPr>
        <w:pStyle w:val="BodyText"/>
      </w:pPr>
      <w:r>
        <w:t xml:space="preserve">The Haganah that emerged from the 12 June 1920 Ahdut HaAvoda decision was, accordingly, a hybrid institution that carried within itself the unresolved tension between the two models it had been constructed to bridge. Its institutional form was the popular-militia form that Ben-Gurion had insisted on — country-wide, popular, politically directed, embedded in the labor-Zionist parties’ broader institutional infrastructure. Its operational personnel were, in their substantial majority, the HaShomer alumni who had carried into the Haganah the operational habits, the personal networks, and the institutional preferences that HaShomer had built over the preceding decade. The Haganah’s history through the 1920s and 1930s would be, in important respects, the history of the institutional tension between these two elements — the popular-militia form that the political leadership preferred and the elite-professional substrate that the operational personnel continued to embody.</w:t>
      </w:r>
      <w:r>
        <w:rPr>
          <w:rStyle w:val="EndnoteReference"/>
        </w:rPr>
        <w:endnoteReference w:id="92"/>
      </w:r>
    </w:p>
    <w:p>
      <w:pPr>
        <w:pStyle w:val="BodyText"/>
      </w:pPr>
      <w:r>
        <w:t xml:space="preserve">The watcher at Petah Tikva in 1886 had organized his settlement’s defense as a popular militia of part-time settler volunteers. The Bar-Giora founders in 1907 had attempted to replace the popular-militia model with an elite-professional alternative. HaShomer had operated the elite-professional model for a decade before the war. The dispute over what would replace HaShomer in the post-war institutional landscape had run from 1919 into the spring of 1920. On 12 June 1920, Ahdut HaAvoda’s decision settled the dispute, for now, in favor of the popular-militia model.</w:t>
      </w:r>
      <w:r>
        <w:rPr>
          <w:rStyle w:val="EndnoteReference"/>
        </w:rPr>
        <w:endnoteReference w:id="93"/>
      </w:r>
    </w:p>
    <w:bookmarkEnd w:id="94"/>
    <w:bookmarkStart w:id="97" w:name="jaffa-late-summer-1920"/>
    <w:p>
      <w:pPr>
        <w:pStyle w:val="Heading2"/>
      </w:pPr>
      <w:r>
        <w:t xml:space="preserve">1.11 Jaffa, Late Summer 1920</w:t>
      </w:r>
    </w:p>
    <w:p>
      <w:pPr>
        <w:pStyle w:val="FirstParagraph"/>
      </w:pPr>
      <w:r>
        <w:t xml:space="preserve">In late August 1920, a thirty-year-old former Red Army officer named Yitzhak Landoberg disembarked from a Greek-flagged coastal steamer at the port of Jaffa and walked, with the modest contents of a single canvas bag, the half-kilometer north along the shoreline into the small grid of streets that had, by then, begun to be called Tel Aviv. He had no work. He had no money. He had four Hebrew books that Yosef Trumpeldor had given him in the kitchen of the Crimean training camp the previous winter, along with a Russian-army greatcoat that he would, in the years that followed, continue to wear at the construction sites of the Gdud Ha-Avoda’s road crews on the Tiberias-Tabgha road. He carried, in the same canvas bag, the letters of introduction that the Hechalutz administration had supplied him in Constantinople before his passage south.</w:t>
      </w:r>
      <w:r>
        <w:rPr>
          <w:rStyle w:val="EndnoteReference"/>
        </w:rPr>
        <w:endnoteReference w:id="95"/>
      </w:r>
    </w:p>
    <w:p>
      <w:pPr>
        <w:pStyle w:val="BodyText"/>
      </w:pPr>
      <w:r>
        <w:t xml:space="preserve">The Tel Aviv into which Landoberg walked that afternoon was a town of approximately two thousand permanent residents, laid out in three or four parallel streets running back from the sea, with the new offices of the Histadrut labor federation and the Ahdut HaAvoda party housed in modest second-floor apartments above the small commercial frontages of Allenby and Herzl Streets. He would, within his first month in the country, deliver his Hechalutz letters to Berl Katznelson in the Ahdut HaAvoda offices and to Pinhas Rutenberg in the Palestine Electric Company’s small project headquarters. He would, before the end of the year, be on the road north to the Gdud Ha-Avoda’s labor camps on the shore of the Sea of Galilee. He would, by 1921, be a stonecutter on the British Mandate road construction projects that the post-war administration was beginning to commission across the country. He would, in the same year, be a friend of the Hebrew novelist Yosef Haim Brenner, whose murder in the Jaffa riots of May 1921 would mark Landoberg’s first encounter, in his new country, with the specific kind of communal violence that the next half-century of his life would be largely organized around the prevention of.</w:t>
      </w:r>
    </w:p>
    <w:p>
      <w:pPr>
        <w:pStyle w:val="BodyText"/>
      </w:pPr>
      <w:r>
        <w:t xml:space="preserve">What the country he had walked into looked like, in the late summer of 1920, the chapter that has just concluded has tried to describe. The Haganah, founded by Ben-Gurion’s Ahdut HaAvoda decision two months before Landoberg’s arrival, was an institutional shell that had not yet been filled with operational personnel or doctrine. The HaShomer alumni network, still mourning Trumpeldor and still arguing in private about the political settlement that had dissolved the organization, was beginning the slow process of folding its members into the new structure. The Jewish Legion battalions, demobilized in the previous year, were dispersing — their veterans returning to Palestine, to the United States, to England, to the post-war labor markets of European Jewry. The NILI survivors, what remained of them, were inside their family compounds at Atlit and Zikhron Ya’akov, regarded by the labor-Zionist mainstream as politically suspect. The settlement militias at Petah Tikva and the other moshavot were continuing the work they had been doing since the 1880s, defended by their own young men against the same low-level pressure that the country’s structural condition had generated for forty years and that the new mandate authority’s arrival had not, despite the hopes of the Yishuv’s political leadership, materially changed.</w:t>
      </w:r>
    </w:p>
    <w:p>
      <w:pPr>
        <w:pStyle w:val="BodyText"/>
      </w:pPr>
      <w:r>
        <w:t xml:space="preserve">What it had — the country Landoberg walked into — was the institutional residue of forty-two years of Jewish armed self-defense, conducted by a small number of people, in a small number of places, under conditions of structural improvisation that had repeatedly produced organizational answers in advance of the political-strategic environment that would have made those answers necessary. The settlement militias had answered the question of immediate perimeter defense before the Ottoman state’s withdrawal had made it acute. HaShomer had answered the question of country-wide professional security service before the war had imposed the demand. NILI had answered the question of clandestine intelligence collection before any Yishuv institution had thought to ask it. The Jewish Legion had answered the question of formal Jewish military identity inside a Great Power’s army before the Balfour Declaration had codified the political claim. The Tel-Hai dead had answered the question of how Jewish military sacrifice would be politically interpreted in the post-1920 period before the post-1920 period had begun.</w:t>
      </w:r>
    </w:p>
    <w:p>
      <w:pPr>
        <w:pStyle w:val="BodyText"/>
      </w:pPr>
      <w:r>
        <w:t xml:space="preserve">The answers were imperfect, contradictory, and contested. They were also, by late August 1920, the only answers the Yishuv had. The figure who would, over the next three decades, take the answers and reshape them into the institutional infrastructure of the pre-state Yishuv’s military project was, on the afternoon of his arrival in Jaffa, a stranger in the country whose Hebrew was still uncertain and whose principal practical question was where, that night, he would sleep.</w:t>
      </w:r>
    </w:p>
    <w:p>
      <w:pPr>
        <w:pStyle w:val="BodyText"/>
      </w:pPr>
      <w:r>
        <w:t xml:space="preserve">The chapter that follows opens at his funeral.</w:t>
      </w:r>
      <w:r>
        <w:rPr>
          <w:rStyle w:val="EndnoteReference"/>
        </w:rPr>
        <w:endnoteReference w:id="96"/>
      </w:r>
    </w:p>
    <w:bookmarkEnd w:id="97"/>
    <w:bookmarkStart w:id="98" w:name="notes"/>
    <w:p>
      <w:pPr>
        <w:pStyle w:val="Heading2"/>
      </w:pPr>
      <w:r>
        <w:t xml:space="preserve">Notes</w:t>
      </w:r>
    </w:p>
    <w:bookmarkEnd w:id="98"/>
    <w:bookmarkEnd w:id="99"/>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endnote w:type="continuationSeparator" w:id="0">
    <w:p>
      <w:r>
        <w:continuationSeparator/>
      </w:r>
    </w:p>
  </w:endnote>
  <w:endnote w:type="separator" w:id="-1">
    <w:p>
      <w:r>
        <w:separator/>
      </w:r>
    </w:p>
  </w:endnote>
  <w:endnote w:id="20">
    <w:p>
      <w:pPr>
        <w:pStyle w:val="EndnoteText"/>
      </w:pPr>
      <w:r>
        <w:rPr>
          <w:rStyle w:val="EndnoteReference"/>
        </w:rPr>
        <w:endnoteRef/>
      </w:r>
      <w:r>
        <w:t xml:space="preserve"> </w:t>
      </w:r>
      <w:r>
        <w:t xml:space="preserve">Bruce Hoffman, Anonymous Soldiers: The Struggle for Israel, 1917–1947 (New York: Alfred A. Knopf, 2015), introduction and chap. 1; Anita Shapira, Land and Power: The Zionist Resort to Force, 1881–1948, trans. William Templer (Oxford: Oxford University Press, 1992), chaps. 1–2.</w:t>
      </w:r>
    </w:p>
  </w:endnote>
  <w:endnote w:id="21">
    <w:p>
      <w:pPr>
        <w:pStyle w:val="EndnoteText"/>
      </w:pPr>
      <w:r>
        <w:rPr>
          <w:rStyle w:val="EndnoteReference"/>
        </w:rPr>
        <w:endnoteRef/>
      </w:r>
      <w:r>
        <w:t xml:space="preserve"> </w:t>
      </w:r>
      <w:r>
        <w:t xml:space="preserve">Shapira, Land and Power, 53–82; Yossi Goldstein, Eshkol: A Biography (Hebrew; Jerusalem: Keter, 2003), early chapters; Israel Bartal, The Jews of Eastern Europe, 1772–1881, trans. Chaya Naor (Philadelphia: University of Pennsylvania Press, 2005), epilogue.</w:t>
      </w:r>
    </w:p>
  </w:endnote>
  <w:endnote w:id="23">
    <w:p>
      <w:pPr>
        <w:pStyle w:val="EndnoteText"/>
      </w:pPr>
      <w:r>
        <w:rPr>
          <w:rStyle w:val="EndnoteReference"/>
        </w:rPr>
        <w:endnoteRef/>
      </w:r>
      <w:r>
        <w:t xml:space="preserve"> </w:t>
      </w:r>
      <w:r>
        <w:t xml:space="preserve">Bernard Lewis, The Middle East: A Brief History of the Last 2,000 Years (New York: Scribner, 1995), chaps. 17–18; Justin McCarthy, The Population of Palestine: Population Statistics of the Late Ottoman Period and the Mandate (New York: Columbia University Press, 1990).</w:t>
      </w:r>
    </w:p>
  </w:endnote>
  <w:endnote w:id="24">
    <w:p>
      <w:pPr>
        <w:pStyle w:val="EndnoteText"/>
      </w:pPr>
      <w:r>
        <w:rPr>
          <w:rStyle w:val="EndnoteReference"/>
        </w:rPr>
        <w:endnoteRef/>
      </w:r>
      <w:r>
        <w:t xml:space="preserve"> </w:t>
      </w:r>
      <w:r>
        <w:t xml:space="preserve">Eliezer Tauber, The Emergence of the Arab Movements (London: Frank Cass, 1993), chap. 1; Mim Kemal Öke, The Ottoman Empire, Zionism, and the Question of Palestine, 1880–1908 (Istanbul: Isis Press, 1992).</w:t>
      </w:r>
    </w:p>
  </w:endnote>
  <w:endnote w:id="25">
    <w:p>
      <w:pPr>
        <w:pStyle w:val="EndnoteText"/>
      </w:pPr>
      <w:r>
        <w:rPr>
          <w:rStyle w:val="EndnoteReference"/>
        </w:rPr>
        <w:endnoteRef/>
      </w:r>
      <w:r>
        <w:t xml:space="preserve"> </w:t>
      </w:r>
      <w:r>
        <w:t xml:space="preserve">Israel Bartal, Galut Ba-Aretz: Yishuv Yehudi ba-Eretz Yisrael, 1881–1903 (Hebrew; Jerusalem: Yad Izhak Ben-Zvi, 1994); Yehoshua Kaniel, Hemshekh u-Temurah: Ha-Yishuv ha-Yashan ve-ha-Yishuv ha-Hadash bi-Tekufat ha-Aliyah ha-Rishonah veha-Sheniyah (Hebrew; Jerusalem: Yad Izhak Ben-Zvi, 1981).</w:t>
      </w:r>
    </w:p>
  </w:endnote>
  <w:endnote w:id="26">
    <w:p>
      <w:pPr>
        <w:pStyle w:val="EndnoteText"/>
      </w:pPr>
      <w:r>
        <w:rPr>
          <w:rStyle w:val="EndnoteReference"/>
        </w:rPr>
        <w:endnoteRef/>
      </w:r>
      <w:r>
        <w:t xml:space="preserve"> </w:t>
      </w:r>
      <w:r>
        <w:t xml:space="preserve">Gad Gilbar, Ottoman Palestine, 1800–1914: Studies in Economic and Social History (Leiden: E. J. Brill, 1990); Aref el-Aref, Bedouin Love, Law and Legend: Dealing Exclusively with the Badu of Beersheba (Jerusalem: Cosmos, 1944); Yehoshua Porath, The Emergence of the Palestinian-Arab National Movement, 1918–1929 (London: Frank Cass, 1974), chap. 1.</w:t>
      </w:r>
    </w:p>
  </w:endnote>
  <w:endnote w:id="27">
    <w:p>
      <w:pPr>
        <w:pStyle w:val="EndnoteText"/>
      </w:pPr>
      <w:r>
        <w:rPr>
          <w:rStyle w:val="EndnoteReference"/>
        </w:rPr>
        <w:endnoteRef/>
      </w:r>
      <w:r>
        <w:t xml:space="preserve"> </w:t>
      </w:r>
      <w:r>
        <w:t xml:space="preserve">Israel Kolatt, Ha-Aliyah ha-Rishonah, 2 vols. (Hebrew; Jerusalem: Yad Izhak Ben-Zvi, 1981); John Klier, Russians, Jews, and the Pogroms of 1881–1882 (Cambridge: Cambridge University Press, 2011).</w:t>
      </w:r>
    </w:p>
  </w:endnote>
  <w:endnote w:id="29">
    <w:p>
      <w:pPr>
        <w:pStyle w:val="EndnoteText"/>
      </w:pPr>
      <w:r>
        <w:rPr>
          <w:rStyle w:val="EndnoteReference"/>
        </w:rPr>
        <w:endnoteRef/>
      </w:r>
      <w:r>
        <w:t xml:space="preserve"> </w:t>
      </w:r>
      <w:r>
        <w:t xml:space="preserve">The Petah Tikva settlement archive’s records; Yair Stern, Hayikuv ba-Lo: The Settlement of Petah Tikva (Hebrew); Shapira, Land and Power, 60–82.</w:t>
      </w:r>
    </w:p>
  </w:endnote>
  <w:endnote w:id="30">
    <w:p>
      <w:pPr>
        <w:pStyle w:val="EndnoteText"/>
      </w:pPr>
      <w:r>
        <w:rPr>
          <w:rStyle w:val="EndnoteReference"/>
        </w:rPr>
        <w:endnoteRef/>
      </w:r>
      <w:r>
        <w:t xml:space="preserve"> </w:t>
      </w:r>
      <w:r>
        <w:t xml:space="preserve">Yehuda Raab, Ha-Tlam ha-Rishon (The First Furrow) (Tel-Aviv: Ha-Kibbutz HaMeuchad, 1956); Hoffman, Anonymous Soldiers, chap. 1.</w:t>
      </w:r>
    </w:p>
  </w:endnote>
  <w:endnote w:id="31">
    <w:p>
      <w:pPr>
        <w:pStyle w:val="EndnoteText"/>
      </w:pPr>
      <w:r>
        <w:rPr>
          <w:rStyle w:val="EndnoteReference"/>
        </w:rPr>
        <w:endnoteRef/>
      </w:r>
      <w:r>
        <w:t xml:space="preserve"> </w:t>
      </w:r>
      <w:r>
        <w:t xml:space="preserve">The Petah Tikva settlement archive’s records; Stern, Hayikuv ba-Lo; Shapira, Land and Power, 60–82.</w:t>
      </w:r>
    </w:p>
  </w:endnote>
  <w:endnote w:id="32">
    <w:p>
      <w:pPr>
        <w:pStyle w:val="EndnoteText"/>
      </w:pPr>
      <w:r>
        <w:rPr>
          <w:rStyle w:val="EndnoteReference"/>
        </w:rPr>
        <w:endnoteRef/>
      </w:r>
      <w:r>
        <w:t xml:space="preserve"> </w:t>
      </w:r>
      <w:r>
        <w:t xml:space="preserve">[TK — citation to be supplied]</w:t>
      </w:r>
    </w:p>
  </w:endnote>
  <w:endnote w:id="33">
    <w:p>
      <w:pPr>
        <w:pStyle w:val="EndnoteText"/>
      </w:pPr>
      <w:r>
        <w:rPr>
          <w:rStyle w:val="EndnoteReference"/>
        </w:rPr>
        <w:endnoteRef/>
      </w:r>
      <w:r>
        <w:t xml:space="preserve"> </w:t>
      </w:r>
      <w:r>
        <w:t xml:space="preserve">Shapira, Land and Power, 60–82.</w:t>
      </w:r>
    </w:p>
  </w:endnote>
  <w:endnote w:id="34">
    <w:p>
      <w:pPr>
        <w:pStyle w:val="EndnoteText"/>
      </w:pPr>
      <w:r>
        <w:rPr>
          <w:rStyle w:val="EndnoteReference"/>
        </w:rPr>
        <w:endnoteRef/>
      </w:r>
      <w:r>
        <w:t xml:space="preserve"> </w:t>
      </w:r>
      <w:r>
        <w:t xml:space="preserve">Stern, Hayikuv ba-Lo; Mordechai Naor, Sefer Rishon LeZion (Hebrew); Walter Laqueur, A History of Zionism (New York: Holt, Rinehart and Winston, 1972), chaps. 4–5.</w:t>
      </w:r>
    </w:p>
  </w:endnote>
  <w:endnote w:id="35">
    <w:p>
      <w:pPr>
        <w:pStyle w:val="EndnoteText"/>
      </w:pPr>
      <w:r>
        <w:rPr>
          <w:rStyle w:val="EndnoteReference"/>
        </w:rPr>
        <w:endnoteRef/>
      </w:r>
      <w:r>
        <w:t xml:space="preserve"> </w:t>
      </w:r>
      <w:r>
        <w:t xml:space="preserve">[TK — citation to be supplied]</w:t>
      </w:r>
    </w:p>
  </w:endnote>
  <w:endnote w:id="37">
    <w:p>
      <w:pPr>
        <w:pStyle w:val="EndnoteText"/>
      </w:pPr>
      <w:r>
        <w:rPr>
          <w:rStyle w:val="EndnoteReference"/>
        </w:rPr>
        <w:endnoteRef/>
      </w:r>
      <w:r>
        <w:t xml:space="preserve"> </w:t>
      </w:r>
      <w:r>
        <w:t xml:space="preserve">“</w:t>
      </w:r>
      <w:r>
        <w:t xml:space="preserve">Israel Shochat,</w:t>
      </w:r>
      <w:r>
        <w:t xml:space="preserve">”</w:t>
      </w:r>
      <w:r>
        <w:t xml:space="preserve"> </w:t>
      </w:r>
      <w:r>
        <w:t xml:space="preserve">Lexicon of the Land of Israel, Center for Educational Technology (CET), http://lib.cet.ac.il/; Shulamit Reinharz,</w:t>
      </w:r>
      <w:r>
        <w:t xml:space="preserve"> </w:t>
      </w:r>
      <w:r>
        <w:t xml:space="preserve">“</w:t>
      </w:r>
      <w:r>
        <w:t xml:space="preserve">Mania Wilbushewits-Shohat and the Winding Road to Sejera,</w:t>
      </w:r>
      <w:r>
        <w:t xml:space="preserve">”</w:t>
      </w:r>
      <w:r>
        <w:t xml:space="preserve"> </w:t>
      </w:r>
      <w:r>
        <w:t xml:space="preserve">in Pioneers and Homemakers: Jewish Women in Pre-State Israel, ed. Deborah S. Bernstein (Albany: SUNY Press, 1992), 97–121.</w:t>
      </w:r>
    </w:p>
  </w:endnote>
  <w:endnote w:id="38">
    <w:p>
      <w:pPr>
        <w:pStyle w:val="EndnoteText"/>
      </w:pPr>
      <w:r>
        <w:rPr>
          <w:rStyle w:val="EndnoteReference"/>
        </w:rPr>
        <w:endnoteRef/>
      </w:r>
      <w:r>
        <w:t xml:space="preserve"> </w:t>
      </w:r>
      <w:r>
        <w:t xml:space="preserve">Yaakov Shavit, The New Hebrew Nation: A Study in Israeli Heresy and Fantasy (London: Frank Cass, 1987); Michael Bar-Zohar, Ben-Gurion: A Biography, rev. ed. (New York: Adama Books, 1986), chap. 2.</w:t>
      </w:r>
    </w:p>
  </w:endnote>
  <w:endnote w:id="39">
    <w:p>
      <w:pPr>
        <w:pStyle w:val="EndnoteText"/>
      </w:pPr>
      <w:r>
        <w:rPr>
          <w:rStyle w:val="EndnoteReference"/>
        </w:rPr>
        <w:endnoteRef/>
      </w:r>
      <w:r>
        <w:t xml:space="preserve"> </w:t>
      </w:r>
      <w:r>
        <w:t xml:space="preserve">Anita Shapira, Berl: The Biography of a Socialist Zionist, trans. Haya Galai (Cambridge: Cambridge University Press, 1984), early chapters; Yossi Goldstein, Ahdut HaAvoda, 1919–1930: The Sources of Israeli Labor Movement (Hebrew; Ramat Efal: Yad Tabenkin, 1975).</w:t>
      </w:r>
    </w:p>
  </w:endnote>
  <w:endnote w:id="40">
    <w:p>
      <w:pPr>
        <w:pStyle w:val="EndnoteText"/>
      </w:pPr>
      <w:r>
        <w:rPr>
          <w:rStyle w:val="EndnoteReference"/>
        </w:rPr>
        <w:endnoteRef/>
      </w:r>
      <w:r>
        <w:t xml:space="preserve"> </w:t>
      </w:r>
      <w:r>
        <w:t xml:space="preserve">Yaakov Goldstein, Ba-Derech le-Hegemoniyah: Mapai — Hitgabshut Mediniyutah, 1930–1936 (Hebrew; Tel Aviv: Am Oved, 1980), introduction.</w:t>
      </w:r>
    </w:p>
  </w:endnote>
  <w:endnote w:id="41">
    <w:p>
      <w:pPr>
        <w:pStyle w:val="EndnoteText"/>
      </w:pPr>
      <w:r>
        <w:rPr>
          <w:rStyle w:val="EndnoteReference"/>
        </w:rPr>
        <w:endnoteRef/>
      </w:r>
      <w:r>
        <w:t xml:space="preserve"> </w:t>
      </w:r>
      <w:r>
        <w:t xml:space="preserve">The CET lexicon entries on the individual founders.</w:t>
      </w:r>
    </w:p>
  </w:endnote>
  <w:endnote w:id="42">
    <w:p>
      <w:pPr>
        <w:pStyle w:val="EndnoteText"/>
      </w:pPr>
      <w:r>
        <w:rPr>
          <w:rStyle w:val="EndnoteReference"/>
        </w:rPr>
        <w:endnoteRef/>
      </w:r>
      <w:r>
        <w:t xml:space="preserve"> </w:t>
      </w:r>
      <w:r>
        <w:t xml:space="preserve">Shapira, Land and Power, 60–105.</w:t>
      </w:r>
    </w:p>
  </w:endnote>
  <w:endnote w:id="43">
    <w:p>
      <w:pPr>
        <w:pStyle w:val="EndnoteText"/>
      </w:pPr>
      <w:r>
        <w:rPr>
          <w:rStyle w:val="EndnoteReference"/>
        </w:rPr>
        <w:endnoteRef/>
      </w:r>
      <w:r>
        <w:t xml:space="preserve"> </w:t>
      </w:r>
      <w:r>
        <w:t xml:space="preserve">Bar-Zohar, Ben-Gurion, chaps. 2–3. See chapters 2, 5, and 7.</w:t>
      </w:r>
    </w:p>
  </w:endnote>
  <w:endnote w:id="45">
    <w:p>
      <w:pPr>
        <w:pStyle w:val="EndnoteText"/>
      </w:pPr>
      <w:r>
        <w:rPr>
          <w:rStyle w:val="EndnoteReference"/>
        </w:rPr>
        <w:endnoteRef/>
      </w:r>
      <w:r>
        <w:t xml:space="preserve"> </w:t>
      </w:r>
      <w:r>
        <w:t xml:space="preserve">Shapira, Land and Power, 60–105; Gershon Shafir, Land, Labor, and the Origins of the Israeli-Palestinian Conflict, 1882–1914 (Cambridge: Cambridge University Press, 1989), chaps. 4–6.</w:t>
      </w:r>
    </w:p>
  </w:endnote>
  <w:endnote w:id="46">
    <w:p>
      <w:pPr>
        <w:pStyle w:val="EndnoteText"/>
      </w:pPr>
      <w:r>
        <w:rPr>
          <w:rStyle w:val="EndnoteReference"/>
        </w:rPr>
        <w:endnoteRef/>
      </w:r>
      <w:r>
        <w:t xml:space="preserve"> </w:t>
      </w:r>
      <w:r>
        <w:t xml:space="preserve">Sefer HaShomer (Hebrew; Tel Aviv: Ha-Kibbutz Ha-Meuchad, 1957).</w:t>
      </w:r>
    </w:p>
  </w:endnote>
  <w:endnote w:id="47">
    <w:p>
      <w:pPr>
        <w:pStyle w:val="EndnoteText"/>
      </w:pPr>
      <w:r>
        <w:rPr>
          <w:rStyle w:val="EndnoteReference"/>
        </w:rPr>
        <w:endnoteRef/>
      </w:r>
      <w:r>
        <w:t xml:space="preserve"> </w:t>
      </w:r>
      <w:r>
        <w:t xml:space="preserve">The HaShomer Archive at Kfar Giladi; Bracha Habas, Sefer HaShomer (Hebrew; Tel Aviv: Ha-Kibbutz Ha-Meuchad, 1957), photographic section; Anita Shapira, Land and Power, 60–82; Yael Zerubavel, Recovered Roots: Collective Memory and the Making of Israeli National Tradition (Chicago: University of Chicago Press, 1995), chap. 6.</w:t>
      </w:r>
    </w:p>
  </w:endnote>
  <w:endnote w:id="48">
    <w:p>
      <w:pPr>
        <w:pStyle w:val="EndnoteText"/>
      </w:pPr>
      <w:r>
        <w:rPr>
          <w:rStyle w:val="EndnoteReference"/>
        </w:rPr>
        <w:endnoteRef/>
      </w:r>
      <w:r>
        <w:t xml:space="preserve"> </w:t>
      </w:r>
      <w:r>
        <w:t xml:space="preserve">Yaakov Goldstein, Ba-Derech le-Hegemoniyah, introduction; the relevant volumes of the Baron de Rothschild administration’s correspondence preserved in the Central Zionist Archives.</w:t>
      </w:r>
    </w:p>
  </w:endnote>
  <w:endnote w:id="49">
    <w:p>
      <w:pPr>
        <w:pStyle w:val="EndnoteText"/>
      </w:pPr>
      <w:r>
        <w:rPr>
          <w:rStyle w:val="EndnoteReference"/>
        </w:rPr>
        <w:endnoteRef/>
      </w:r>
      <w:r>
        <w:t xml:space="preserve"> </w:t>
      </w:r>
      <w:r>
        <w:t xml:space="preserve">See chapters 5 and 7, and chapter 6, §6.3.</w:t>
      </w:r>
    </w:p>
  </w:endnote>
  <w:endnote w:id="50">
    <w:p>
      <w:pPr>
        <w:pStyle w:val="EndnoteText"/>
      </w:pPr>
      <w:r>
        <w:rPr>
          <w:rStyle w:val="EndnoteReference"/>
        </w:rPr>
        <w:endnoteRef/>
      </w:r>
      <w:r>
        <w:t xml:space="preserve"> </w:t>
      </w:r>
      <w:r>
        <w:t xml:space="preserve">Bar-Zohar, Ben-Gurion, chaps. 2–3. See chapters 5, 7, and 9.</w:t>
      </w:r>
    </w:p>
  </w:endnote>
  <w:endnote w:id="52">
    <w:p>
      <w:pPr>
        <w:pStyle w:val="EndnoteText"/>
      </w:pPr>
      <w:r>
        <w:rPr>
          <w:rStyle w:val="EndnoteReference"/>
        </w:rPr>
        <w:endnoteRef/>
      </w:r>
      <w:r>
        <w:t xml:space="preserve"> </w:t>
      </w:r>
      <w:r>
        <w:t xml:space="preserve">Anita Engle, The NILI Spies (London: Hogarth Press, 1959); Eliezer Livneh, ed., NILI: The Story of a Daring (Hebrew; Jerusalem: Schocken, 1961); Ronald Florence, Lawrence and Aaronsohn: T. E. Lawrence, Aaron Aaronsohn, and the Seeds of the Arab-Israeli Conflict (New York: Viking, 2007); Yoram Mayorek,</w:t>
      </w:r>
      <w:r>
        <w:t xml:space="preserve"> </w:t>
      </w:r>
      <w:r>
        <w:t xml:space="preserve">“</w:t>
      </w:r>
      <w:r>
        <w:t xml:space="preserve">NILI: The Birth of Israeli Intelligence?</w:t>
      </w:r>
      <w:r>
        <w:t xml:space="preserve">”</w:t>
      </w:r>
      <w:r>
        <w:t xml:space="preserve"> </w:t>
      </w:r>
      <w:r>
        <w:t xml:space="preserve">(Hebrew article).</w:t>
      </w:r>
    </w:p>
  </w:endnote>
  <w:endnote w:id="53">
    <w:p>
      <w:pPr>
        <w:pStyle w:val="EndnoteText"/>
      </w:pPr>
      <w:r>
        <w:rPr>
          <w:rStyle w:val="EndnoteReference"/>
        </w:rPr>
        <w:endnoteRef/>
      </w:r>
      <w:r>
        <w:t xml:space="preserve"> </w:t>
      </w:r>
      <w:r>
        <w:t xml:space="preserve">Florence, Lawrence and Aaronsohn; Engle, The NILI Spies, chaps. 4–7;</w:t>
      </w:r>
      <w:r>
        <w:t xml:space="preserve"> </w:t>
      </w:r>
      <w:r>
        <w:t xml:space="preserve">“</w:t>
      </w:r>
      <w:r>
        <w:t xml:space="preserve">NILI Members,</w:t>
      </w:r>
      <w:r>
        <w:t xml:space="preserve">”</w:t>
      </w:r>
      <w:r>
        <w:t xml:space="preserve"> </w:t>
      </w:r>
      <w:r>
        <w:t xml:space="preserve">Aaronsohn House Museum, https://nili-museum.org.il/.</w:t>
      </w:r>
    </w:p>
  </w:endnote>
  <w:endnote w:id="54">
    <w:p>
      <w:pPr>
        <w:pStyle w:val="EndnoteText"/>
      </w:pPr>
      <w:r>
        <w:rPr>
          <w:rStyle w:val="EndnoteReference"/>
        </w:rPr>
        <w:endnoteRef/>
      </w:r>
      <w:r>
        <w:t xml:space="preserve"> </w:t>
      </w:r>
      <w:r>
        <w:t xml:space="preserve">Florence, Lawrence and Aaronsohn, chaps. 8–10; Taner Akçam, A Shameful Act: The Armenian Genocide and the Question of Turkish Responsibility (New York: Metropolitan Books, 2006), chaps. 5–7.</w:t>
      </w:r>
    </w:p>
  </w:endnote>
  <w:endnote w:id="55">
    <w:p>
      <w:pPr>
        <w:pStyle w:val="EndnoteText"/>
      </w:pPr>
      <w:r>
        <w:rPr>
          <w:rStyle w:val="EndnoteReference"/>
        </w:rPr>
        <w:endnoteRef/>
      </w:r>
      <w:r>
        <w:t xml:space="preserve"> </w:t>
      </w:r>
      <w:r>
        <w:t xml:space="preserve">Engle, The NILI Spies, chaps. 5–8; Florence, Lawrence and Aaronsohn, chaps. 10–14; Yigal Sheffy, British Military Intelligence in the Palestine Campaign, 1914–1918 (London: Frank Cass, 1998), chaps. 4–6.</w:t>
      </w:r>
    </w:p>
  </w:endnote>
  <w:endnote w:id="56">
    <w:p>
      <w:pPr>
        <w:pStyle w:val="EndnoteText"/>
      </w:pPr>
      <w:r>
        <w:rPr>
          <w:rStyle w:val="EndnoteReference"/>
        </w:rPr>
        <w:endnoteRef/>
      </w:r>
      <w:r>
        <w:t xml:space="preserve"> </w:t>
      </w:r>
      <w:r>
        <w:t xml:space="preserve">Engle, The NILI Spies, chap. 9; Florence, Lawrence and Aaronsohn, chap. 14.</w:t>
      </w:r>
    </w:p>
  </w:endnote>
  <w:endnote w:id="57">
    <w:p>
      <w:pPr>
        <w:pStyle w:val="EndnoteText"/>
      </w:pPr>
      <w:r>
        <w:rPr>
          <w:rStyle w:val="EndnoteReference"/>
        </w:rPr>
        <w:endnoteRef/>
      </w:r>
      <w:r>
        <w:t xml:space="preserve"> </w:t>
      </w:r>
      <w:r>
        <w:t xml:space="preserve">Engle, The NILI Spies, chaps. 10–14; Florence, Lawrence and Aaronsohn, chaps. 15–17; Sheffy, British Military Intelligence in the Palestine Campaign, chap. 9.</w:t>
      </w:r>
    </w:p>
  </w:endnote>
  <w:endnote w:id="58">
    <w:p>
      <w:pPr>
        <w:pStyle w:val="EndnoteText"/>
      </w:pPr>
      <w:r>
        <w:rPr>
          <w:rStyle w:val="EndnoteReference"/>
        </w:rPr>
        <w:endnoteRef/>
      </w:r>
      <w:r>
        <w:t xml:space="preserve"> </w:t>
      </w:r>
      <w:r>
        <w:t xml:space="preserve">Yoav Gelber, Jewish-Transjordanian Relations, 1921–1948: Alliance of Bars Sinister (London: Frank Cass, 1997), introduction; Yossi Melman and Dan Raviv, Spies Against Armageddon: Inside Israel’s Secret Wars (Sea Cliff, NY: Levant Books, 2012), early chapters.</w:t>
      </w:r>
    </w:p>
  </w:endnote>
  <w:endnote w:id="59">
    <w:p>
      <w:pPr>
        <w:pStyle w:val="EndnoteText"/>
      </w:pPr>
      <w:r>
        <w:rPr>
          <w:rStyle w:val="EndnoteReference"/>
        </w:rPr>
        <w:endnoteRef/>
      </w:r>
      <w:r>
        <w:t xml:space="preserve"> </w:t>
      </w:r>
      <w:r>
        <w:t xml:space="preserve">See chapters 5 and 9.</w:t>
      </w:r>
    </w:p>
  </w:endnote>
  <w:endnote w:id="61">
    <w:p>
      <w:pPr>
        <w:pStyle w:val="EndnoteText"/>
      </w:pPr>
      <w:r>
        <w:rPr>
          <w:rStyle w:val="EndnoteReference"/>
        </w:rPr>
        <w:endnoteRef/>
      </w:r>
      <w:r>
        <w:t xml:space="preserve"> </w:t>
      </w:r>
      <w:r>
        <w:t xml:space="preserve">Martin Watts, The Jewish Legion and the First World War (Houndmills: Palgrave Macmillan, 2004); Vladimir Jabotinsky, The Story of the Jewish Legion, trans. Samuel Katz (New York: Ackerman, 1945); William M. Mathew,</w:t>
      </w:r>
      <w:r>
        <w:t xml:space="preserve"> </w:t>
      </w:r>
      <w:r>
        <w:t xml:space="preserve">“</w:t>
      </w:r>
      <w:r>
        <w:t xml:space="preserve">Britain, Zionism, and the Jewish Legion</w:t>
      </w:r>
      <w:r>
        <w:t xml:space="preserve">”</w:t>
      </w:r>
      <w:r>
        <w:t xml:space="preserve">;</w:t>
      </w:r>
      <w:r>
        <w:t xml:space="preserve"> </w:t>
      </w:r>
      <w:r>
        <w:t xml:space="preserve">“</w:t>
      </w:r>
      <w:r>
        <w:t xml:space="preserve">The Jewish Legions in the First World War as a Locus of Identity Formation.</w:t>
      </w:r>
      <w:r>
        <w:t xml:space="preserve">”</w:t>
      </w:r>
    </w:p>
  </w:endnote>
  <w:endnote w:id="62">
    <w:p>
      <w:pPr>
        <w:pStyle w:val="EndnoteText"/>
      </w:pPr>
      <w:r>
        <w:rPr>
          <w:rStyle w:val="EndnoteReference"/>
        </w:rPr>
        <w:endnoteRef/>
      </w:r>
      <w:r>
        <w:t xml:space="preserve"> </w:t>
      </w:r>
      <w:r>
        <w:t xml:space="preserve">Watts, The Jewish Legion, chap. 1; Jabotinsky, Story of the Jewish Legion, chaps. 1–3; Shaul Dagan, Joseph Trumpeldor (Hebrew; Jerusalem: Mossad Bialik, 2008), chaps. 1–4.</w:t>
      </w:r>
    </w:p>
  </w:endnote>
  <w:endnote w:id="63">
    <w:p>
      <w:pPr>
        <w:pStyle w:val="EndnoteText"/>
      </w:pPr>
      <w:r>
        <w:rPr>
          <w:rStyle w:val="EndnoteReference"/>
        </w:rPr>
        <w:endnoteRef/>
      </w:r>
      <w:r>
        <w:t xml:space="preserve"> </w:t>
      </w:r>
      <w:r>
        <w:t xml:space="preserve">Watts, The Jewish Legion, chap. 1; Joseph Schechtman, Rebel and Statesman: The Vladimir Jabotinsky Story (New York: Eshel Books, 1986), vol. 1.</w:t>
      </w:r>
    </w:p>
  </w:endnote>
  <w:endnote w:id="64">
    <w:p>
      <w:pPr>
        <w:pStyle w:val="EndnoteText"/>
      </w:pPr>
      <w:r>
        <w:rPr>
          <w:rStyle w:val="EndnoteReference"/>
        </w:rPr>
        <w:endnoteRef/>
      </w:r>
      <w:r>
        <w:t xml:space="preserve"> </w:t>
      </w:r>
      <w:r>
        <w:t xml:space="preserve">John Henry Patterson, With the Zionists in Gallipoli (London: Hutchinson, 1916); Watts, The Jewish Legion, chap. 2; Patrick Streeter, Mad for Zion: A Biography of Colonel J. H. Patterson (Harlow: Matching Press, 2004); Jabotinsky, Story of the Jewish Legion, chaps. 3–5.</w:t>
      </w:r>
    </w:p>
  </w:endnote>
  <w:endnote w:id="65">
    <w:p>
      <w:pPr>
        <w:pStyle w:val="EndnoteText"/>
      </w:pPr>
      <w:r>
        <w:rPr>
          <w:rStyle w:val="EndnoteReference"/>
        </w:rPr>
        <w:endnoteRef/>
      </w:r>
      <w:r>
        <w:t xml:space="preserve"> </w:t>
      </w:r>
      <w:r>
        <w:t xml:space="preserve">Patterson, With the Zionists in Gallipoli; Watts, The Jewish Legion, chap. 2.</w:t>
      </w:r>
    </w:p>
  </w:endnote>
  <w:endnote w:id="66">
    <w:p>
      <w:pPr>
        <w:pStyle w:val="EndnoteText"/>
      </w:pPr>
      <w:r>
        <w:rPr>
          <w:rStyle w:val="EndnoteReference"/>
        </w:rPr>
        <w:endnoteRef/>
      </w:r>
      <w:r>
        <w:t xml:space="preserve"> </w:t>
      </w:r>
      <w:r>
        <w:t xml:space="preserve">Watts, The Jewish Legion, chaps. 4–7; Bar-Zohar, Ben-Gurion, chap. 4; Cyril Falls, Armageddon, 1918 (London: Weidenfeld and Nicolson, 1964).</w:t>
      </w:r>
    </w:p>
  </w:endnote>
  <w:endnote w:id="67">
    <w:p>
      <w:pPr>
        <w:pStyle w:val="EndnoteText"/>
      </w:pPr>
      <w:r>
        <w:rPr>
          <w:rStyle w:val="EndnoteReference"/>
        </w:rPr>
        <w:endnoteRef/>
      </w:r>
      <w:r>
        <w:t xml:space="preserve"> </w:t>
      </w:r>
      <w:r>
        <w:t xml:space="preserve">Watts, The Jewish Legion, chap. 5; Yoav Gelber, Jewish Palestinian Volunteers in the British Army During the Second World War, vol. 1 (Jerusalem: Yad Izhak Ben-Zvi, 1984), introduction.</w:t>
      </w:r>
    </w:p>
  </w:endnote>
  <w:endnote w:id="68">
    <w:p>
      <w:pPr>
        <w:pStyle w:val="EndnoteText"/>
      </w:pPr>
      <w:r>
        <w:rPr>
          <w:rStyle w:val="EndnoteReference"/>
        </w:rPr>
        <w:endnoteRef/>
      </w:r>
      <w:r>
        <w:t xml:space="preserve"> </w:t>
      </w:r>
      <w:r>
        <w:t xml:space="preserve">Bar-Zohar, Ben-Gurion, chap. 4; Shapira, Berl; Hoffman, Anonymous Soldiers, chap. 2.</w:t>
      </w:r>
    </w:p>
  </w:endnote>
  <w:endnote w:id="69">
    <w:p>
      <w:pPr>
        <w:pStyle w:val="EndnoteText"/>
      </w:pPr>
      <w:r>
        <w:rPr>
          <w:rStyle w:val="EndnoteReference"/>
        </w:rPr>
        <w:endnoteRef/>
      </w:r>
      <w:r>
        <w:t xml:space="preserve"> </w:t>
      </w:r>
      <w:r>
        <w:t xml:space="preserve">Mathew,</w:t>
      </w:r>
      <w:r>
        <w:t xml:space="preserve"> </w:t>
      </w:r>
      <w:r>
        <w:t xml:space="preserve">“</w:t>
      </w:r>
      <w:r>
        <w:t xml:space="preserve">Britain, Zionism, and the Jewish Legion</w:t>
      </w:r>
      <w:r>
        <w:t xml:space="preserve">”</w:t>
      </w:r>
      <w:r>
        <w:t xml:space="preserve">; Watts, The Jewish Legion, chap. 4; Jonathan Schneer, The Balfour Declaration: The Origins of the Arab-Israeli Conflict (New York: Random House, 2010), chaps. 13–15.</w:t>
      </w:r>
    </w:p>
  </w:endnote>
  <w:endnote w:id="71">
    <w:p>
      <w:pPr>
        <w:pStyle w:val="EndnoteText"/>
      </w:pPr>
      <w:r>
        <w:rPr>
          <w:rStyle w:val="EndnoteReference"/>
        </w:rPr>
        <w:endnoteRef/>
      </w:r>
      <w:r>
        <w:t xml:space="preserve"> </w:t>
      </w:r>
      <w:r>
        <w:t xml:space="preserve">Dagan, Joseph Trumpeldor, chaps. 5–7; Oleg Budnitskii, Russian Jews Between the Reds and the Whites, 1917–1920, trans. Timothy Portice (Philadelphia: University of Pennsylvania Press, 2012).</w:t>
      </w:r>
    </w:p>
  </w:endnote>
  <w:endnote w:id="72">
    <w:p>
      <w:pPr>
        <w:pStyle w:val="EndnoteText"/>
      </w:pPr>
      <w:r>
        <w:rPr>
          <w:rStyle w:val="EndnoteReference"/>
        </w:rPr>
        <w:endnoteRef/>
      </w:r>
      <w:r>
        <w:t xml:space="preserve"> </w:t>
      </w:r>
      <w:r>
        <w:t xml:space="preserve">Dagan, Joseph Trumpeldor, chap. 8; Shaul Dagan,</w:t>
      </w:r>
      <w:r>
        <w:t xml:space="preserve"> </w:t>
      </w:r>
      <w:r>
        <w:t xml:space="preserve">“</w:t>
      </w:r>
      <w:r>
        <w:t xml:space="preserve">The Secret Kibbutz in the Joseph Trumpeldor Labor and Defense Battalion, 1920–1926,</w:t>
      </w:r>
      <w:r>
        <w:t xml:space="preserve">”</w:t>
      </w:r>
      <w:r>
        <w:t xml:space="preserve"> </w:t>
      </w:r>
      <w:r>
        <w:t xml:space="preserve">Rishonim Be’Eretz Yisrael, 3 May 2016, https://perma.cc/6LUL-SB6S; Hoffman, Anonymous Soldiers, chap. 2.</w:t>
      </w:r>
    </w:p>
  </w:endnote>
  <w:endnote w:id="73">
    <w:p>
      <w:pPr>
        <w:pStyle w:val="EndnoteText"/>
      </w:pPr>
      <w:r>
        <w:rPr>
          <w:rStyle w:val="EndnoteReference"/>
        </w:rPr>
        <w:endnoteRef/>
      </w:r>
      <w:r>
        <w:t xml:space="preserve"> </w:t>
      </w:r>
      <w:r>
        <w:t xml:space="preserve">Dagan, Joseph Trumpeldor, chap. 8; Zvika Dror, The Life and Times of Yitzhak Sadeh (Hebrew; Tel Aviv: Ha-Kibbutz Ha-Meuchad, 1996), 130–60. See chapter 2, §§1.4–1.5.</w:t>
      </w:r>
    </w:p>
  </w:endnote>
  <w:endnote w:id="74">
    <w:p>
      <w:pPr>
        <w:pStyle w:val="EndnoteText"/>
      </w:pPr>
      <w:r>
        <w:rPr>
          <w:rStyle w:val="EndnoteReference"/>
        </w:rPr>
        <w:endnoteRef/>
      </w:r>
      <w:r>
        <w:t xml:space="preserve"> </w:t>
      </w:r>
      <w:r>
        <w:t xml:space="preserve">Dagan, Joseph Trumpeldor, chap. 9; Uri Milstein,</w:t>
      </w:r>
      <w:r>
        <w:t xml:space="preserve"> </w:t>
      </w:r>
      <w:r>
        <w:t xml:space="preserve">“</w:t>
      </w:r>
      <w:r>
        <w:t xml:space="preserve">100 Years since the Fall of Joseph Trumpeldor, Part One</w:t>
      </w:r>
      <w:r>
        <w:t xml:space="preserve">”</w:t>
      </w:r>
      <w:r>
        <w:t xml:space="preserve"> </w:t>
      </w:r>
      <w:r>
        <w:t xml:space="preserve">(Hebrew), Maariv Online, 29 February 2020, https://www.maariv.co.il/news/military/Article-750963; Anita Shapira, Land and Power, 100–18.</w:t>
      </w:r>
    </w:p>
  </w:endnote>
  <w:endnote w:id="76">
    <w:p>
      <w:pPr>
        <w:pStyle w:val="EndnoteText"/>
      </w:pPr>
      <w:r>
        <w:rPr>
          <w:rStyle w:val="EndnoteReference"/>
        </w:rPr>
        <w:endnoteRef/>
      </w:r>
      <w:r>
        <w:t xml:space="preserve"> </w:t>
      </w:r>
      <w:r>
        <w:t xml:space="preserve">Yael Zerubavel, Recovered Roots: Collective Memory and the Making of Israeli National Tradition (Chicago: University of Chicago Press, 1995), chaps. 1–3; Idith Zertal, Israel’s Holocaust and the Politics of Nationhood, trans. Chaya Galai (Cambridge: Cambridge University Press, 2005), chap. 1; Anita Shapira, Land and Power, 100–18; Uri Milstein,</w:t>
      </w:r>
      <w:r>
        <w:t xml:space="preserve"> </w:t>
      </w:r>
      <w:r>
        <w:t xml:space="preserve">“</w:t>
      </w:r>
      <w:r>
        <w:t xml:space="preserve">100 Years since the Fall of Joseph Trumpeldor, Part One</w:t>
      </w:r>
      <w:r>
        <w:t xml:space="preserve">”</w:t>
      </w:r>
      <w:r>
        <w:t xml:space="preserve"> </w:t>
      </w:r>
      <w:r>
        <w:t xml:space="preserve">(Hebrew), Maariv Online, 29 February 2020, https://www.maariv.co.il/news/military/Article-750963.</w:t>
      </w:r>
    </w:p>
  </w:endnote>
  <w:endnote w:id="77">
    <w:p>
      <w:pPr>
        <w:pStyle w:val="EndnoteText"/>
      </w:pPr>
      <w:r>
        <w:rPr>
          <w:rStyle w:val="EndnoteReference"/>
        </w:rPr>
        <w:endnoteRef/>
      </w:r>
      <w:r>
        <w:t xml:space="preserve"> </w:t>
      </w:r>
      <w:r>
        <w:t xml:space="preserve">Margaret MacMillan, Paris 1919: Six Months That Changed the World (New York: Random House, 2001), chaps. 26–28; Gideon Biger, The Boundaries of Modern Palestine, 1840–1947 (London: RoutledgeCurzon, 2004), chaps. 5–6.</w:t>
      </w:r>
    </w:p>
  </w:endnote>
  <w:endnote w:id="78">
    <w:p>
      <w:pPr>
        <w:pStyle w:val="EndnoteText"/>
      </w:pPr>
      <w:r>
        <w:rPr>
          <w:rStyle w:val="EndnoteReference"/>
        </w:rPr>
        <w:endnoteRef/>
      </w:r>
      <w:r>
        <w:t xml:space="preserve"> </w:t>
      </w:r>
      <w:r>
        <w:t xml:space="preserve">James L. Gelvin, Divided Loyalties: Nationalism and Mass Politics in Syria at the Close of Empire (Berkeley: University of California Press, 1998); Mustafa Abbasi, The Arab Galilee in the Mandate Period, 1918–1948 (Hebrew; Sde Boker: Ben-Gurion Research Institute, 2014).</w:t>
      </w:r>
    </w:p>
  </w:endnote>
  <w:endnote w:id="79">
    <w:p>
      <w:pPr>
        <w:pStyle w:val="EndnoteText"/>
      </w:pPr>
      <w:r>
        <w:rPr>
          <w:rStyle w:val="EndnoteReference"/>
        </w:rPr>
        <w:endnoteRef/>
      </w:r>
      <w:r>
        <w:t xml:space="preserve"> </w:t>
      </w:r>
      <w:r>
        <w:t xml:space="preserve">Dagan, Joseph Trumpeldor, chap. 9; Dagan,</w:t>
      </w:r>
      <w:r>
        <w:t xml:space="preserve"> </w:t>
      </w:r>
      <w:r>
        <w:t xml:space="preserve">“</w:t>
      </w:r>
      <w:r>
        <w:t xml:space="preserve">The Secret Kibbutz in the Joseph Trumpeldor Labor and Defense Battalion, 1920–1926,</w:t>
      </w:r>
      <w:r>
        <w:t xml:space="preserve">”</w:t>
      </w:r>
      <w:r>
        <w:t xml:space="preserve"> </w:t>
      </w:r>
      <w:r>
        <w:t xml:space="preserve">Rishonim Be’Eretz Yisrael, 3 May 2016, https://perma.cc/6LUL-SB6S; the contemporary settlement records preserved in the Yad Tabenkin archive.</w:t>
      </w:r>
    </w:p>
  </w:endnote>
  <w:endnote w:id="80">
    <w:p>
      <w:pPr>
        <w:pStyle w:val="EndnoteText"/>
      </w:pPr>
      <w:r>
        <w:rPr>
          <w:rStyle w:val="EndnoteReference"/>
        </w:rPr>
        <w:endnoteRef/>
      </w:r>
      <w:r>
        <w:t xml:space="preserve"> </w:t>
      </w:r>
      <w:r>
        <w:t xml:space="preserve">Nakdimon Rogel, Tel-Hai: A Front Without a Hinterland (Hebrew; Tel Aviv: Yariv-Hadar, 1979); Milstein,</w:t>
      </w:r>
      <w:r>
        <w:t xml:space="preserve"> </w:t>
      </w:r>
      <w:r>
        <w:t xml:space="preserve">“</w:t>
      </w:r>
      <w:r>
        <w:t xml:space="preserve">100 Years since the Fall of Joseph Trumpeldor</w:t>
      </w:r>
      <w:r>
        <w:t xml:space="preserve">”</w:t>
      </w:r>
      <w:r>
        <w:t xml:space="preserve">; Sefer Tel-Hai (Hebrew; Tel Aviv: HaKibbutz HaMeuchad, 1957), edited by the Tel-Hai memorial committee.</w:t>
      </w:r>
    </w:p>
  </w:endnote>
  <w:endnote w:id="81">
    <w:p>
      <w:pPr>
        <w:pStyle w:val="EndnoteText"/>
      </w:pPr>
      <w:r>
        <w:rPr>
          <w:rStyle w:val="EndnoteReference"/>
        </w:rPr>
        <w:endnoteRef/>
      </w:r>
      <w:r>
        <w:t xml:space="preserve"> </w:t>
      </w:r>
      <w:r>
        <w:t xml:space="preserve">Biger, Boundaries of Modern Palestine, chap. 6.</w:t>
      </w:r>
    </w:p>
  </w:endnote>
  <w:endnote w:id="82">
    <w:p>
      <w:pPr>
        <w:pStyle w:val="EndnoteText"/>
      </w:pPr>
      <w:r>
        <w:rPr>
          <w:rStyle w:val="EndnoteReference"/>
        </w:rPr>
        <w:endnoteRef/>
      </w:r>
      <w:r>
        <w:t xml:space="preserve"> </w:t>
      </w:r>
      <w:r>
        <w:t xml:space="preserve">Zerubavel, Recovered Roots, chap. 3; Nakdimon Rogel,</w:t>
      </w:r>
      <w:r>
        <w:t xml:space="preserve"> </w:t>
      </w:r>
      <w:r>
        <w:t xml:space="preserve">“</w:t>
      </w:r>
      <w:r>
        <w:t xml:space="preserve">Trumpeldor’s Last Words: A Reconsideration</w:t>
      </w:r>
      <w:r>
        <w:t xml:space="preserve">”</w:t>
      </w:r>
      <w:r>
        <w:t xml:space="preserve"> </w:t>
      </w:r>
      <w:r>
        <w:t xml:space="preserve">(Hebrew article); Edna Lomsky-Feder and Eyal Ben-Ari, eds., The Military and Militarism in Israeli Society (Albany: SUNY Press, 1999).</w:t>
      </w:r>
    </w:p>
  </w:endnote>
  <w:endnote w:id="83">
    <w:p>
      <w:pPr>
        <w:pStyle w:val="EndnoteText"/>
      </w:pPr>
      <w:r>
        <w:rPr>
          <w:rStyle w:val="EndnoteReference"/>
        </w:rPr>
        <w:endnoteRef/>
      </w:r>
      <w:r>
        <w:t xml:space="preserve"> </w:t>
      </w:r>
      <w:r>
        <w:t xml:space="preserve">Zerubavel, Recovered Roots, chaps. 2–3; Boaz Neumann, Land and Desire in Early Zionism, trans. Haim Watzman (Waltham, MA: Brandeis University Press, 2011).</w:t>
      </w:r>
    </w:p>
  </w:endnote>
  <w:endnote w:id="84">
    <w:p>
      <w:pPr>
        <w:pStyle w:val="EndnoteText"/>
      </w:pPr>
      <w:r>
        <w:rPr>
          <w:rStyle w:val="EndnoteReference"/>
        </w:rPr>
        <w:endnoteRef/>
      </w:r>
      <w:r>
        <w:t xml:space="preserve"> </w:t>
      </w:r>
      <w:r>
        <w:t xml:space="preserve">Schechtman, Rebel and Statesman, vol. 1, chap. 11; Ze’ev Jabotinsky, Ne’umim, 1905–1926 (Hebrew; Jerusalem: Jabotinsky Institute, 1947).</w:t>
      </w:r>
    </w:p>
  </w:endnote>
  <w:endnote w:id="86">
    <w:p>
      <w:pPr>
        <w:pStyle w:val="EndnoteText"/>
      </w:pPr>
      <w:r>
        <w:rPr>
          <w:rStyle w:val="EndnoteReference"/>
        </w:rPr>
        <w:endnoteRef/>
      </w:r>
      <w:r>
        <w:t xml:space="preserve"> </w:t>
      </w:r>
      <w:r>
        <w:t xml:space="preserve">“</w:t>
      </w:r>
      <w:r>
        <w:t xml:space="preserve">The Founding of the Haganah, 15 June 1920,</w:t>
      </w:r>
      <w:r>
        <w:t xml:space="preserve">”</w:t>
      </w:r>
      <w:r>
        <w:t xml:space="preserve"> </w:t>
      </w:r>
      <w:r>
        <w:t xml:space="preserve">IDF Archives, https://idfarchives.bloger.co.il/; Slutsky, Avigur, and Rivlin, Sefer Toldot HaHaganah (Hebrew; Tel Aviv: HaSifriyah HaTziyonit, 1954–1972), vol. 1, chap. 1; Bar-Zohar, Ben-Gurion, chap. 4.</w:t>
      </w:r>
    </w:p>
  </w:endnote>
  <w:endnote w:id="87">
    <w:p>
      <w:pPr>
        <w:pStyle w:val="EndnoteText"/>
      </w:pPr>
      <w:r>
        <w:rPr>
          <w:rStyle w:val="EndnoteReference"/>
        </w:rPr>
        <w:endnoteRef/>
      </w:r>
      <w:r>
        <w:t xml:space="preserve"> </w:t>
      </w:r>
      <w:r>
        <w:t xml:space="preserve">Tom Segev, One Palestine, Complete: Jews and Arabs Under the British Mandate, trans. Haim Watzman (New York: Henry Holt, 2000), chap. 7; Bar-Zohar, Ben-Gurion, chap. 4.</w:t>
      </w:r>
    </w:p>
  </w:endnote>
  <w:endnote w:id="88">
    <w:p>
      <w:pPr>
        <w:pStyle w:val="EndnoteText"/>
      </w:pPr>
      <w:r>
        <w:rPr>
          <w:rStyle w:val="EndnoteReference"/>
        </w:rPr>
        <w:endnoteRef/>
      </w:r>
      <w:r>
        <w:t xml:space="preserve"> </w:t>
      </w:r>
      <w:r>
        <w:t xml:space="preserve">Yossi Goldstein, Ba-Derech le-Hegemoniyah, introduction; Shapira, Land and Power, 60–105.</w:t>
      </w:r>
    </w:p>
  </w:endnote>
  <w:endnote w:id="89">
    <w:p>
      <w:pPr>
        <w:pStyle w:val="EndnoteText"/>
      </w:pPr>
      <w:r>
        <w:rPr>
          <w:rStyle w:val="EndnoteReference"/>
        </w:rPr>
        <w:endnoteRef/>
      </w:r>
      <w:r>
        <w:t xml:space="preserve"> </w:t>
      </w:r>
      <w:r>
        <w:t xml:space="preserve">Bar-Zohar, Ben-Gurion, chap. 4; Shapira, Berl, chaps. 4–6; Bar-Zohar, Ben-Gurion, chaps. 2–3.</w:t>
      </w:r>
    </w:p>
  </w:endnote>
  <w:endnote w:id="90">
    <w:p>
      <w:pPr>
        <w:pStyle w:val="EndnoteText"/>
      </w:pPr>
      <w:r>
        <w:rPr>
          <w:rStyle w:val="EndnoteReference"/>
        </w:rPr>
        <w:endnoteRef/>
      </w:r>
      <w:r>
        <w:t xml:space="preserve"> </w:t>
      </w:r>
      <w:r>
        <w:t xml:space="preserve">Bar-Zohar, Ben-Gurion, chaps. 4–5; Shapira, Land and Power, 100–18; Anita Shapira, Israel: A History, trans. Anthony Berris (Waltham, MA: Brandeis University Press, 2012), chaps. 5–6.</w:t>
      </w:r>
    </w:p>
  </w:endnote>
  <w:endnote w:id="91">
    <w:p>
      <w:pPr>
        <w:pStyle w:val="EndnoteText"/>
      </w:pPr>
      <w:r>
        <w:rPr>
          <w:rStyle w:val="EndnoteReference"/>
        </w:rPr>
        <w:endnoteRef/>
      </w:r>
      <w:r>
        <w:t xml:space="preserve"> </w:t>
      </w:r>
      <w:r>
        <w:t xml:space="preserve">Bar-Zohar, Ben-Gurion, chap. 4; Slutsky et al., Sefer Toldot HaHaganah, vol. 1, chap. 2.</w:t>
      </w:r>
    </w:p>
  </w:endnote>
  <w:endnote w:id="92">
    <w:p>
      <w:pPr>
        <w:pStyle w:val="EndnoteText"/>
      </w:pPr>
      <w:r>
        <w:rPr>
          <w:rStyle w:val="EndnoteReference"/>
        </w:rPr>
        <w:endnoteRef/>
      </w:r>
      <w:r>
        <w:t xml:space="preserve"> </w:t>
      </w:r>
      <w:r>
        <w:t xml:space="preserve">Slutsky et al., Sefer Toldot HaHaganah, vol. 1.</w:t>
      </w:r>
    </w:p>
  </w:endnote>
  <w:endnote w:id="93">
    <w:p>
      <w:pPr>
        <w:pStyle w:val="EndnoteText"/>
      </w:pPr>
      <w:r>
        <w:rPr>
          <w:rStyle w:val="EndnoteReference"/>
        </w:rPr>
        <w:endnoteRef/>
      </w:r>
      <w:r>
        <w:t xml:space="preserve"> </w:t>
      </w:r>
      <w:r>
        <w:t xml:space="preserve">See [60]; Slutsky et al., Sefer Toldot HaHaganah, vol. 1, chaps. 1–3.</w:t>
      </w:r>
    </w:p>
  </w:endnote>
  <w:endnote w:id="95">
    <w:p>
      <w:pPr>
        <w:pStyle w:val="EndnoteText"/>
      </w:pPr>
      <w:r>
        <w:rPr>
          <w:rStyle w:val="EndnoteReference"/>
        </w:rPr>
        <w:endnoteRef/>
      </w:r>
      <w:r>
        <w:t xml:space="preserve"> </w:t>
      </w:r>
      <w:r>
        <w:t xml:space="preserve">Zvika Dror, The Life and Times of Yitzhak Sadeh (Hebrew; Tel Aviv: Ha-Kibbutz Ha-Meuchad, 1996), 175–215; Yitzhak Sadeh, Ha-Pinkas Patuah: Episode Rishon (The Notebook Is Open: First Episode) (Tel Aviv: Ha-Kibbutz Ha-Meuchad, 1951); Maoz Azaryahu, Tel Aviv: Mythography of a City (Syracuse: Syracuse University Press, 2007), early chapters.</w:t>
      </w:r>
    </w:p>
  </w:endnote>
  <w:endnote w:id="96">
    <w:p>
      <w:pPr>
        <w:pStyle w:val="EndnoteText"/>
      </w:pPr>
      <w:r>
        <w:rPr>
          <w:rStyle w:val="EndnoteReference"/>
        </w:rPr>
        <w:endnoteRef/>
      </w:r>
      <w:r>
        <w:t xml:space="preserve"> </w:t>
      </w:r>
      <w:r>
        <w:t xml:space="preserve">See chapter 2, §1.2.</w:t>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endnotePr>
    <w:numFmt w:val="decimal"/>
    <w:endnote w:id="-1"/>
    <w:endnote w:id="0"/>
  </w:end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EndnoteText" w:type="paragraph">
    <w:name w:val="Endnote Text"/>
    <w:basedOn w:val="Normal"/>
    <w:next w:val="End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EndnoteReference" w:type="character">
    <w:name w:val="End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endnotes" Id="rId7" Target="endnotes.xml" /><Relationship Type="http://schemas.openxmlformats.org/officeDocument/2006/relationships/comments" Id="rId8" Target="comments.xml" /></Relationships>
</file>

<file path=word/_rels/end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2026-08-10T01:56:48Z</dcterms:created>
  <dcterms:modified xsi:type="dcterms:W3CDTF">2026-08-10T01:56:48Z</dcterms:modified>
</cp:coreProperties>
</file>

<file path=docProps/custom.xml><?xml version="1.0" encoding="utf-8"?>
<Properties xmlns="http://schemas.openxmlformats.org/officeDocument/2006/custom-properties" xmlns:vt="http://schemas.openxmlformats.org/officeDocument/2006/docPropsVTypes"/>
</file>