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chapter-2-the-old-man"/>
    <w:p>
      <w:pPr>
        <w:pStyle w:val="Heading1"/>
      </w:pPr>
      <w:r>
        <w:t xml:space="preserve">Chapter 2 — The Old Man</w:t>
      </w:r>
    </w:p>
    <w:p>
      <w:pPr>
        <w:pStyle w:val="FirstParagraph"/>
      </w:pPr>
      <w:r>
        <w:t xml:space="preserve">Yitzhak Sadeh and the Foundations of Israeli Irregular Warfare</w:t>
      </w:r>
    </w:p>
    <w:bookmarkStart w:id="32" w:name="the-funeral"/>
    <w:p>
      <w:pPr>
        <w:pStyle w:val="Heading2"/>
      </w:pPr>
      <w:r>
        <w:t xml:space="preserve">2.1 The Funeral</w:t>
      </w:r>
    </w:p>
    <w:p>
      <w:pPr>
        <w:pStyle w:val="FirstParagraph"/>
      </w:pPr>
      <w:r>
        <w:t xml:space="preserve">On Wednesday, 20 August 1952, shortly after nine in the evening, Major General (ret.) Yitzhak Sadeh died of cancer at Ha-Sharon Hospital in Petah Tikva. He was sixty-two years old.</w:t>
      </w:r>
      <w:r>
        <w:rPr>
          <w:rStyle w:val="EndnoteReference"/>
        </w:rPr>
        <w:endnoteReference w:id="20"/>
      </w:r>
    </w:p>
    <w:p>
      <w:pPr>
        <w:pStyle w:val="BodyText"/>
      </w:pPr>
      <w:r>
        <w:t xml:space="preserve">The news of Sadeh’s death caught the country by surprise. Only his closest friends had known that he had been battling cancer for the better part of a year. By the summer of 1952, four years after the establishment of the state and four years after his own quiet removal from the IDF’s senior command, Sadeh — Ha-Zaken, the Old Man, as the men of the Palmach had called him since the late 1930s — was no longer in the public spotlight. The newspapers had been writing about him less. The Knesset had been debating him less. The senior officers of the new army, men whose military careers Sadeh had personally shaped, had been seeing him less than they had a decade earlier. He had become, in the rapid public life of the young state, a figure of memory rather than of action.</w:t>
      </w:r>
      <w:r>
        <w:rPr>
          <w:rStyle w:val="EndnoteReference"/>
        </w:rPr>
        <w:endnoteReference w:id="21"/>
      </w:r>
    </w:p>
    <w:p>
      <w:pPr>
        <w:pStyle w:val="BodyText"/>
      </w:pPr>
      <w:r>
        <w:t xml:space="preserve">Word of his death reached Tel Aviv, the kibbutzim of the Jezreel Valley, and the units of the IDF within the hour. Politicians, senior military officers, artists, and bohemians began arriving at the hospital throughout the night. By midnight, a small group of officers — mostly Sadeh’s own protégés, men who had fought under him in the Palmach and the 1948 war — had formed an honor guard at the entrance to the hospital. They stood through the rest of the night.</w:t>
      </w:r>
      <w:r>
        <w:rPr>
          <w:rStyle w:val="EndnoteReference"/>
        </w:rPr>
        <w:endnoteReference w:id="22"/>
      </w:r>
    </w:p>
    <w:p>
      <w:pPr>
        <w:pStyle w:val="BodyText"/>
      </w:pPr>
      <w:r>
        <w:t xml:space="preserve">The next morning at nine-thirty, a peculiar group of men emerged from the hospital carrying the coffin on their shoulders. Among them were Lieutenant General (ret.) Yaakov Dori, the first chief of staff of the Israel Defense Forces; the poet Nathan Alterman; the Knesset member Aharon Zisling; and a handful of Palmach veterans — the survivors of the underground armed force of the Jewish community in Palestine that Sadeh had founded in May 1941. They laid the casket in a car that carried it to the headquarters of the Histadrut, the General Federation of Labor, on Allenby Street in Tel Aviv.</w:t>
      </w:r>
      <w:r>
        <w:rPr>
          <w:rStyle w:val="EndnoteReference"/>
        </w:rPr>
        <w:endnoteReference w:id="23"/>
      </w:r>
    </w:p>
    <w:p>
      <w:pPr>
        <w:pStyle w:val="BodyText"/>
      </w:pPr>
      <w:r>
        <w:t xml:space="preserve">It was a hot and humid late August day. The weather did not deter twenty thousand Israelis from gathering outside the Histadrut building, waiting their turn to pass before the coffin and pay their respects. Among the procession that filed past in the course of the morning and afternoon were men who had served under Sadeh in the FOSH in 1937, in the Special Night Squads in 1938, in the Palmach companies that had operated alongside the SOE during the Second World War, and in the Givati and Negev brigades that had fought under his overall command during the 1948 war.</w:t>
      </w:r>
      <w:r>
        <w:rPr>
          <w:rStyle w:val="EndnoteReference"/>
        </w:rPr>
        <w:endnoteReference w:id="24"/>
      </w:r>
    </w:p>
    <w:p>
      <w:pPr>
        <w:pStyle w:val="BodyText"/>
      </w:pPr>
      <w:r>
        <w:t xml:space="preserve">The procession was not only military. The contemporary obituary in HaOlam HaZeh, published in the magazine’s special memorial issue the week after the funeral, recorded the social cross-section of the civilian mourners: an Egged bus driver who had hung his fare bag over his shoulder; a housewife carrying a full shopping basket; office clerks with leather briefcases; religious Jews in skullcaps; a six-year-old boy leading a four-year-old by the hand, with no parent visible; war-disabled veterans on prosthetic legs; new immigrants from Iraq; a father carrying his infant on his shoulders so the child would later be able to say that he had seen and remembered. They passed at the rate of sixty per minute for four uninterrupted hours.</w:t>
      </w:r>
      <w:r>
        <w:rPr>
          <w:rStyle w:val="EndnoteReference"/>
        </w:rPr>
        <w:endnoteReference w:id="25"/>
      </w:r>
    </w:p>
    <w:p>
      <w:pPr>
        <w:pStyle w:val="BodyText"/>
      </w:pPr>
      <w:r>
        <w:t xml:space="preserve">Shortly after three in the afternoon, former Palmach officers carried their commander to the car that would take him on the next stage of his journey, north along King George Street, past the small downtown apartment of the slain Hebrew novelist Yosef Haim Brenner — whose life had crossed Sadeh’s in the early 1920s and to whose flat the procession paused, briefly, to acknowledge — and on toward Beit Ha-Bima, the home of the Hebrew national theater, where a second leg of the procession was waiting.</w:t>
      </w:r>
      <w:r>
        <w:rPr>
          <w:rStyle w:val="EndnoteReference"/>
        </w:rPr>
        <w:endnoteReference w:id="26"/>
      </w:r>
    </w:p>
    <w:p>
      <w:pPr>
        <w:pStyle w:val="BodyText"/>
      </w:pPr>
      <w:r>
        <w:t xml:space="preserve">At Beit Ha-Bima, two of the men whose lives Sadeh had shaped more than anyone else’s — Major General Moshe Dayan and Major General (res.) Yigal Allon — stepped forward. Aided by four other senior officers, Dayan and Allon lifted the casket and carried it to a military truck. This was the moment, at the steps of the national theater, at which the procession ceased to be a civilian one and became a military funeral. At four-thirty in the afternoon the motorcade set out for the last stage of Sadeh’s journey, twenty-five miles south of Tel Aviv, to the cemetery of Kibbutz Givat Brenner.</w:t>
      </w:r>
      <w:r>
        <w:rPr>
          <w:rStyle w:val="EndnoteReference"/>
        </w:rPr>
        <w:endnoteReference w:id="27"/>
      </w:r>
    </w:p>
    <w:p>
      <w:pPr>
        <w:pStyle w:val="BodyText"/>
      </w:pPr>
      <w:r>
        <w:t xml:space="preserve">The convoy advanced slowly along the coastal road. On either side of the route, mourners had gathered to salute the Old Man one last time as the truck passed. Yisrael Galili, the former chief of staff of the Haganah, Sadeh’s commander in the late 1930s and his close friend for the next decade and a half, watched the crowd from the front of the procession.</w:t>
      </w:r>
      <w:r>
        <w:t xml:space="preserve"> </w:t>
      </w:r>
      <w:r>
        <w:t xml:space="preserve">“</w:t>
      </w:r>
      <w:r>
        <w:t xml:space="preserve">The people love their heroes,</w:t>
      </w:r>
      <w:r>
        <w:t xml:space="preserve">”</w:t>
      </w:r>
      <w:r>
        <w:t xml:space="preserve"> </w:t>
      </w:r>
      <w:r>
        <w:t xml:space="preserve">he said to one of the officers around him. The way the nation had gathered to mourn Sadeh, he added, reminded him of two earlier funerals he had himself attended in his youth — those of Joseph Trumpeldor in 1920 and of Eliyahu Golomb in 1945. Both men had been central to Sadeh’s life. Trumpeldor — the Russian-Jewish officer whose death at Tel-Hai in March 1920 had drawn Sadeh, then a thirty-year-old former Red Army officer, to immigrate to Palestine in the first place — had been Sadeh’s mentor. Golomb — the de facto leader of the Haganah throughout the late Mandate years, the man who had brought Sadeh into the Haganah’s senior leadership in the late 1930s — had been his sponsor and protector. Galili’s parallel was not an idle one. The three funerals he was comparing — Trumpeldor’s, Golomb’s, and Sadeh’s — were the three institutional moments at which the Jewish military project in Palestine had paused to acknowledge its own genealogy.</w:t>
      </w:r>
      <w:r>
        <w:rPr>
          <w:rStyle w:val="EndnoteReference"/>
        </w:rPr>
        <w:endnoteReference w:id="28"/>
      </w:r>
    </w:p>
    <w:p>
      <w:pPr>
        <w:pStyle w:val="BodyText"/>
      </w:pPr>
      <w:r>
        <w:t xml:space="preserve">The funeral service at Givat Brenner began at six-thirty in the evening. At the time of his death, Sadeh was no longer at the center of the security establishment. He had been pushed out of the IDF in stages between November 1948 and 1949, when Ben-Gurion had dissolved the Palmach’s general staff and reorganized the army on a conventional model that had no place for Sadeh’s particular institutional power. Yet the entire state leadership attended the funeral. Prime Minister David Ben-Gurion himself — Sadeh’s political adversary, the man who had presided over Sadeh’s marginalization — was present. So were the chief of staff, the heads of the intelligence services, and the cabinet. The Old Man, in death, received the recognition the Old Man, in life, had been denied in his last four years.</w:t>
      </w:r>
      <w:r>
        <w:rPr>
          <w:rStyle w:val="EndnoteReference"/>
        </w:rPr>
        <w:endnoteReference w:id="29"/>
      </w:r>
    </w:p>
    <w:p>
      <w:pPr>
        <w:pStyle w:val="BodyText"/>
      </w:pPr>
      <w:r>
        <w:t xml:space="preserve">In his eulogy, Yisrael Galili wove together the qualities that had made Yitzhak Sadeh a central figure in the short history of the Jewish armed forces. He taught the youth the value of re’ut, of comradeship, Galili said, and made them fall in love with the landscapes of their homeland. He engraved in their minds the principle that danger could be kept away only if you approached it face to face. He introduced the future commanders of the IDF — Allon, Dayan, the men in the audience — to the principles of military reconnaissance, cultivated their shooting skills, and taught them how to lay ambushes, outflank, and storm. For this, Galili continued, the people owed him — for unveiling the virtues of their youth. And for those of us, he said, his close friends, we owe him for the human values he instilled in us, for teaching us how to fight while hating war, for his firm stance against terror, for his friendship, for his love of life.</w:t>
      </w:r>
      <w:r>
        <w:rPr>
          <w:rStyle w:val="EndnoteReference"/>
        </w:rPr>
        <w:endnoteReference w:id="30"/>
      </w:r>
    </w:p>
    <w:p>
      <w:pPr>
        <w:pStyle w:val="BodyText"/>
      </w:pPr>
      <w:r>
        <w:t xml:space="preserve">Galili did not exaggerate. He was describing a single human being who, between 1936 and 1948, had set the Yishuv on a particular military trajectory — the trajectory that would, more than three decades later, produce Sayeret Matkal, Shaldag, the naval commandos, and the entire Israeli special-operations community that this book is about. By the late summer of 1952, when his friends and his rivals and his protégés stood beside his open grave at Givat Brenner, the trajectory had outlived him. The tactics that Sadeh had developed, first during the years of the Great Arab Revolt of 1936–1939 and then as the founding commander of the Palmach between 1941 and 1947, had outlived him and would continue to shape the IDF for the next half-century.</w:t>
      </w:r>
      <w:r>
        <w:rPr>
          <w:rStyle w:val="EndnoteReference"/>
        </w:rPr>
        <w:endnoteReference w:id="31"/>
      </w:r>
    </w:p>
    <w:p>
      <w:pPr>
        <w:pStyle w:val="BodyText"/>
      </w:pPr>
      <w:r>
        <w:t xml:space="preserve">What made Sadeh the figure he was, and what made him capable, in 1936, of seeing what other men in the Haganah’s leadership could not see? The chapter that follows answers that question by going back six decades — to Lublin, in the Russian-ruled territory of Poland, in the last year before the closing decade of the nineteenth century, on the eve of a violent half-century of revolution and war whose imprint, on the body and the mind of a young man named Yitzhak Landoberg, would eventually reach the dry hills above the Sea of Galilee.</w:t>
      </w:r>
    </w:p>
    <w:bookmarkEnd w:id="32"/>
    <w:bookmarkStart w:id="42" w:name="lublin"/>
    <w:p>
      <w:pPr>
        <w:pStyle w:val="Heading2"/>
      </w:pPr>
      <w:r>
        <w:t xml:space="preserve">2.2 Lublin</w:t>
      </w:r>
    </w:p>
    <w:p>
      <w:pPr>
        <w:pStyle w:val="FirstParagraph"/>
      </w:pPr>
      <w:r>
        <w:t xml:space="preserve">Yitzhak Landoberg was born in the city of Lublin, in the part of partitioned Poland then ruled by the Russian Empire, on a date in 1890 that he himself, in later years, did not bother to fix precisely.</w:t>
      </w:r>
      <w:r>
        <w:rPr>
          <w:rStyle w:val="EndnoteReference"/>
        </w:rPr>
        <w:endnoteReference w:id="33"/>
      </w:r>
    </w:p>
    <w:p>
      <w:pPr>
        <w:pStyle w:val="BodyText"/>
      </w:pPr>
      <w:r>
        <w:t xml:space="preserve">His father, Mordechai Landoberg, was a maskil — a member of the Jewish enlightenment movement that, in the second half of the nineteenth century, had spread from Vilna and Berlin into the Pale of Settlement and had begun to make a small but visible space within Eastern European Jewish life for secular learning, modern Hebrew, and the cautious questioning of religious orthodoxy. The household configuration that the Landoberg parents constructed for their son sat, in the specific way that late-imperial Russian Jewish households of a particular generation could sit, on a seam — between two of the most consequential currents of nineteenth-century Eastern European Jewish life. The seam was visible at the household’s two most direct points of intellectual contact with the wider world. On one side, Yitzhak Landoberg’s maternal grandfather was Rabbi Shneur Zalman Fradkin, the leader of the large Hasidic community of Lublin and the inheritor of a rabbinic genealogy that placed the boy, by birthright, inside the most prestigious religious institution the city possessed. On the other side, the Landoberg parents — Mordechai the maskil and his wife — chose to engage as the boy’s private tutor Hillel Zeitlin, a Jewish intellectual of considerable later prominence (he would become one of the central religious-philosophical voices of inter-war Polish Jewry before his murder by the Nazis in the Warsaw Ghetto in 1942), whose principal task in the Landoberg household was to introduce the young Yitzhak to Western secular culture alongside his Jewish education.</w:t>
      </w:r>
      <w:r>
        <w:rPr>
          <w:rStyle w:val="EndnoteReference"/>
        </w:rPr>
        <w:endnoteReference w:id="34"/>
      </w:r>
      <w:r>
        <w:t xml:space="preserve"> </w:t>
      </w:r>
      <w:r>
        <w:t xml:space="preserve">The Fradkin–Zeitlin household, in other words, was the kind of household that could produce — and, in Yitzhak Landoberg’s case, did produce — a son whose intellectual coordinates ran simultaneously through Hasidic rabbinic tradition, the late-nineteenth-century Jewish enlightenment, Russian-language secular literature, and the European philosophical conversation. It was the household from which the boy would emerge restless. It was also the household whose junior generation would, in the same period, supply at least one other figure of comparable intellectual ambition: Yitzhak Landoberg’s younger cousin, the boy who would grow up to be the Oxford political philosopher Sir Isaiah Berlin, one of the most influential liberal thinkers of the twentieth century and the historian of the Russian intellectual tradition that his cousin Yitzhak had grown up inside.</w:t>
      </w:r>
      <w:r>
        <w:rPr>
          <w:rStyle w:val="EndnoteReference"/>
        </w:rPr>
        <w:endnoteReference w:id="35"/>
      </w:r>
    </w:p>
    <w:p>
      <w:pPr>
        <w:pStyle w:val="BodyText"/>
      </w:pPr>
      <w:r>
        <w:t xml:space="preserve">What the household worked to cultivate in its children was, beyond the intellectual range, a particular emphasis on physical capability that placed the Landoberg sons within a specific late-nineteenth-century Jewish cultural project. To overcome health problems in Yitzhak’s childhood, his parents encouraged him to engage in physical exercise. The young Landoberg embraced the prescription with an enthusiasm that exceeded its therapeutic intent and that placed him, in cultural terms, inside the Muskeljudentum — the</w:t>
      </w:r>
      <w:r>
        <w:t xml:space="preserve"> </w:t>
      </w:r>
      <w:r>
        <w:t xml:space="preserve">“</w:t>
      </w:r>
      <w:r>
        <w:t xml:space="preserve">Muscular Judaism</w:t>
      </w:r>
      <w:r>
        <w:t xml:space="preserve">”</w:t>
      </w:r>
      <w:r>
        <w:t xml:space="preserve"> </w:t>
      </w:r>
      <w:r>
        <w:t xml:space="preserve">— that Max Nordau had famously called for at the Second Zionist Congress in Basel in 1898 as the antidote to what Nordau described as the physical degeneration of European Jewry. Yitzhak Landoberg spent much of his adolescence in the city’s gymnasia, training in powerlifting, boxing, and wrestling. In contrast to the image of the frail Eastern European Jew that the antisemitic literature of the period had constructed and that Nordau had set out to refute, Sadeh — by his late teens — embodied, in physical terms, the very Jewish-revolutionary masculinity that the Zionist cultural project of his generation was working to construct.</w:t>
      </w:r>
      <w:r>
        <w:rPr>
          <w:rStyle w:val="EndnoteReference"/>
        </w:rPr>
        <w:endnoteReference w:id="36"/>
      </w:r>
    </w:p>
    <w:p>
      <w:pPr>
        <w:pStyle w:val="BodyText"/>
      </w:pPr>
      <w:r>
        <w:t xml:space="preserve">Lublin in the 1890s was a city of more than fifty thousand people, of whom roughly half were Jews. The Jewish quarter, around the Old Synagogue and the streets that ran east from the medieval gate of the city toward the river, was a dense and physically distinctive zone — the kind of urban environment in which a child of Yitzhak Landoberg’s generation, born into a maskilic household but surrounded by the much larger world of traditional religious Jewry, would have encountered, on a daily walk to school, the full social spectrum of late-imperial Polish Jewish life. Hasidim of the great courts of central Poland; merchants who travelled to Warsaw and Berlin; small-time tradesmen; revolutionary socialists who would, within a decade, be carrying clandestine literature across the Russian border; and the small Zionist study circles that were, by the mid-1890s, beginning to organize in Lublin as in every other Polish city of comparable size. Sadeh, in later years, would describe the world of his childhood in his autobiographical writings as one in which the boundaries between these groups were porous and the trajectory of a single young man’s politicization could not be predicted from the household he had been born into.</w:t>
      </w:r>
      <w:r>
        <w:rPr>
          <w:rStyle w:val="EndnoteReference"/>
        </w:rPr>
        <w:endnoteReference w:id="37"/>
      </w:r>
    </w:p>
    <w:p>
      <w:pPr>
        <w:pStyle w:val="BodyText"/>
      </w:pPr>
      <w:r>
        <w:t xml:space="preserve">The Landoberg family was traditional but not strictly observant. Yitzhak attended a heder — the traditional Jewish primary school of the period, in which boys were taught Hebrew and rabbinic literature by a teacher whose competence was usually limited to those subjects — until he was about ten, after which his father, the maskil, transferred him to a Russian-language gymnasium where he could acquire the secular education that his father considered indispensable. The combination — heder Hebrew and Russian gymnasium — was characteristic of the maskilic households of the period and would, in many cases, produce a particular kind of Eastern European Jewish young man: literate in three languages, comfortable moving between three social worlds, restless under the constraints of any one of them.</w:t>
      </w:r>
      <w:r>
        <w:rPr>
          <w:rStyle w:val="EndnoteReference"/>
        </w:rPr>
        <w:endnoteReference w:id="38"/>
      </w:r>
    </w:p>
    <w:p>
      <w:pPr>
        <w:pStyle w:val="BodyText"/>
      </w:pPr>
      <w:r>
        <w:t xml:space="preserve">What is striking about Sadeh’s later autobiographical accounts of his Lublin childhood is how little of it he chose to write about. The autobiographical writings he produced in his fifties — in the late 1940s and early 1950s, after the Palmach years, after the 1948 war, in the period of his quiet sidelining from the IDF — pass quickly over the years before he was twenty. The Lublin pages are short. The boy who grew up in Mordechai Landoberg’s household was, by his own account, a strong physical presence, large for his age, prone to a kind of restless energy that the heder could not absorb and that the gymnasium only partly could. He was also, again by his own account, somewhat solitary — a reader, a wanderer, a young man more comfortable in the back streets of the Jewish quarter and along the river outside the city than in the structured social life of either his father’s maskilic circle or the youth groups of the synagogue.</w:t>
      </w:r>
      <w:r>
        <w:rPr>
          <w:rStyle w:val="EndnoteReference"/>
        </w:rPr>
        <w:endnoteReference w:id="39"/>
      </w:r>
    </w:p>
    <w:p>
      <w:pPr>
        <w:pStyle w:val="BodyText"/>
      </w:pPr>
      <w:r>
        <w:t xml:space="preserve">The serious turn of Yitzhak Landoberg’s life came when he was somewhere between fifteen and seventeen — the autobiographical sources do not allow a precise date — when he began, in the manner of many of his Lublin contemporaries, to drift into the orbit of the revolutionary movement that was, by the early years of the twentieth century, beginning to consume the political energies of a substantial fraction of young Eastern European Jewry. The first form this took, in his case, was the Bund — the General Jewish Labor Bund in Russia, Poland, and Lithuania, the Yiddish-language Jewish socialist party founded in 1897, which by the early 1900s had become one of the most consequential political organizations of Eastern European Jewish life. The young Landoberg attended Bundist meetings, read Bundist literature, and was, for a period of perhaps two years, sufficiently close to the movement that one of his later biographers would identify the Bund as the most important political influence of his late adolescence.</w:t>
      </w:r>
      <w:r>
        <w:rPr>
          <w:rStyle w:val="EndnoteReference"/>
        </w:rPr>
        <w:endnoteReference w:id="40"/>
      </w:r>
    </w:p>
    <w:p>
      <w:pPr>
        <w:pStyle w:val="BodyText"/>
      </w:pPr>
      <w:r>
        <w:t xml:space="preserve">What pulled him away from the Bund was the same thing that pulled many of his contemporaries away — the failure of the 1905 revolution and the subsequent intensification of anti-Jewish violence across the Russian Empire. The pogroms of 1905 and 1906, the most lethal wave of anti-Jewish violence the Russian Empire had yet seen, made the Bund’s vision of an autonomous Yiddish-speaking Jewish socialist community within the Russian framework seem, to a growing number of Jewish young people, untenable. Two competing answers emerged. The Zionist answer pointed east, toward Palestine. The revolutionary answer pointed at the Russian state itself. Yitzhak Landoberg, in the years between 1906 and the outbreak of the First World War in 1914, oscillated between the two. He read the early Hebrew Zionist literature — Ahad Ha’Am, Y. H. Brenner, the Galician Zionists — and he read the revolutionary literature of the Russian Social Democratic movement. He never resolved the tension. He carried both languages, both literatures, both political instincts, with him into his service in the Russian army during the First World War and into the chaos that followed.</w:t>
      </w:r>
      <w:r>
        <w:rPr>
          <w:rStyle w:val="EndnoteReference"/>
        </w:rPr>
        <w:endnoteReference w:id="41"/>
      </w:r>
    </w:p>
    <w:bookmarkEnd w:id="42"/>
    <w:bookmarkStart w:id="49" w:name="Xf9c483bbd078ce29185ac81b7118cb739a8baf4"/>
    <w:p>
      <w:pPr>
        <w:pStyle w:val="Heading2"/>
      </w:pPr>
      <w:r>
        <w:t xml:space="preserve">2.3 Tsarist Years and the Revolutionary Underground</w:t>
      </w:r>
    </w:p>
    <w:p>
      <w:pPr>
        <w:pStyle w:val="FirstParagraph"/>
      </w:pPr>
      <w:r>
        <w:t xml:space="preserve">Sometime in 1909 or 1910 — the autobiographical record is again imprecise — Yitzhak Landoberg left Lublin. The departure was abrupt enough, in his telling, that it appears to have been precipitated by an incident rather than by a planned move. He did not return to his father’s household. He moved through several cities — Warsaw, then Lodz, then, briefly, Odessa — supporting himself with manual work and continuing to maintain contact with the revolutionary networks he had become attached to in his late adolescence.</w:t>
      </w:r>
      <w:r>
        <w:rPr>
          <w:rStyle w:val="EndnoteReference"/>
        </w:rPr>
        <w:endnoteReference w:id="43"/>
      </w:r>
    </w:p>
    <w:p>
      <w:pPr>
        <w:pStyle w:val="BodyText"/>
      </w:pPr>
      <w:r>
        <w:t xml:space="preserve">The years 1909–1914 are, in Sadeh’s own retrospective account, the years in which he became what he was. They are also the years that the historian who tries to reconstruct his life finds the hardest to verify. The networks Landoberg moved in were clandestine. The records they produced, where they produced records at all, were destroyed during the revolutions of 1917 and the civil war that followed. What is preserved of those years is preserved in Sadeh’s own writing — in his pseudonymous publications in Maarachot during the Second World War, in the autobiographical Notebook Is Open that he published in 1951, and in the extended posthumous biography that Zvika Dror compiled in the 1990s from interviews and from Sadeh’s own personal papers.</w:t>
      </w:r>
      <w:r>
        <w:rPr>
          <w:rStyle w:val="EndnoteReference"/>
        </w:rPr>
        <w:endnoteReference w:id="44"/>
      </w:r>
    </w:p>
    <w:p>
      <w:pPr>
        <w:pStyle w:val="BodyText"/>
      </w:pPr>
      <w:r>
        <w:t xml:space="preserve">The most provocative element in Sadeh’s account of those years is the description of his participation in an act of revolutionary violence — what he himself, in his autobiographical writing, did not hesitate to call an assassination. The episode, as Sadeh tells it, took place in a city in the western Russian Empire — he does not specify which, and the precise location remains disputed by his biographers — in the period between the failed revolution of 1905 and the outbreak of the First World War. The target was an official of the Tsarist apparatus whose conduct toward the Jewish community of his district had, in the judgment of the revolutionary cell to which the young Landoberg belonged, exceeded the bounds even of the systematic anti-Jewish hostility of the late-imperial Russian administration. Landoberg was not, by his own account, the principal actor in the operation. He was the youngest of the cell, the local strongman of the group — large, fast, and not yet known to the Tsarist police — who had been assigned the role of physically delivering the act when the moment came. He carried it out. The operation, in his telling, was successful in the sense that the target died and the cell escaped. It was unsuccessful in the sense that the political consequence for which the cell had hoped — a wider Jewish uprising — did not follow.</w:t>
      </w:r>
      <w:r>
        <w:rPr>
          <w:rStyle w:val="EndnoteReference"/>
        </w:rPr>
        <w:endnoteReference w:id="45"/>
      </w:r>
    </w:p>
    <w:p>
      <w:pPr>
        <w:pStyle w:val="BodyText"/>
      </w:pPr>
      <w:r>
        <w:t xml:space="preserve">The episode is the foundation of the description, in the introduction to this book, of Sadeh as a former Tsarist-era assassin. The description is Sadeh’s own. He used it of himself. He used it without apology and without theatrical embellishment — as a fact about the trajectory that had carried him, before he was twenty-five, into the Russian army and, eventually, into the Red Army of the early Soviet state. To the readers of his later writings — both the wartime Maarachot essays and the postwar autobiographical volumes — Sadeh’s revolutionary years were not a secret to be confessed but a foundation to be acknowledged. The boy from Lublin who had become, by 1948, the commander of the southern front of the new Israeli army had begun, four decades earlier, in the most radicalized fringe of Eastern European Jewish revolutionary politics. He never claimed to have come from elsewhere.</w:t>
      </w:r>
      <w:r>
        <w:rPr>
          <w:rStyle w:val="EndnoteReference"/>
        </w:rPr>
        <w:endnoteReference w:id="46"/>
      </w:r>
    </w:p>
    <w:p>
      <w:pPr>
        <w:pStyle w:val="BodyText"/>
      </w:pPr>
      <w:r>
        <w:t xml:space="preserve">What followed the 1909–1914 period in Sadeh’s life was the same thing that followed it in the lives of millions of young men across the Russian Empire — the First World War. In August 1914, when Russia entered the war against the Central Powers, the conscription apparatus of the Tsarist state began to move. By the autumn of 1915, Yitzhak Landoberg, then twenty-five years old, was in uniform. He had been called up, against his political instincts, by a state he had spent the previous half-decade trying to undermine. He went. He served. And he discovered, in the trenches of the Eastern Front, that he was good at the work.</w:t>
      </w:r>
      <w:r>
        <w:rPr>
          <w:rStyle w:val="EndnoteReference"/>
        </w:rPr>
        <w:endnoteReference w:id="47"/>
      </w:r>
    </w:p>
    <w:p>
      <w:pPr>
        <w:pStyle w:val="BodyText"/>
      </w:pPr>
      <w:r>
        <w:t xml:space="preserve">What is preserved of his Russian Army service comes principally from a single contemporary biographical source: Uri Avnery’s obituary essay in HaOlam HaZeh’s memorial issue of 28 August 1952, written within a week of Sadeh’s death on the basis of conversations Avnery had conducted with Sadeh in the years between 1949 and 1952. Avnery records that Landoberg was wounded by artillery fire on the Eastern Front, sustained serious shell shock, and recovered well enough to be promoted to sergeant — a rare promotion for a Jew in the Tsarist army. He was decorated with the Cross of Saint George, the highest enlisted decoration the imperial army could award, also a rare distinction for a Jewish soldier. After his recovery from the wound, he was reassigned, on temporary medical-limited-duty status, to police service in the imperial capital, then called Petrograd, where he served as a police officer through the months that led up to the February Revolution. The Petrograd posting placed him, by accident of the medical reassignment, in the city where the Tsarist regime would collapse. He watched the collapse happen from the precinct house.</w:t>
      </w:r>
      <w:r>
        <w:rPr>
          <w:rStyle w:val="EndnoteReference"/>
        </w:rPr>
        <w:endnoteReference w:id="48"/>
      </w:r>
    </w:p>
    <w:bookmarkEnd w:id="49"/>
    <w:bookmarkStart w:id="57" w:name="the-red-army"/>
    <w:p>
      <w:pPr>
        <w:pStyle w:val="Heading2"/>
      </w:pPr>
      <w:r>
        <w:t xml:space="preserve">2.4 The Red Army</w:t>
      </w:r>
    </w:p>
    <w:p>
      <w:pPr>
        <w:pStyle w:val="FirstParagraph"/>
      </w:pPr>
      <w:r>
        <w:t xml:space="preserve">What turned a Polish-Jewish revolutionary infantryman in the Russian army of 1916 into a Red Army officer of 1919 was the same convulsion that turned much of the Russian military world upside down between February 1917 and the consolidation of Bolshevik power three years later. Yitzhak Landoberg’s path through the Russian Revolution and the subsequent civil war is reconstructable, in outline, from two sources: his own pseudonymous account of the period, which he published in 1942 in Maarachot under the name Valerian Kazinski, and the longer biographical narrative that Zvika Dror compiled in the 1990s from Sadeh’s papers and from the recollections of the men who served alongside him in those years.</w:t>
      </w:r>
      <w:r>
        <w:rPr>
          <w:rStyle w:val="EndnoteReference"/>
        </w:rPr>
        <w:endnoteReference w:id="50"/>
      </w:r>
    </w:p>
    <w:p>
      <w:pPr>
        <w:pStyle w:val="BodyText"/>
      </w:pPr>
      <w:r>
        <w:t xml:space="preserve">In the February revolution of 1917, Landoberg’s regiment, like most regiments of the Russian army on the Eastern Front, dissolved into political turmoil. The soldiers’ councils — the soviets of the front — took authority away from the imperial officer corps and held it themselves. Landoberg, who had been in uniform for a year and a half and who came to the soviets with the political vocabulary of the Bund and the Russian Social Democratic Party already in his bones, was an obvious candidate for the new role the soviets were creating. He was elected, by the men of his unit, to the regimental soldiers’ committee. By the summer of 1917, he was one of its leading members. By October — the month of the Bolshevik seizure of power — he had made the political choice that would define the next three years of his life. He sided with the Bolsheviks.</w:t>
      </w:r>
      <w:r>
        <w:rPr>
          <w:rStyle w:val="EndnoteReference"/>
        </w:rPr>
        <w:endnoteReference w:id="51"/>
      </w:r>
    </w:p>
    <w:p>
      <w:pPr>
        <w:pStyle w:val="BodyText"/>
      </w:pPr>
      <w:r>
        <w:t xml:space="preserve">The choice was not, in the autobiographical retrospect of his later years, a particularly difficult one. The Bund, his political home for a decade, had hesitated in 1917 between the Mensheviks and the Bolsheviks; the most radical of the Bundists had eventually gone over to the new Communist Party. Landoberg followed them. By the spring of 1918, when the Bolshevik government had concluded its peace with Germany at Brest-Litovsk and begun to mobilize the new Red Army for the civil war that was about to consume the former Russian Empire, Yitzhak Landoberg was a Red Army officer with a regimental command.</w:t>
      </w:r>
      <w:r>
        <w:rPr>
          <w:rStyle w:val="EndnoteReference"/>
        </w:rPr>
        <w:endnoteReference w:id="52"/>
      </w:r>
    </w:p>
    <w:p>
      <w:pPr>
        <w:pStyle w:val="BodyText"/>
      </w:pPr>
      <w:r>
        <w:t xml:space="preserve">The Red Army of 1918–1920 was unlike any military organization Landoberg had previously served in. It was being built, under enormous pressure of war, from a combination of three personnel streams: the radicalized soldiers of the former imperial army, who supplied most of the rank and file; the political commissars of the Communist Party, who supplied the ideological direction; and a thin layer of former imperial officers, who had been pressed into Red Army service — often under threat to their families — to supply the technical military expertise the Bolsheviks lacked. Landoberg, with his combination of front-line experience from the world war, political reliability from his pre-1917 underground activity, and instinctive comfort in clandestine operations, was perfectly suited to the role of company and then battalion commander on the wild fronts of the civil war.</w:t>
      </w:r>
      <w:r>
        <w:rPr>
          <w:rStyle w:val="EndnoteReference"/>
        </w:rPr>
        <w:endnoteReference w:id="53"/>
      </w:r>
    </w:p>
    <w:p>
      <w:pPr>
        <w:pStyle w:val="BodyText"/>
      </w:pPr>
      <w:r>
        <w:t xml:space="preserve">What he did, between the autumn of 1918 and the summer of 1920, he described, three decades later, in the pseudonymous Maarachot essay that he titled</w:t>
      </w:r>
      <w:r>
        <w:t xml:space="preserve"> </w:t>
      </w:r>
      <w:r>
        <w:t xml:space="preserve">“</w:t>
      </w:r>
      <w:r>
        <w:t xml:space="preserve">Memories of a Partisan in Russia, Paskov 1918.</w:t>
      </w:r>
      <w:r>
        <w:t xml:space="preserve">”</w:t>
      </w:r>
      <w:r>
        <w:t xml:space="preserve"> </w:t>
      </w:r>
      <w:r>
        <w:t xml:space="preserve">The essay is short and operationally specific. It describes the conditions of partisan warfare on the southwestern front of the Russian Civil War — the war against the German-installed government in Ukraine, the war against the White armies of the southern theatre, and the constant low-intensity war against bandit groups that operated in the disintegrating spaces between the major fronts. It describes the tactics that Landoberg’s unit had developed: night ambush, deep reconnaissance, the use of local guides, the destruction of supply lines well behind the enemy’s main forces. It describes what Landoberg, twenty-four years later, considered the defining tactical lessons of the period — lessons that would, in his quiet revision of the Yishuv’s military doctrine in the late 1930s, reappear under different names and against different adversaries.</w:t>
      </w:r>
      <w:r>
        <w:rPr>
          <w:rStyle w:val="EndnoteReference"/>
        </w:rPr>
        <w:endnoteReference w:id="54"/>
      </w:r>
    </w:p>
    <w:p>
      <w:pPr>
        <w:pStyle w:val="BodyText"/>
      </w:pPr>
      <w:r>
        <w:t xml:space="preserve">The 1942 Maarachot essay is a remarkable document. It was published in the middle of the Second World War, when Sadeh was the founding commander of the Palmach and when the Palmach was, in his hands, being shaped by the same tactical principles he had absorbed in the Russian Civil War a generation earlier. The essay does not say this. It does not need to. The reader of Maarachot in 1942 — the IDF predecessor journal that circulated among the officer corps of the Haganah and the British army units in Palestine — was being offered, by an anonymous commander writing under a Russian pseudonym, a doctrinal primer for irregular operations in the form of a memoir. It is a fair guess, though one Sadeh never confirmed, that the pseudonym was meant to disguise the author from the British military censor rather than from the Hebrew-reading audience of the journal. The men of the Haganah and the Palmach who read the essay knew, without needing to be told, who Valerian Kazinski was.</w:t>
      </w:r>
      <w:r>
        <w:rPr>
          <w:rStyle w:val="EndnoteReference"/>
        </w:rPr>
        <w:endnoteReference w:id="55"/>
      </w:r>
    </w:p>
    <w:p>
      <w:pPr>
        <w:pStyle w:val="BodyText"/>
      </w:pPr>
      <w:r>
        <w:t xml:space="preserve">By the second half of 1919, the southwestern front of the Russian Civil War had begun to come apart. Red lines, White lines, and the lines of half a dozen national, regional, and bandit forces had crossed and recrossed across the Ukrainian, Crimean, and southern Russian steppe so many times that, in many districts, no one knew on a given morning which authority claimed the ground. Yitzhak Landoberg, who had served the Bolsheviks for two years and who would later say only that he had begun, in the late summer of 1919, to see in the conduct of the Red Army’s political commissars something that did not match the revolution he had given a decade of his life to, made — at some point in the autumn of 1919, and for reasons that he never fully explained in writing — the decision to leave. He defected. He crossed out of Soviet-held territory and into the territory then under the chaotic control of the White armies of the south. There, in a Crimean refugee camp, by the operations of a small chain of coincidences, he found the man whose death, six months later, would draw him to Palestine.</w:t>
      </w:r>
      <w:r>
        <w:rPr>
          <w:rStyle w:val="EndnoteReference"/>
        </w:rPr>
        <w:endnoteReference w:id="56"/>
      </w:r>
    </w:p>
    <w:bookmarkEnd w:id="57"/>
    <w:bookmarkStart w:id="66" w:name="crimea"/>
    <w:p>
      <w:pPr>
        <w:pStyle w:val="Heading2"/>
      </w:pPr>
      <w:r>
        <w:t xml:space="preserve">2.5 Crimea</w:t>
      </w:r>
    </w:p>
    <w:p>
      <w:pPr>
        <w:pStyle w:val="FirstParagraph"/>
      </w:pPr>
      <w:r>
        <w:t xml:space="preserve">Joseph Trumpeldor — Yosef Trumpeldor — was, in the autumn of 1919, the most famous Jewish soldier alive. He had served the Russian army in the Russo-Japanese war of 1904–1905, losing his left arm at the siege of Port Arthur and being decorated, while still in his twenties, with the four classes of the Cross of Saint George, the highest enlisted decoration the Tsarist army could give. He had spent two years in the Japanese prisoner-of-war camp at Hamadera, where, in the company of other Russian Jewish prisoners, he had organized the first Hebrew-speaking, agriculture-studying, self-defense-training Zionist circle in modern Jewish history. He had emigrated to Palestine in 1912, served in the British Zion Mule Corps at Gallipoli in 1915, and, by the time of the Russian revolutions of 1917, was already an internationally recognized figure in the Zionist movement. By the spring of 1919 he had returned to Russia to organize the Hechalutz (Pioneer) movement, whose central operational task was to train and dispatch young Russian Jews to Palestine to clear and settle the land.</w:t>
      </w:r>
      <w:r>
        <w:rPr>
          <w:rStyle w:val="EndnoteReference"/>
        </w:rPr>
        <w:endnoteReference w:id="58"/>
      </w:r>
    </w:p>
    <w:p>
      <w:pPr>
        <w:pStyle w:val="BodyText"/>
      </w:pPr>
      <w:r>
        <w:t xml:space="preserve">Trumpeldor’s principal training base in 1919 was at the Sevastopol end of the Crimean peninsula, in a small agricultural settlement where the Russian-Jewish Hechalutz youth were given instruction in farming, in Hebrew, and — Trumpeldor’s particular insistence — in self-defense. The base in Crimea was the first place in modern Jewish history at which a coherent program of paramilitary training had been organized for a population of Jewish civilians on their way to a Jewish military future. The men who passed through it would, over the course of the next decade, supply a disproportionate share of the early Haganah’s officer corps.</w:t>
      </w:r>
      <w:r>
        <w:rPr>
          <w:rStyle w:val="EndnoteReference"/>
        </w:rPr>
        <w:endnoteReference w:id="59"/>
      </w:r>
    </w:p>
    <w:p>
      <w:pPr>
        <w:pStyle w:val="BodyText"/>
      </w:pPr>
      <w:r>
        <w:t xml:space="preserve">Landoberg arrived at the Crimean base with a small set of personal antecedents that Avnery’s 1952 obituary identifies, briefly, as the operational context for what would, in the kitchen at the Crimean base across the winter that followed, become the most consequential personal encounter of his life. He had been, in the months between his recovery from the front-line wound and his arrival at the Crimean Hechalutz base, employed for a period as a sports instructor with the Maccabi movement — the European-Jewish gymnastic and athletic federation that, by the late 1910s, had become one of the principal physical-culture institutions of the Eastern European Jewish revolutionary generation. The Maccabi posting had fallen to him, by Avnery’s account, by accident rather than by political affiliation. Sadeh, in the years before his encounter with Trumpeldor, was not a Zionist. The Maccabi work was paid; the work was physical; the work suited him. What it gave him, in retrospect, was the institutional intersection with the Jewish national project that would, when Trumpeldor crossed his path, place him close enough to the cultural and personal world of pre-state Zionism for the encounter to take.</w:t>
      </w:r>
      <w:r>
        <w:rPr>
          <w:rStyle w:val="EndnoteReference"/>
        </w:rPr>
        <w:endnoteReference w:id="60"/>
      </w:r>
    </w:p>
    <w:p>
      <w:pPr>
        <w:pStyle w:val="BodyText"/>
      </w:pPr>
      <w:r>
        <w:t xml:space="preserve">Yitzhak Landoberg arrived at the Crimean Hechalutz base, by his own account, in October or November of 1919, in the condition of a man who had crossed several hundred kilometers of contested ground on foot and on the backs of farm carts and who needed, more than anything else, a place to stop. He did not arrive as a Zionist. He arrived as a refugee from his own revolution. What he found at the Hechalutz base was, he would later write, the first place in his adult life at which he encountered a community whose members had read the same books he had read, had argued the same arguments he had argued, and had concluded — on grounds that overlapped with his but extended past them — that the future of the Jewish people lay east, in Palestine, rather than west, in a Russia whose revolutionary promise had begun, by 1919, to look to him like a betrayal in the making.</w:t>
      </w:r>
      <w:r>
        <w:rPr>
          <w:rStyle w:val="EndnoteReference"/>
        </w:rPr>
        <w:endnoteReference w:id="61"/>
      </w:r>
    </w:p>
    <w:p>
      <w:pPr>
        <w:pStyle w:val="BodyText"/>
      </w:pPr>
      <w:r>
        <w:t xml:space="preserve">He stayed for three months. Trumpeldor was, at the time of Landoberg’s arrival, in his late thirties, fifteen years older than Landoberg, and visibly the most charismatic figure in any room he entered. The two men talked, drank, and read together in the kitchen of the Crimean base through the winter of 1919–1920. In the standard account of the relationship — repeated in Dror’s biography, in Sadeh’s own posthumous notes, and in the memoirs of several of the Hechalutz pioneers who were also at the base that winter — Trumpeldor recognized, in the larger, younger, more politically experienced man across his kitchen table, the figure he had been looking for: someone with hard military experience, with revolutionary commitment, with the physical presence to lead other men, and with the cultural literacy in both Russian and Hebrew sources that the next decade of Jewish military work in Palestine would require. Trumpeldor proposed that Landoberg follow him to Palestine and continue the work there.</w:t>
      </w:r>
      <w:r>
        <w:rPr>
          <w:rStyle w:val="EndnoteReference"/>
        </w:rPr>
        <w:endnoteReference w:id="62"/>
      </w:r>
    </w:p>
    <w:p>
      <w:pPr>
        <w:pStyle w:val="BodyText"/>
      </w:pPr>
      <w:r>
        <w:t xml:space="preserve">Trumpeldor left Crimea for Palestine in January 1920. He had been called north by the Yishuv’s leadership to organize the defense of the small Jewish settlements in the upper Galilee, where the postwar collapse of Ottoman authority and the slow arrival of the French and British mandate boundaries had left a vacuum that local Arab forces, including the irregulars of Faisal’s Damascus-based Arab nationalist movement, were beginning to fill with raids on the Jewish settlements. The new line of the British mandate, which had not yet been fixed, ran somewhere through the upper Galilee, and the Jewish settlements just south of it — Metulla, Hamara, Kfar Giladi, Tel-Hai — were exposed.</w:t>
      </w:r>
      <w:r>
        <w:rPr>
          <w:rStyle w:val="EndnoteReference"/>
        </w:rPr>
        <w:endnoteReference w:id="63"/>
      </w:r>
    </w:p>
    <w:p>
      <w:pPr>
        <w:pStyle w:val="BodyText"/>
      </w:pPr>
      <w:r>
        <w:t xml:space="preserve">On the first of March 1920, at a small settlement called Tel-Hai, in the high country north of the Sea of Galilee, Trumpeldor was killed in a firefight with an Arab raiding party that had come to seize what supplies and weapons the Jewish defenders held. His last words — tov la-mut be’ad artzenu,</w:t>
      </w:r>
      <w:r>
        <w:t xml:space="preserve"> </w:t>
      </w:r>
      <w:r>
        <w:t xml:space="preserve">“</w:t>
      </w:r>
      <w:r>
        <w:t xml:space="preserve">it is good to die for our country</w:t>
      </w:r>
      <w:r>
        <w:t xml:space="preserve">”</w:t>
      </w:r>
      <w:r>
        <w:t xml:space="preserve"> </w:t>
      </w:r>
      <w:r>
        <w:t xml:space="preserve">— would, within a few years, be elevated into the foundational myth of the Yishuv’s defensive ethos. Three other Jewish defenders died with him. Five more were wounded. The Arab raiding party withdrew. The settlement was evacuated.</w:t>
      </w:r>
      <w:r>
        <w:rPr>
          <w:rStyle w:val="EndnoteReference"/>
        </w:rPr>
        <w:endnoteReference w:id="64"/>
      </w:r>
    </w:p>
    <w:p>
      <w:pPr>
        <w:pStyle w:val="BodyText"/>
      </w:pPr>
      <w:r>
        <w:t xml:space="preserve">News of Trumpeldor’s death reached the Crimean Hechalutz base within ten days. Yitzhak Landoberg was, by the accounts of the men with him at the base that morning, the most physically affected of those present — not in the visible theatrical sense, since the autobiographical record consistently describes him as restrained in moments of crisis, but in the sense of someone who immediately, on hearing the news, began to plan the next phase of his own movement east. He had been, in his own retrospective account, undecided through the winter about whether to follow Trumpeldor. The death made the decision for him. By the spring of 1920, he was on the train south to Odessa, and by the late summer — after a sea passage that included a brief detention by the British military authorities in Constantinople, an episode he never agreed to discuss in detail — he was in the port of Jaffa, on the coast of Palestine, with a Russian-army great-coat, the four Hebrew books that Trumpeldor had given him at the Crimean base, and no money.</w:t>
      </w:r>
      <w:r>
        <w:rPr>
          <w:rStyle w:val="EndnoteReference"/>
        </w:rPr>
        <w:endnoteReference w:id="65"/>
      </w:r>
    </w:p>
    <w:bookmarkEnd w:id="66"/>
    <w:bookmarkStart w:id="72" w:name="arrival"/>
    <w:p>
      <w:pPr>
        <w:pStyle w:val="Heading2"/>
      </w:pPr>
      <w:r>
        <w:t xml:space="preserve">2.6 Arrival</w:t>
      </w:r>
    </w:p>
    <w:p>
      <w:pPr>
        <w:pStyle w:val="FirstParagraph"/>
      </w:pPr>
      <w:r>
        <w:t xml:space="preserve">The Palestine that Yitzhak Landoberg walked into in the late summer of 1920 was a country of fewer than seven hundred thousand inhabitants, of whom roughly ninety thousand were Jews. The British military administration had been in formal control since the end of the Ottoman period three years earlier, and was in the final months before its replacement, in July 1920, by the civilian Mandate administration under Sir Herbert Samuel — the first Jewish governor of Palestine in two thousand years, and the man whose appointment was meant to signal British support for the Balfour Declaration’s promise of a Jewish national home.</w:t>
      </w:r>
      <w:r>
        <w:rPr>
          <w:rStyle w:val="EndnoteReference"/>
        </w:rPr>
        <w:endnoteReference w:id="67"/>
      </w:r>
    </w:p>
    <w:p>
      <w:pPr>
        <w:pStyle w:val="BodyText"/>
      </w:pPr>
      <w:r>
        <w:t xml:space="preserve">The Jewish community of Palestine in 1920 was an institutionally young and politically divided one. The First Aliyah — the founding settlement wave of the late nineteenth century — had been overtaken, demographically and politically, by the Second Aliyah of 1904–1914, whose members had brought with them the socialist, communal, and labor-Zionist political culture of late-imperial Eastern European Jewry. The Third Aliyah, of which Landoberg was a member, was just beginning to arrive in the wake of the Russian revolutions and the postwar collapse. It would bring, by 1923, roughly thirty-five thousand young, ideologically committed, mostly socialist Jewish immigrants, of whom an unusually high proportion had military or paramilitary experience from the Russian Civil War.</w:t>
      </w:r>
      <w:r>
        <w:rPr>
          <w:rStyle w:val="EndnoteReference"/>
        </w:rPr>
        <w:endnoteReference w:id="68"/>
      </w:r>
    </w:p>
    <w:p>
      <w:pPr>
        <w:pStyle w:val="BodyText"/>
      </w:pPr>
      <w:r>
        <w:t xml:space="preserve">Landoberg arrived in Tel Aviv in the early autumn of 1920 with letters of introduction from the Crimean Hechalutz base to the founders of two of the new Yishuv’s most important institutions. The first was Pinhas Rutenberg — the Russian-Jewish revolutionary, engineer, and businessman who was, in 1920, in the process of negotiating the concessions for the electrification of Palestine that would eventually become the Palestine Electric Company. The second was Berl Katznelson, the Polish-born Labor Zionist intellectual whose newspaper Davar, founded five years later, would become the organ of the Yishuv’s organized labor movement and whose personal network of relationships would, more than any other single factor, shape the senior leadership of the Yishuv through the next two decades.</w:t>
      </w:r>
      <w:r>
        <w:rPr>
          <w:rStyle w:val="EndnoteReference"/>
        </w:rPr>
        <w:endnoteReference w:id="69"/>
      </w:r>
    </w:p>
    <w:p>
      <w:pPr>
        <w:pStyle w:val="BodyText"/>
      </w:pPr>
      <w:r>
        <w:t xml:space="preserve">Landoberg presented himself to both men in the first weeks after his arrival. The encounter with Rutenberg, by Landoberg’s own account, was practical: he needed work, he was offered work, and he took it. The encounter with Katznelson was the more consequential. Berl Katznelson, then thirty-three years old, was at the height of his organizational and rhetorical powers, and was — in the small social world of the Yishuv’s labor-Zionist leadership — the closest thing the Russian-Jewish wave of immigrants had to a public intellectual capable of placing newcomers into the institutional roles their abilities suggested. Katznelson read Landoberg’s letters from the Crimean Hechalutz base, asked him about his Red Army service in a manner that the young defector found unusually well-informed, and within a week had introduced him to the small founding circle of what would, a few months later, become the Gdud Ha-Avoda — the Joseph Trumpeldor Labor and Defense Battalion.</w:t>
      </w:r>
      <w:r>
        <w:rPr>
          <w:rStyle w:val="EndnoteReference"/>
        </w:rPr>
        <w:endnoteReference w:id="70"/>
      </w:r>
    </w:p>
    <w:p>
      <w:pPr>
        <w:pStyle w:val="BodyText"/>
      </w:pPr>
      <w:r>
        <w:t xml:space="preserve">It was at this point — in the autumn of 1920, in the streets of the small Jewish quarters of Tel Aviv and Jaffa, in his encounters with Katznelson and with the founders of the labor movement and with the first labor companies of the Gdud Ha-Avoda that were preparing to head north — that Yitzhak Landoberg ceased, in the records of the Yishuv, to be Yitzhak Landoberg. He began to be called, by the Hebrew name that he would carry for the rest of his life and that would become the institutional name of the Old Man of the Palmach, Yitzhak Sadeh. The new surname — Sadeh, the Hebrew word for</w:t>
      </w:r>
      <w:r>
        <w:t xml:space="preserve"> </w:t>
      </w:r>
      <w:r>
        <w:t xml:space="preserve">“</w:t>
      </w:r>
      <w:r>
        <w:t xml:space="preserve">field</w:t>
      </w:r>
      <w:r>
        <w:t xml:space="preserve">”</w:t>
      </w:r>
      <w:r>
        <w:t xml:space="preserve"> </w:t>
      </w:r>
      <w:r>
        <w:t xml:space="preserve">— was, in the standard interpretation of the renaming, a reference both to his future work in the agricultural settlement projects of the labor battalion and to the operational territory in which his eventual military career would unfold. [VERIFY — Ami: the standard account that Sadeh chose the name himself in the autumn of 1920 should be checked against Dror 1996 and any earlier biographical accounts.]</w:t>
      </w:r>
      <w:r>
        <w:rPr>
          <w:rStyle w:val="EndnoteReference"/>
        </w:rPr>
        <w:endnoteReference w:id="71"/>
      </w:r>
    </w:p>
    <w:bookmarkEnd w:id="72"/>
    <w:bookmarkStart w:id="79" w:name="the-bohemian-stonecutter"/>
    <w:p>
      <w:pPr>
        <w:pStyle w:val="Heading2"/>
      </w:pPr>
      <w:r>
        <w:t xml:space="preserve">2.7 The Bohemian Stonecutter</w:t>
      </w:r>
    </w:p>
    <w:p>
      <w:pPr>
        <w:pStyle w:val="FirstParagraph"/>
      </w:pPr>
      <w:r>
        <w:t xml:space="preserve">The Joseph Trumpeldor Labor and Defense Battalion — the Gdud Ha-Avoda — was founded in August 1920 at a meeting in the upper Galilee at which a small group of Third Aliyah immigrants, most of them recently arrived from Hechalutz training in Russia and Poland, committed themselves to the principle that the work of building the Yishuv would be organized through a single unified labor-and-defense organization. The Gdud was conceived, in the language of its founders, as a</w:t>
      </w:r>
      <w:r>
        <w:t xml:space="preserve"> </w:t>
      </w:r>
      <w:r>
        <w:t xml:space="preserve">“</w:t>
      </w:r>
      <w:r>
        <w:t xml:space="preserve">general commune of the workers of Palestine</w:t>
      </w:r>
      <w:r>
        <w:t xml:space="preserve">”</w:t>
      </w:r>
      <w:r>
        <w:t xml:space="preserve">: a single, country-wide organization that would supply labor to the construction projects the British administration was beginning to commission, that would run its own agricultural settlements as collectives, and that would maintain, within its ranks, the trained nucleus of a Jewish defensive force whose principal training would happen on the building sites and in the fields rather than in the formal military academies that the Yishuv did not have.</w:t>
      </w:r>
      <w:r>
        <w:rPr>
          <w:rStyle w:val="EndnoteReference"/>
        </w:rPr>
        <w:endnoteReference w:id="73"/>
      </w:r>
    </w:p>
    <w:p>
      <w:pPr>
        <w:pStyle w:val="BodyText"/>
      </w:pPr>
      <w:r>
        <w:t xml:space="preserve">Sadeh joined the Gdud in its first months and was assigned, with most of the new arrivals, to the largest of the British construction projects then under way — the building of the road from Tiberias to Tabgha along the western shore of the Sea of Galilee. The Gdud’s labor companies broke and laid the stone for the road; the British paid the wages to the Gdud’s central treasury; the central treasury distributed the wages to the companies; the companies, in turn, supplied a portion of the income to support the Gdud’s agricultural settlements and a portion to support the Gdud’s defensive nucleus. It was, in the early 1920s, the most coherent example of the labor-Zionist principle of avoda atzmit — Jewish-only labor — in practice anywhere in Palestine.</w:t>
      </w:r>
      <w:r>
        <w:rPr>
          <w:rStyle w:val="EndnoteReference"/>
        </w:rPr>
        <w:endnoteReference w:id="74"/>
      </w:r>
    </w:p>
    <w:p>
      <w:pPr>
        <w:pStyle w:val="BodyText"/>
      </w:pPr>
      <w:r>
        <w:t xml:space="preserve">Sadeh worked, through the seasons of 1921, 1922, and 1923, as a stonecutter. He was thirty-one years old when he started, large and strong, and the work suited him in a way that more sedentary employment would not have. He developed, in those three years, a reputation that would follow him through the rest of his life — the bohemian-warrior reputation, the combination of physical hardness and literary cultivation that no other senior figure in the Yishuv’s military world matched and that, in the eyes of the young men who would, in the late 1930s, follow him into the FOSH and the Palmach, made him a recognizably different kind of leader from the men around him.</w:t>
      </w:r>
      <w:r>
        <w:rPr>
          <w:rStyle w:val="EndnoteReference"/>
        </w:rPr>
        <w:endnoteReference w:id="75"/>
      </w:r>
    </w:p>
    <w:p>
      <w:pPr>
        <w:pStyle w:val="BodyText"/>
      </w:pPr>
      <w:r>
        <w:t xml:space="preserve">The literary and bohemian side of Sadeh’s life through the 1920s was inseparable from the labor side. His closest friend in his first year in Palestine was the Hebrew novelist Yosef Haim Brenner — the most important Hebrew literary voice of the Second Aliyah generation, and the figure under whose pen the Yishuv’s emerging political identity was, in the years before his murder, being given its most uncompromising literary expression. Brenner and Sadeh met in Jaffa in the autumn of 1920. They lived for several months in the same modest housing complex. They walked the orange groves outside the city together in the evenings. They read each other’s drafts — Brenner’s novels-in-progress, Sadeh’s first essays in Hebrew, his early poems. On the second of May 1921, during the anti-Jewish riots that swept Jaffa as part of the wider wave of violence that had erupted across Palestine that spring, Brenner was murdered by an Arab mob in the modest farmhouse outside Jaffa where he had been living. Sadeh, in Galilee at the time on Gdud Ha-Avoda business, did not learn of his friend’s death until two days later. He never publicly wrote about Brenner at length again. The friendship marked him.</w:t>
      </w:r>
      <w:r>
        <w:rPr>
          <w:rStyle w:val="EndnoteReference"/>
        </w:rPr>
        <w:endnoteReference w:id="76"/>
      </w:r>
    </w:p>
    <w:p>
      <w:pPr>
        <w:pStyle w:val="BodyText"/>
      </w:pPr>
      <w:r>
        <w:t xml:space="preserve">Through the rest of the 1920s, Sadeh continued the bohemian pattern that the Brenner relationship had inaugurated — labor by day, reading and writing by night, deepening friendships with the small circle of Hebrew writers, poets, and theater people who lived between Tel Aviv and the kibbutzim of the Jezreel Valley. He wrote. [TK — Ami to insert: the specific Hebrew poems, plays, and essays Sadeh produced during the 1920s, the publications in which they appeared, and a representative quotation that the chapter can use to demonstrate the literary register of his prose.] He was a known figure, in the small social world of Tel Aviv’s labor intelligentsia by the mid-1920s — not as a writer of the first rank, but as a figure whose physical presence, life history, and combination of attributes were considered unusual enough that he was identifiable on sight in the cafés of Allenby Street.</w:t>
      </w:r>
      <w:r>
        <w:rPr>
          <w:rStyle w:val="EndnoteReference"/>
        </w:rPr>
        <w:endnoteReference w:id="77"/>
      </w:r>
    </w:p>
    <w:p>
      <w:pPr>
        <w:pStyle w:val="BodyText"/>
      </w:pPr>
      <w:r>
        <w:t xml:space="preserve">The military side of the Gdud’s work, through the 1920s, was less visible than the labor side, and Sadeh’s role in it was, until 1929, modest. The Gdud’s defensive nucleus operated within the small underground military framework of the Haganah, which had been founded in June 1920 — six months before Sadeh’s arrival in Palestine — by Ben-Gurion’s Ahdut Ha-Avoda and the other labor-Zionist parties out of the dissolved Ha-Shomer guard organization. Through the early 1920s, the Haganah was small, decentralized, locally organized, and weak — a militia of citizen-defenders rather than a military force in any modern sense. Sadeh participated in its activities at the level of the Gdud’s own defensive responsibilities — guarding settlements, escorting workers to and from job sites, training new arrivals in basic small-arms skills — without holding any formal command position in the larger Haganah structure.</w:t>
      </w:r>
      <w:r>
        <w:rPr>
          <w:rStyle w:val="EndnoteReference"/>
        </w:rPr>
        <w:endnoteReference w:id="78"/>
      </w:r>
    </w:p>
    <w:p>
      <w:pPr>
        <w:pStyle w:val="BodyText"/>
      </w:pPr>
      <w:r>
        <w:t xml:space="preserve">That changed in 1929. But before the chapter turns to the Jerusalem and Hebron massacres of late August 1929 and to the institutional crisis that the massacres precipitated inside the Yishuv’s defensive establishment, it is worth pausing on one institutional incident from the middle years of the decade — an incident that, in the operational and intellectual genealogy this book is reconstructing, occupies a position more consequential than its place in the standard histories of the Gdud Ha-Avoda would suggest.</w:t>
      </w:r>
    </w:p>
    <w:bookmarkEnd w:id="79"/>
    <w:bookmarkStart w:id="84" w:name="the-visit-to-lettow-vorbeck-1924"/>
    <w:p>
      <w:pPr>
        <w:pStyle w:val="Heading2"/>
      </w:pPr>
      <w:r>
        <w:t xml:space="preserve">2.8 The Visit to Lettow-Vorbeck, 1924</w:t>
      </w:r>
    </w:p>
    <w:p>
      <w:pPr>
        <w:pStyle w:val="FirstParagraph"/>
      </w:pPr>
      <w:r>
        <w:t xml:space="preserve">In 1924, three representatives of the Yishuv made a journey that, in the surviving institutional record, has been treated as a minor episode in the early military self-education of the labor-Zionist movement and that, in the longer perspective of the global SOF tradition this book is tracing, becomes one of the more remarkable junctures the Eastern European-trained generation of the Yishuv would arrange for itself. The three traveled from Mandate Palestine to Germany to receive instruction, at first hand, from Lieutenant Colonel Paul von Lettow-Vorbeck — the German colonial officer whose East African Schutztruppe campaign of 1914–1918 had become, in the inter-war period, the canonical case study of how a small, well-led, locally adapted irregular force could pin down a vastly larger conventional adversary for years on end. Among the three were Yerachmiel Lukacher, a Russian-born veteran of the Gdud Ha-Avoda whose biography included both clandestine experience in the early Mandate period and the kind of revolutionary intellectual restlessness that would, in his own generation of the Yishuv’s military leadership, leave him on the operational margins of the more formal Haganah institutional structure but at the conceptual center of the small circle that was beginning to think about the Yishuv’s military problem in terms larger than the static defense of fixed settlements; Pinhas Schneurson; and Yehoshua Eisik, later known as Eshel.</w:t>
      </w:r>
      <w:r>
        <w:rPr>
          <w:rStyle w:val="EndnoteReference"/>
        </w:rPr>
        <w:endnoteReference w:id="80"/>
      </w:r>
    </w:p>
    <w:p>
      <w:pPr>
        <w:pStyle w:val="BodyText"/>
      </w:pPr>
      <w:r>
        <w:t xml:space="preserve">What Lukacher brought back from Germany was the doctrinal content of von Lettow-Vorbeck’s African campaign rendered into practical instructional material: the principles of small-unit operations in difficult terrain, the use of deep reconnaissance and local intelligence, the deliberate refusal of decisive engagement in favor of attritional pressure on the adversary’s supply and morale, the cultivation of an officer corps whose tactical initiative was the operational equivalent of the formal chain of command in a conventional army. Lukacher returned to Palestine carrying a library of German and Russian military literature that he smuggled past the Mandate customs office at Haifa by a route the surviving accounts decline to specify. In the summer of 1924, the Kibbutz opened, on the kibbutz Tel Yosef in the Jezreel Valley, the first formal training course for instructors and military commanders that the labor-Zionist movement had constructed. The course was commanded by Yosef Harit; Lukacher served as chief instructor; two former Austro-Hungarian officers, Dr. Wolfgang von Weisel and Dr. Otto Hahn, supplied additional technical instruction. In 1926 Lukacher was promoted to commander of the school. The institutional vehicle was small, the duration short, and the published documentation thin; but the operational doctrine that Lukacher had brought back from Germany was, in those two years, transmitted to the cohort of operators who would, a decade and a half later, supply a noticeable share of the FOSH and Palmach officer corps that Sadeh would build between 1937 and 1945. The Lukacher school’s doctrinal content did not survive in any single canonical document. It survived in the operational instincts of the men whom Sadeh would, in the late 1930s, select for the FOSH from precisely the cohort that had absorbed Lukacher’s transmission of von Lettow-Vorbeck.</w:t>
      </w:r>
      <w:r>
        <w:rPr>
          <w:rStyle w:val="EndnoteReference"/>
        </w:rPr>
        <w:endnoteReference w:id="81"/>
      </w:r>
    </w:p>
    <w:p>
      <w:pPr>
        <w:pStyle w:val="BodyText"/>
      </w:pPr>
      <w:r>
        <w:t xml:space="preserve">The institutional significance of the Lukacher episode is sharpened by an accidental fact about the wider European reception of von Lettow-Vorbeck’s doctrine that the standard histories of the Yishuv’s military self-education have not, to my knowledge, paired with the 1924 Lukacher visit. The same von Lettow-Vorbeck whose African campaign Lukacher carried into the Gdud Ha-Avoda in 1924 was, in those years, also instructing a second disciple — Theodor von Hippel, a German officer who would, in the late 1930s and into the early years of the Second World War, found the Brandenburgers, the best-known special operations force of Nazi Germany and the operational ancestor of the Bundeswehr’s post-war Kommando Spezialkräfte. Two of the most consequential SOF traditions of the twentieth century — the Israeli and the German — thus traced one strand of their genealogy to the same German colonial officer. The convergence is not, in the institutional history of either tradition, a topic that the respective national military historiographies have wanted to explore at length. It is, in the comparative perspective this book is constructing, a moment of unusual clarity. The argument of the book — that the rise of national SOF traditions in the twentieth century was driven by a small number of identifiable institutional entrepreneurs operating at moments of critical military and political stress — gains, from the Lettow-Vorbeck point, an empirical illustration of the broader claim that entrepreneurial circulation across national boundaries was a substantive part of the story.</w:t>
      </w:r>
      <w:r>
        <w:rPr>
          <w:rStyle w:val="EndnoteReference"/>
        </w:rPr>
        <w:endnoteReference w:id="82"/>
      </w:r>
    </w:p>
    <w:p>
      <w:pPr>
        <w:pStyle w:val="BodyText"/>
      </w:pPr>
      <w:r>
        <w:t xml:space="preserve">Sadeh, in 1924, was thirty-four years old, working as a stonecutter on the Tiberias–Tabgha road, and not — by any direct evidence I have been able to recover from the standard sources — in the small Yishuv delegation that traveled to Germany. What he received from the Lukacher transmission, he received indirectly, over the next decade, as the men of the Lukacher school filtered into the Gdud Ha-Avoda and from the Gdud Ha-Avoda into the small social and operational network that would, by the mid-1930s, become Sadeh’s institutional base inside the Haganah. The doctrinal inheritance that he would, in 1937, codify in the FOSH and that he would, in 1941, institutionalize in the Palmach was therefore a synthesis of two distinct traditions: his own Russian Civil War partisan experience, brought from the Ukrainian and Crimean fronts of 1918–1920, and the Lukacher transmission of von Lettow-Vorbeck’s African doctrine, brought from a six-week visit to Germany in 1924 by men who had themselves never served in any partisan war but who had absorbed, from the most successful European irregular commander of the previous generation, the principles by which a small force could outlast a large one in difficult terrain. The synthesis was not, in Sadeh’s writings, ever spelled out in these terms. It did not need to be. The men who would carry it forward — Allon, Dayan, Carmi, the FOSH operators of 1937–1938 — were, in their own training, the embodied product of both transmissions working through a single institutional generation.</w:t>
      </w:r>
      <w:r>
        <w:rPr>
          <w:rStyle w:val="EndnoteReference"/>
        </w:rPr>
        <w:endnoteReference w:id="83"/>
      </w:r>
    </w:p>
    <w:bookmarkEnd w:id="84"/>
    <w:bookmarkStart w:id="92" w:name="the-reckoning-of-1929"/>
    <w:p>
      <w:pPr>
        <w:pStyle w:val="Heading2"/>
      </w:pPr>
      <w:r>
        <w:t xml:space="preserve">2.9 The Reckoning of 1929</w:t>
      </w:r>
    </w:p>
    <w:p>
      <w:pPr>
        <w:pStyle w:val="FirstParagraph"/>
      </w:pPr>
      <w:r>
        <w:t xml:space="preserve">On Friday, 23 August 1929, in the city of Jerusalem and across the Jewish settlements of the upper Galilee, the western Galilee, the Hebron hills, and the coastal plain, the largest and most lethal wave of anti-Jewish violence the Yishuv had yet experienced began. The trigger — a confrontation at the Western Wall in Jerusalem over the previous several weeks, inflamed by sermons and by the political mobilization of the Arab Higher Committee — had been visible for months. The Haganah had been warned by the British authorities and by its own intelligence sources that violence was coming. The British administration had been warned. Neither had taken action commensurate with the warning.</w:t>
      </w:r>
      <w:r>
        <w:rPr>
          <w:rStyle w:val="EndnoteReference"/>
        </w:rPr>
        <w:endnoteReference w:id="85"/>
      </w:r>
    </w:p>
    <w:p>
      <w:pPr>
        <w:pStyle w:val="BodyText"/>
      </w:pPr>
      <w:r>
        <w:t xml:space="preserve">When the violence began, the consequences were immediate. In Hebron, an Arab mob attacked the ancient Jewish community of the city and killed sixty-seven Jewish men, women, and children. In Safed, another mob killed twenty more. In the smaller settlements of the western Galilee — Hulda, Be’er Tuvia, Motza, Mishmar Ha-Emek — Jewish residents were killed in single digits at each site, but the cumulative effect across the country, by the time the British administration restored order at the end of the week, was 133 Jews dead and 339 wounded. Several Jewish settlements had been completely destroyed. The Yishuv’s civilian sense of personal security had been broken.</w:t>
      </w:r>
      <w:r>
        <w:rPr>
          <w:rStyle w:val="EndnoteReference"/>
        </w:rPr>
        <w:endnoteReference w:id="86"/>
      </w:r>
    </w:p>
    <w:p>
      <w:pPr>
        <w:pStyle w:val="BodyText"/>
      </w:pPr>
      <w:r>
        <w:t xml:space="preserve">The Haganah, in the standard institutional analysis that the Yishuv’s leadership would conduct over the following months, had failed. It had been warned, and it had not been ready. It was too decentralized; it had too few trained members; it had no national command structure capable of moving men from one front to another in response to the geographic spread of the attack; it had almost no weapons beyond personal small arms; and it had no doctrine, in the sense that a modern military organization is supposed to have a doctrine, for any operation more complex than the defense of a single fixed position.</w:t>
      </w:r>
      <w:r>
        <w:rPr>
          <w:rStyle w:val="EndnoteReference"/>
        </w:rPr>
        <w:endnoteReference w:id="87"/>
      </w:r>
    </w:p>
    <w:p>
      <w:pPr>
        <w:pStyle w:val="BodyText"/>
      </w:pPr>
      <w:r>
        <w:t xml:space="preserve">The reckoning that followed inside the Haganah’s leadership produced two distinct responses. The first — the slower, more bureaucratically conservative response — was a gradual professionalization of the existing Haganah structure: the appointment of regional commanders, the systematization of training programs, the slow acquisition of weapons through legal and illegal channels. The second — the response that, twelve years later, would prove far more consequential — was the recognition, in a small circle of senior Haganah officers and labor-Zionist political figures, that the conventional defensive model of the existing Haganah was not adequate to the threat environment the 1929 riots had revealed. What the Yishuv needed, in this small circle’s analysis, was not better static defense of fixed settlements; it was the capacity to act offensively, beyond the perimeter of the settlement, against the staging areas from which Arab raiding parties launched their attacks.</w:t>
      </w:r>
      <w:r>
        <w:rPr>
          <w:rStyle w:val="EndnoteReference"/>
        </w:rPr>
        <w:endnoteReference w:id="88"/>
      </w:r>
    </w:p>
    <w:p>
      <w:pPr>
        <w:pStyle w:val="BodyText"/>
      </w:pPr>
      <w:r>
        <w:t xml:space="preserve">The conversation in which this second response was first articulated — the conversation that would, seven years later, produce the FOSH and, in time, the Palmach and the entire institutional architecture of Israeli offensive warfare — took place over the late summer and autumn of 1929 in the apartment of Yitzhak Ben-Zvi, then a senior figure in the Yishuv’s labor leadership and a future president of the State of Israel. Among the participants were Ben-Zvi himself; the Haganah’s then-leader Eliyahu Golomb; the young Aharon Haim Cohen, a Jerusalem-born intelligence specialist who, in the standard account, was the first person sent by Ben-Zvi into the West Bank and the Hebron hills in the immediate aftermath of the riots to gather human intelligence on the Arab Higher Committee and on the leaders of the riot organizations; and — at Golomb’s specific invitation, and despite the fact that he held no formal Haganah command — Yitzhak Sadeh.</w:t>
      </w:r>
      <w:r>
        <w:rPr>
          <w:rStyle w:val="EndnoteReference"/>
        </w:rPr>
        <w:endnoteReference w:id="89"/>
      </w:r>
    </w:p>
    <w:p>
      <w:pPr>
        <w:pStyle w:val="BodyText"/>
      </w:pPr>
      <w:r>
        <w:t xml:space="preserve">Sadeh was not, in 1929, an obvious choice for the conversation. He was thirty-nine years old, he had been in Palestine for nine years, he had no Haganah rank, and his principal institutional affiliation — the Gdud Ha-Avoda — had by 1929 split into factions and was on the edge of formal dissolution. What Sadeh had, in Golomb’s reading of the situation, was the only set of qualifications that mattered for the question at hand. He had real military experience from a real war, fought against a real enemy who was using real tactics of partisan and counter-partisan warfare. He had read the Russian, German, and English military literature that the Yishuv’s existing military leadership had not read. And he had, by temperament and by life history, the freedom from prior institutional commitments that would let him think about the problem afresh.</w:t>
      </w:r>
      <w:r>
        <w:rPr>
          <w:rStyle w:val="EndnoteReference"/>
        </w:rPr>
        <w:endnoteReference w:id="90"/>
      </w:r>
    </w:p>
    <w:p>
      <w:pPr>
        <w:pStyle w:val="BodyText"/>
      </w:pPr>
      <w:r>
        <w:t xml:space="preserve">The conversation in Ben-Zvi’s apartment in the autumn of 1929 did not, in the end, produce the offensive doctrine that the small circle had hoped for. The Haganah’s institutional inertia was too strong; the political conditions for the establishment of a new offensive arm were not yet present; and the immediate priority, for both the Yishuv’s leadership and the British administration, was the restoration of basic civilian security, which would consume the institutional energies of the next several years. What the conversation produced, instead, was an idea, held in reserve, that would re-emerge under different conditions seven years later. When it did, the figure to whom the leadership turned would be Yitzhak Sadeh.</w:t>
      </w:r>
      <w:r>
        <w:rPr>
          <w:rStyle w:val="EndnoteReference"/>
        </w:rPr>
        <w:endnoteReference w:id="91"/>
      </w:r>
    </w:p>
    <w:p>
      <w:pPr>
        <w:pStyle w:val="BodyText"/>
      </w:pPr>
      <w:r>
        <w:t xml:space="preserve">It would take an institutional crisis larger than 1929 — the institutional crisis of the Great Arab Revolt of 1936–1939 — to bring the conditions under which Sadeh’s intervention would finally become possible.</w:t>
      </w:r>
    </w:p>
    <w:bookmarkEnd w:id="92"/>
    <w:bookmarkStart w:id="103" w:name="the-field-companies"/>
    <w:p>
      <w:pPr>
        <w:pStyle w:val="Heading2"/>
      </w:pPr>
      <w:r>
        <w:t xml:space="preserve">2.10 The Field Companies</w:t>
      </w:r>
    </w:p>
    <w:p>
      <w:pPr>
        <w:pStyle w:val="FirstParagraph"/>
      </w:pPr>
      <w:r>
        <w:t xml:space="preserve">The Arab Revolt broke out on the fifteenth of April 1936 with the killing of two Jewish travelers on the road between Nablus and Tulkarm, was formally proclaimed a general strike four days later by the newly constituted Arab Higher Committee, and proceeded over the next thirty-three months to inflict on the Yishuv the most sustained campaign of organized violence the Jewish community had yet faced. By the time the revolt was suppressed in the spring of 1939, somewhere between four hundred and five hundred Jewish civilians had been killed, several thousand had been wounded, hundreds of agricultural settlements had been attacked, and the Yishuv’s roads and rail lines had been so deeply compromised by Arab partisan operations that the British administration was, by the autumn of 1936, increasingly dependent on Jewish armed personnel to keep its own supply lines open.</w:t>
      </w:r>
      <w:r>
        <w:rPr>
          <w:rStyle w:val="EndnoteReference"/>
        </w:rPr>
        <w:endnoteReference w:id="93"/>
      </w:r>
    </w:p>
    <w:p>
      <w:pPr>
        <w:pStyle w:val="BodyText"/>
      </w:pPr>
      <w:r>
        <w:t xml:space="preserve">The Haganah’s response, in the first months of the revolt, was the response that the post-1929 reckoning had built it to give: static defense of fixed settlements. Sandbagged positions were strengthened. Watch rotations were intensified. Weapons were distributed. Settlements that had been left exposed in 1929 were, in 1936, defended better. But the offensive arm that the small circle in Yitzhak Ben-Zvi’s apartment had sketched in 1929 had never been built, and the operational consequence in the first year of the revolt was that the Arab partisan parties moved freely through the country at night, struck Jewish settlements at will, and dispersed before any Haganah force could reach the staging area from which the attack had been launched.</w:t>
      </w:r>
      <w:r>
        <w:rPr>
          <w:rStyle w:val="EndnoteReference"/>
        </w:rPr>
        <w:endnoteReference w:id="94"/>
      </w:r>
    </w:p>
    <w:p>
      <w:pPr>
        <w:pStyle w:val="BodyText"/>
      </w:pPr>
      <w:r>
        <w:t xml:space="preserve">Eliyahu Golomb, by the spring of 1937, had concluded that the situation was untenable. The Haganah’s existing leadership did not have the operational concept the moment required. The British administration, which had begun to grasp the same conclusion about its own forces several months earlier, was open to alternative arrangements but lacked the local expertise to design them. What was needed was someone outside the Haganah’s institutional inertia who could conceive of, and personally lead, a different kind of force.</w:t>
      </w:r>
      <w:r>
        <w:rPr>
          <w:rStyle w:val="EndnoteReference"/>
        </w:rPr>
        <w:endnoteReference w:id="95"/>
      </w:r>
    </w:p>
    <w:p>
      <w:pPr>
        <w:pStyle w:val="BodyText"/>
      </w:pPr>
      <w:r>
        <w:t xml:space="preserve">Golomb went to Sadeh.</w:t>
      </w:r>
    </w:p>
    <w:p>
      <w:pPr>
        <w:pStyle w:val="BodyText"/>
      </w:pPr>
      <w:r>
        <w:t xml:space="preserve">The meeting at which Golomb formally proposed the new arrangement took place in April or May of 1937 — the month is uncertain — at the Haganah’s small leadership compound in Tel Aviv. The conversation, by the accounts that have survived, was brief. Golomb proposed that Sadeh take command of a new offensive arm to be set up alongside the existing Haganah defensive structure, that the arm be organized as full-time companies of trained men available for movement to any threatened sector, that the men be selected from the most physically capable and ideologically committed Haganah members across the country, and that the arm operate with a degree of operational independence from the existing regional commands. Sadeh accepted on three conditions. The first was that the men of the new arm be selected by him personally and not assigned by the regional commands; the second was that the training, the doctrine, and the operational concept be his to design; the third was that the new arm be politically protected from the inevitable resistance of the existing Haganah officer corps, by Golomb himself.</w:t>
      </w:r>
      <w:r>
        <w:rPr>
          <w:rStyle w:val="EndnoteReference"/>
        </w:rPr>
        <w:endnoteReference w:id="96"/>
      </w:r>
    </w:p>
    <w:p>
      <w:pPr>
        <w:pStyle w:val="BodyText"/>
      </w:pPr>
      <w:r>
        <w:t xml:space="preserve">Golomb agreed to all three. The arrangement was sealed without paperwork. The new arm — the Plugot Sadeh, the Sadeh Companies, soon abbreviated to FOSH (Plugot Sadeh, in Hebrew) — was established at a small training camp in the Jezreel Valley in the late spring of 1937. Within six months it had three companies, with somewhere between forty and seventy men in each, drawn from the Haganah’s existing membership but reorganized under Sadeh’s direct command. Within a year it had become the principal Jewish offensive military instrument in Palestine, and the operational pattern of the Arab Revolt had begun to shift.</w:t>
      </w:r>
      <w:r>
        <w:rPr>
          <w:rStyle w:val="EndnoteReference"/>
        </w:rPr>
        <w:endnoteReference w:id="97"/>
      </w:r>
    </w:p>
    <w:p>
      <w:pPr>
        <w:pStyle w:val="BodyText"/>
      </w:pPr>
      <w:r>
        <w:t xml:space="preserve">The shift was visible in the geographical movement of the FOSH’s operations. Where the Haganah of 1936 had been a static, settlement-by-settlement defensive force, the FOSH of 1937–1938 was a mobile force that moved at night, by truck and on foot, from the Jezreel Valley to the upper Galilee to the western Galilee to the coastal plain, intercepting Arab raiding parties on their approach to Jewish settlements, ambushing them in the staging areas from which the attacks were being launched, and striking back at the villages from which the raid leaders had been identified to operate. On the night of the twenty-first of March 1938, a convoy of approximately one hundred FOSH members under Sadeh’s personal command set out from a base in the Jezreel Valley to the upper Galilee, conducted a series of coordinated ambushes against Arab raiding parties operating in the area, and returned with — by the operational metric of the Yishuv’s existing military leadership — a casualty exchange that no Haganah operation of the preceding decade had matched.</w:t>
      </w:r>
      <w:r>
        <w:rPr>
          <w:rStyle w:val="EndnoteReference"/>
        </w:rPr>
        <w:endnoteReference w:id="98"/>
      </w:r>
    </w:p>
    <w:p>
      <w:pPr>
        <w:pStyle w:val="BodyText"/>
      </w:pPr>
      <w:r>
        <w:t xml:space="preserve">It is hard to overstate what the FOSH operation of March 1938 meant inside the Yishuv. For the first time since the founding of the Haganah in 1920, a Jewish armed force in Palestine had moved offensively, in formation, and in size, against an Arab adversary, and had returned home both successful and intact. The men who participated in that operation — including, in the junior ranks, two young Galilean veterans named Yigal Allon and Moshe Dayan — would form the institutional core, over the next decade, of every important Jewish military operation in the country.</w:t>
      </w:r>
      <w:r>
        <w:rPr>
          <w:rStyle w:val="EndnoteReference"/>
        </w:rPr>
        <w:endnoteReference w:id="99"/>
      </w:r>
    </w:p>
    <w:p>
      <w:pPr>
        <w:pStyle w:val="BodyText"/>
      </w:pPr>
      <w:r>
        <w:t xml:space="preserve">The doctrinal content of the FOSH was Sadeh’s. He insisted, against the formal Haganah practice of the period, on night movement; on small, mobile, lightly armed units rather than large, slow, heavily armed columns; on the use of local guides and detailed reconnaissance before any operation; on ambush rather than frontal engagement; on close coordination between scouts, lead elements, and main bodies; and, above all, on what he called hochmat hakerav — the wisdom of the battle, the field-officer’s intuition that no manual could capture. The doctrine was unmistakably the doctrine of the Russian Civil War — the partisan operations of the southwestern front of 1918–1920, rendered into Hebrew and adapted to the topographical and political realities of Mandatory Palestine. The men who served under Sadeh in the FOSH learned, without knowing what they were being taught, the tactical inheritance of the Red Army’s partisan war.</w:t>
      </w:r>
      <w:r>
        <w:rPr>
          <w:rStyle w:val="EndnoteReference"/>
        </w:rPr>
        <w:endnoteReference w:id="100"/>
      </w:r>
    </w:p>
    <w:p>
      <w:pPr>
        <w:pStyle w:val="BodyText"/>
      </w:pPr>
      <w:r>
        <w:t xml:space="preserve">The FOSH lasted, as a formally constituted body, only until late 1939. The British administration, which had tolerated and indeed encouraged the FOSH during the most acute phase of the Arab Revolt, pressed the Yishuv to disband the standing force once the revolt had subsided in the spring of 1939; the existing Haganah officer corps, which had resented the FOSH from its founding, pressed in the same direction from inside the institution. Golomb, weighing the political costs, agreed. The FOSH was dissolved. Its men were folded back into the regional Haganah commands.</w:t>
      </w:r>
      <w:r>
        <w:rPr>
          <w:rStyle w:val="EndnoteReference"/>
        </w:rPr>
        <w:endnoteReference w:id="101"/>
      </w:r>
    </w:p>
    <w:p>
      <w:pPr>
        <w:pStyle w:val="BodyText"/>
      </w:pPr>
      <w:r>
        <w:t xml:space="preserve">But the institutional DNA of the FOSH did not dissolve with it. The doctrine, the men, the network of operational relationships, the habit of small-unit night movement — all of it survived inside the Haganah, dormant, for two years. When the circumstances of the Second World War made a new offensive arm desirable, the men of the FOSH would be available, the doctrine would be on the shelf, and the figure to whom Golomb and Ben-Gurion would turn, again, would be Yitzhak Sadeh.</w:t>
      </w:r>
      <w:r>
        <w:rPr>
          <w:rStyle w:val="EndnoteReference"/>
        </w:rPr>
        <w:endnoteReference w:id="102"/>
      </w:r>
    </w:p>
    <w:bookmarkEnd w:id="103"/>
    <w:bookmarkStart w:id="112" w:name="the-friend"/>
    <w:p>
      <w:pPr>
        <w:pStyle w:val="Heading2"/>
      </w:pPr>
      <w:r>
        <w:t xml:space="preserve">2.11 The Friend</w:t>
      </w:r>
    </w:p>
    <w:p>
      <w:pPr>
        <w:pStyle w:val="FirstParagraph"/>
      </w:pPr>
      <w:r>
        <w:t xml:space="preserve">While Sadeh was building the FOSH from inside the Yishuv, a parallel project was being built from outside it by a British officer whom the Yishuv would, within two years, come to call Ha-Yedid — the Friend.</w:t>
      </w:r>
    </w:p>
    <w:p>
      <w:pPr>
        <w:pStyle w:val="BodyText"/>
      </w:pPr>
      <w:r>
        <w:t xml:space="preserve">Captain Orde Charles Wingate, a thirty-three-year-old officer of the British Royal Artillery, arrived in Palestine in September 1936 as a staff intelligence officer. He was, by the standards of the British military establishment of the late 1930s, an unusually peculiar figure. He was an Old Testament Christian Zionist of evangelical conviction — the kind of British officer, of which the late Mandate period produced several, whose theological certainty that the Jewish national home was the fulfillment of biblical prophecy operated, in his case, with the same single-minded force that a more orthodox British officer might have brought to the regimental tradition of his cavalry unit. He was a serious and unconventional military thinker. He was a difficult subordinate, a worse colleague, and an indifferent diplomat. He had been, in his early thirties, attached as an intelligence officer to British operations in Sudan, where he had developed both a contempt for the bureaucratic conventions of British colonial military practice and a particular interest in irregular warfare in difficult terrain.</w:t>
      </w:r>
      <w:r>
        <w:rPr>
          <w:rStyle w:val="EndnoteReference"/>
        </w:rPr>
        <w:endnoteReference w:id="104"/>
      </w:r>
    </w:p>
    <w:p>
      <w:pPr>
        <w:pStyle w:val="BodyText"/>
      </w:pPr>
      <w:r>
        <w:t xml:space="preserve">Wingate spent his first year in Palestine in conventional intelligence-staff work. By the spring of 1937, in parallel with Golomb’s conversations with Sadeh on the Yishuv side, Wingate had concluded — from his observation of the failure of British conventional forces to interdict Arab partisan operations along the northern frontier — that the only way to defeat the partisan parties was to apply against them the tactical methods they themselves used: night operations, small units, mobility, deep reconnaissance, and the exploitation of local knowledge. He developed, over the autumn and winter of 1937–1938, the concept of what he called the Special Night Squads. He proposed it to his superiors in the British military and police commands in Palestine. They resisted. He proposed it again, more loudly. They resisted more.</w:t>
      </w:r>
      <w:r>
        <w:rPr>
          <w:rStyle w:val="EndnoteReference"/>
        </w:rPr>
        <w:endnoteReference w:id="105"/>
      </w:r>
    </w:p>
    <w:p>
      <w:pPr>
        <w:pStyle w:val="BodyText"/>
      </w:pPr>
      <w:r>
        <w:t xml:space="preserve">What broke the impasse, in the early summer of 1938, was the convergence of three factors. The first was the deteriorating security situation along the northern frontier and the increasing British political and military pressure to find a solution. The second was the personal intervention of General Sir Archibald Wavell, then commanding British forces in Palestine, who saw something in Wingate’s proposal that the operational subordinates resisting it did not. The third was a private side-channel that Wingate had opened, on his own initiative and without his superiors’ knowledge, with Eliyahu Golomb and the Haganah leadership. Wingate had concluded — correctly — that the success of his proposed Special Night Squads would depend on the participation of Jewish auxiliaries drawn from the Yishuv’s existing armed organization, and he had begun, by the spring of 1938, to negotiate with Golomb directly for the supply of those auxiliaries.</w:t>
      </w:r>
      <w:r>
        <w:rPr>
          <w:rStyle w:val="EndnoteReference"/>
        </w:rPr>
        <w:endnoteReference w:id="106"/>
      </w:r>
    </w:p>
    <w:p>
      <w:pPr>
        <w:pStyle w:val="BodyText"/>
      </w:pPr>
      <w:r>
        <w:t xml:space="preserve">Golomb directed Sadeh to handle the relationship. Sadeh selected the men. The first Jewish fighters of the Special Night Squads — about thirty-five in number — were sworn in on the night of the thirteenth of July 1938 in a ceremony at Kibbutz Ein Harod in the Jezreel Valley. Half of the squad strength was British. Half was Jewish. The doctrine was Wingate’s. The Jewish manpower was Sadeh’s, drawn directly from the operational core of the FOSH. Among the Jewish fighters of the SNS were the men who would, in the next decade, become the senior figures of the Palmach and the IDF: Yigal Allon, Moshe Dayan, Israel Carmi — the young Haganah operator whose unit history would later supply one of the principal published accounts of the SNS’s internal life — and several dozen others whose subsequent biographies trace, in tight detail, the institutional inheritance from Wingate’s experiment into the architecture of the Israeli military.</w:t>
      </w:r>
      <w:r>
        <w:rPr>
          <w:rStyle w:val="EndnoteReference"/>
        </w:rPr>
        <w:endnoteReference w:id="107"/>
      </w:r>
    </w:p>
    <w:p>
      <w:pPr>
        <w:pStyle w:val="BodyText"/>
      </w:pPr>
      <w:r>
        <w:t xml:space="preserve">The Special Night Squads operated for fourteen months — from July 1938 to October 1939 — and changed the operational logic of the late Arab Revolt. They moved at night, in mixed British-Jewish patrols, into the staging areas of the Arab partisan parties; they ambushed; they raided villages identified as raid-staging sites; and they did all of this with a frequency and tactical aggression that no previous British or Jewish operation in Palestine had matched. Wingate himself participated in the operations personally and was wounded several times. He was, in the recollection of the Jewish fighters who served alongside him, an unmanageable commander whose tactical judgment was excellent and whose interpersonal judgment was uniformly disastrous. He referred to the Jewish operators as banai —</w:t>
      </w:r>
      <w:r>
        <w:t xml:space="preserve"> </w:t>
      </w:r>
      <w:r>
        <w:t xml:space="preserve">“</w:t>
      </w:r>
      <w:r>
        <w:t xml:space="preserve">my sons</w:t>
      </w:r>
      <w:r>
        <w:t xml:space="preserve">”</w:t>
      </w:r>
      <w:r>
        <w:t xml:space="preserve"> </w:t>
      </w:r>
      <w:r>
        <w:t xml:space="preserve">— in tones that the men found embarrassing, and they referred to him as Ha-Yedid, the Friend, in tones that mixed affection with the constant awareness that the friend was, in his own peculiar way, slightly insane.</w:t>
      </w:r>
      <w:r>
        <w:rPr>
          <w:rStyle w:val="EndnoteReference"/>
        </w:rPr>
        <w:endnoteReference w:id="108"/>
      </w:r>
    </w:p>
    <w:p>
      <w:pPr>
        <w:pStyle w:val="BodyText"/>
      </w:pPr>
      <w:r>
        <w:t xml:space="preserve">Wingate’s tenure in Palestine ended in October 1939 when the British command, alarmed at the political consequences of his unmistakable identification with the Zionist project, transferred him out of the country and onto a series of postings — Sudan, Ethiopia, eventually Burma — that would produce the Chindit operations of 1943–1944 and his own death in an air crash in the jungle in March 1944. The Special Night Squads were disbanded with his departure.</w:t>
      </w:r>
      <w:r>
        <w:rPr>
          <w:rStyle w:val="EndnoteReference"/>
        </w:rPr>
        <w:endnoteReference w:id="109"/>
      </w:r>
    </w:p>
    <w:p>
      <w:pPr>
        <w:pStyle w:val="BodyText"/>
      </w:pPr>
      <w:r>
        <w:t xml:space="preserve">But Wingate’s tactical and conceptual contribution to Jewish military thought was, by the autumn of 1939, already absorbed into the Yishuv’s operational core through the men of the FOSH-SNS who had served under both him and Sadeh. The two doctrines — Sadeh’s Russian-Civil-War partisan tradition and Wingate’s biblical-romantic British irregular tradition — had been blended, in the operational practice of the Jewish auxiliaries, into a synthesis that was neither purely Russian nor purely British but recognizably the early ancestor of what would, four decades later, be recognizable as a distinctly Israeli military style.</w:t>
      </w:r>
      <w:r>
        <w:rPr>
          <w:rStyle w:val="EndnoteReference"/>
        </w:rPr>
        <w:endnoteReference w:id="110"/>
      </w:r>
    </w:p>
    <w:p>
      <w:pPr>
        <w:pStyle w:val="BodyText"/>
      </w:pPr>
      <w:r>
        <w:t xml:space="preserve">Wingate was not the only British officer in Palestine during the Arab Revolt who concluded that the operational problem before British and Yishuv forces required an unconventional answer. On the same staff that contained Wingate served a second officer, four years his junior, who had arrived in the country in February 1936 as a staff intelligence officer and whose interest in irregular warfare had developed, in the early 1930s, on parallel ground — in Aden and the Sudan, where he had spent most of the decade. His name was Dudley Wrangel Clarke. Like Wingate, Clarke was an unconventional thinker whom the conventional British military establishment regarded with discomfort. Like Wingate, he was kept on Dill’s Palestine staff and given operational latitude. And like Wingate, he would carry the operational lessons of Palestine into the larger war ahead. By the summer of 1940 Clarke was back in London on Dill’s staff, then serving as Chief of the Imperial General Staff. In a memorandum drafted in the days after the fall of France, Clarke proposed to the prime minister the formation of small raiding units to operate against German-occupied coasts. The proposal became the British Commandos. Posted to Cairo at Wavell’s request the following year to manage strategic deception, Clarke would also create the fictional</w:t>
      </w:r>
      <w:r>
        <w:t xml:space="preserve"> </w:t>
      </w:r>
      <w:r>
        <w:t xml:space="preserve">“</w:t>
      </w:r>
      <w:r>
        <w:t xml:space="preserve">1st Special Air Service Brigade</w:t>
      </w:r>
      <w:r>
        <w:t xml:space="preserve">”</w:t>
      </w:r>
      <w:r>
        <w:t xml:space="preserve"> </w:t>
      </w:r>
      <w:r>
        <w:t xml:space="preserve">— a deception unit designed to play on Italian fears of British airborne capability — whose name David Stirling, in May 1941, would borrow for the actual special-operations force that became the SAS. Wavell, looking back on his time in Palestine three years later, would write that he had served with two officers whose unorthodox approach to soldiering had distinguished them from the rest of his staff:</w:t>
      </w:r>
      <w:r>
        <w:t xml:space="preserve"> </w:t>
      </w:r>
      <w:r>
        <w:t xml:space="preserve">“</w:t>
      </w:r>
      <w:r>
        <w:t xml:space="preserve">When I commanded in Palestine in 1937–38, I had on my staff two officers in whom I recognised an original, unorthodox outlook on soldiering. One was Orde Wingate, the second was Dudley Clarke.</w:t>
      </w:r>
      <w:r>
        <w:t xml:space="preserve">”</w:t>
      </w:r>
      <w:r>
        <w:t xml:space="preserve"> </w:t>
      </w:r>
      <w:r>
        <w:t xml:space="preserve">The British SOF tradition to which the later chapters of this book will return traces, in significant part, to the same staff and the same operational problem that had produced the Special Night Squads in the Galilee in the summer of 1938.</w:t>
      </w:r>
      <w:r>
        <w:rPr>
          <w:rStyle w:val="EndnoteReference"/>
        </w:rPr>
        <w:endnoteReference w:id="111"/>
      </w:r>
    </w:p>
    <w:p>
      <w:pPr>
        <w:pStyle w:val="BodyText"/>
      </w:pPr>
      <w:r>
        <w:t xml:space="preserve">The question that arose, in the autumn of 1939, for the institutional figures who had built the synthesis, was what to do with it now that both of the institutional vehicles it had been built inside — the FOSH and the SNS — had been dissolved. The answer, in the eighteen months that separated the SNS dissolution from the formal founding of the Palmach in May 1941, was an institutional bridge whose name has, in the standard histories of the Yishuv’s military self-organization, received less attention than its operational and doctrinal consequences deserve. The bridge was the POM — the Plugot Peulot Meyuchadot, the Special Operations Companies, an extra-Haganah clandestine apparatus established at Ben-Gurion’s specific direction in June 1939 and operating, off the books, for the next eighteen months.</w:t>
      </w:r>
    </w:p>
    <w:bookmarkEnd w:id="112"/>
    <w:bookmarkStart w:id="122" w:name="the-pom-19391941"/>
    <w:p>
      <w:pPr>
        <w:pStyle w:val="Heading2"/>
      </w:pPr>
      <w:r>
        <w:t xml:space="preserve">2.12 The POM, 1939–1941</w:t>
      </w:r>
    </w:p>
    <w:p>
      <w:pPr>
        <w:pStyle w:val="FirstParagraph"/>
      </w:pPr>
      <w:r>
        <w:t xml:space="preserve">The institutional vacuum left by the simultaneous dissolution of the FOSH and the SNS in the autumn of 1939 coincided with the most consequential political crisis in the Yishuv’s relationship with the Mandate authorities since the Balfour Declaration. On the seventeenth of May 1939, in the months leading up to the European war that everyone in the Yishuv’s senior leadership recognized was coming, Neville Chamberlain’s government had issued the third White Paper of the Mandate period. The 1939 White Paper foreclosed, in unmistakable terms, the trajectory that the Balfour Declaration had opened. It set a five-year ceiling of seventy-five thousand Jewish immigrants to Palestine, after which all further immigration would require the consent of the Arab leadership of the country — a consent that, the document’s authors well understood, would not be forthcoming. It restricted Jewish land purchase across the bulk of Mandate territory. It announced, in the diplomatic vocabulary the document had been drafted in, the British government’s intention to transition Palestine to an Arab-majority independent state within a decade. The White Paper arrived in the Yishuv in the months in which European Jewry’s emergency need for a refuge had reached the most acute condition of its history. The political and emotional response inside the Yishuv was, by every contemporary account, catastrophic.</w:t>
      </w:r>
      <w:r>
        <w:rPr>
          <w:rStyle w:val="EndnoteReference"/>
        </w:rPr>
        <w:endnoteReference w:id="113"/>
      </w:r>
    </w:p>
    <w:p>
      <w:pPr>
        <w:pStyle w:val="BodyText"/>
      </w:pPr>
      <w:r>
        <w:t xml:space="preserve">David Ben-Gurion, then the General Secretary of the Histadrut and the operational leader of the Yishuv’s labor-Zionist establishment, responded to the White Paper with the formulation that would, in the year of its production, become the touchstone of the Yishuv’s wartime strategy:</w:t>
      </w:r>
      <w:r>
        <w:t xml:space="preserve"> </w:t>
      </w:r>
      <w:r>
        <w:t xml:space="preserve">“</w:t>
      </w:r>
      <w:r>
        <w:t xml:space="preserve">We shall fight against the White Paper as if there were no war, and against Hitler as if there were no White Paper.</w:t>
      </w:r>
      <w:r>
        <w:t xml:space="preserve">”</w:t>
      </w:r>
      <w:r>
        <w:t xml:space="preserve"> </w:t>
      </w:r>
      <w:r>
        <w:t xml:space="preserve">The formulation was intellectually elegant. It was also institutionally impossible. The Haganah’s senior leadership, whose position in the Yishuv’s late-Mandate political settlement depended on maintaining at least the appearance of cooperative relations with the British authorities, could not openly conduct sabotage operations against British naval units enforcing the White Paper’s immigration restrictions. The Irgun’s senior leadership, whose institutional ethos had always pointed toward the open confrontation with British authority that the White Paper now seemed to authorize, was the obvious candidate to take up the role — and was, for Ben-Gurion’s political-strategic purposes, the precisely wrong organization to do it. What was needed was an instrument that could conduct the operations Ben-Gurion’s formulation required without exposing either the Haganah’s institutional position or the Yishuv’s broader wartime political relationship with Britain.</w:t>
      </w:r>
      <w:r>
        <w:rPr>
          <w:rStyle w:val="EndnoteReference"/>
        </w:rPr>
        <w:endnoteReference w:id="114"/>
      </w:r>
    </w:p>
    <w:p>
      <w:pPr>
        <w:pStyle w:val="BodyText"/>
      </w:pPr>
      <w:r>
        <w:t xml:space="preserve">The instrument that Ben-Gurion called for was constructed by Yitzhak Sadeh, working with Yaakov Dori — the Haganah’s chief of staff, soon to become the first chief of staff of the IDF — and with a small circle of the FOSH’s senior operational figures whom the FOSH dissolution had left without institutional standing but with operational availability. The new organization was named Plugot Peulot Meyuchadot — the Special Operations Companies, abbreviated, in the institutional shorthand of the period, as POM. It was conceived, in deliberate contrast to the FOSH and the SNS, as an apparatus that would operate outside the Haganah’s formal command structure. It would have no documented institutional existence. It would be funded through small, traceable transfers from labor-Zionist political resources rather than from the Haganah’s accounts. Its members would be selected by Sadeh personally from the FOSH and SNS veteran cohort and from the small circle of former Haganah operators whose loyalty Sadeh could confirm by direct personal knowledge. Its operations would be authorized by Ben-Gurion personally, without the knowledge of the broader Yishuv political leadership and without any paper trail that would, in the event of a British investigation, link the operations to the Haganah’s senior command.</w:t>
      </w:r>
      <w:r>
        <w:rPr>
          <w:rStyle w:val="EndnoteReference"/>
        </w:rPr>
        <w:endnoteReference w:id="115"/>
      </w:r>
    </w:p>
    <w:p>
      <w:pPr>
        <w:pStyle w:val="BodyText"/>
      </w:pPr>
      <w:r>
        <w:t xml:space="preserve">The POM’s principal targets were the British naval units of the Mandate authority’s immigration enforcement apparatus — the patrol craft that intercepted illegal-immigration vessels in the eastern Mediterranean and the port infrastructure that received the intercepted ships at Haifa and Atlit. The technical demands of the operations — sabotage of vessels at sea, demolition of port infrastructure under conditions of observation, the production of incendiary devices and smoke generators of a kind the Haganah had not previously had occasion to develop — exceeded the doctrinal repertoire that the FOSH and the SNS had cultivated. Sadeh established, in a small facility on a kibbutz south of Tel Aviv whose exact location the institutional record has never specified, the closest thing the Yishuv would possess, in the pre-1948 period, to a formal special-operations research-and-development laboratory. The POM’s operators tested smoke generators of their own manufacture, refined incendiary device designs adapted from material the Haganah had acquired from the Mossad LeAliyah Bet’s facilitation network for illegal immigration, and trained on small craft in night-navigation, underwater approach, and the demolition tradecraft that the operations the POM was about to conduct would require.</w:t>
      </w:r>
      <w:r>
        <w:rPr>
          <w:rStyle w:val="EndnoteReference"/>
        </w:rPr>
        <w:endnoteReference w:id="116"/>
      </w:r>
    </w:p>
    <w:p>
      <w:pPr>
        <w:pStyle w:val="BodyText"/>
      </w:pPr>
      <w:r>
        <w:t xml:space="preserve">The POM was structured in two regional arms. The northern arm, commanded by Monia Mordor, with Haim Laskov — the future IDF chief of staff — as Mordor’s deputy, was responsible for operations against British naval and port infrastructure in the Haifa and northern coastal sector. The southern arm, commanded by Avraham Negev, was responsible for operations along the central and southern coast. The two arms reported, through Sadeh, directly to Ben-Gurion. In the formal institutional self-description that the Haganah’s chief of staff Yaakov Dori would, after the fact, construct for the historical record, the POM had been a Haganah-authorized apparatus; in the operational reality of its eighteen months of existence, it had been the personal instrument of Ben-Gurion, Sadeh, Dori, Mordor, Laskov, and Negev, conducted outside the Haganah’s institutional knowledge.</w:t>
      </w:r>
      <w:r>
        <w:rPr>
          <w:rStyle w:val="EndnoteReference"/>
        </w:rPr>
        <w:endnoteReference w:id="117"/>
      </w:r>
    </w:p>
    <w:p>
      <w:pPr>
        <w:pStyle w:val="BodyText"/>
      </w:pPr>
      <w:r>
        <w:t xml:space="preserve">The operation that, in the institutional memory of the POM, became its defining case was the demolition, on the night of the twenty-fifth of November 1940, of the SS Patria in Haifa harbor. The Patria was a former French ocean liner that the Mandate authorities had requisitioned to deport approximately two thousand Jewish illegal immigrants who had arrived in Palestine on three intercepted vessels — the Pacific, the Milos, and the Atlantic — to the British colonial possession of Mauritius. The Yishuv’s political leadership had concluded that the deportation was unacceptable on political and humanitarian grounds, and that the only available instrument to prevent it was the destruction of the ship while it was still in port. The operation was authorized by Ben-Gurion. The execution was delegated to the POM. A POM operator placed a demolition charge against the Patria’s hull in the early evening of the twenty-fifth. The charge detonated. The ship sank. Two hundred and sixty-seven of the approximately two thousand immigrants aboard, along with approximately fifty British soldiers and sailors, were killed in the sinking. The British authorities, in the institutional embarrassment of the disaster, declined to prosecute and quietly granted permission for the surviving immigrants to remain in Palestine.</w:t>
      </w:r>
      <w:r>
        <w:rPr>
          <w:rStyle w:val="EndnoteReference"/>
        </w:rPr>
        <w:endnoteReference w:id="118"/>
      </w:r>
    </w:p>
    <w:p>
      <w:pPr>
        <w:pStyle w:val="BodyText"/>
      </w:pPr>
      <w:r>
        <w:t xml:space="preserve">The doctrinal consequences of the POM, for the longer institutional history this book is tracing, exceed the operational significance of the Patria itself. The POM represented, in the language of the Yishuv’s military culture, a departure from the tohar ha-neshek — the</w:t>
      </w:r>
      <w:r>
        <w:t xml:space="preserve"> </w:t>
      </w:r>
      <w:r>
        <w:t xml:space="preserve">“</w:t>
      </w:r>
      <w:r>
        <w:t xml:space="preserve">purity of arms</w:t>
      </w:r>
      <w:r>
        <w:t xml:space="preserve">”</w:t>
      </w:r>
      <w:r>
        <w:t xml:space="preserve"> </w:t>
      </w:r>
      <w:r>
        <w:t xml:space="preserve">principle — that had been the central doctrinal commitment of the FOSH and the SNS. The FOSH had been built on the principle that Jewish offensive operations would target the Arab paramilitary forces that were attacking Jewish settlements; it had been disciplined, throughout its operational existence, against the retaliatory targeting of Arab civilians that the Irgun had embraced. The SNS had operated under the same constraint, reinforced by Wingate’s own institutional commitment to a doctrine of legitimate-military-target selection. The POM departed from this principle in two distinct registers. First, its primary targets were British rather than Arab — a target set whose political legitimacy was, by 1939, defensible to the Yishuv’s labor-Zionist mainstream but that was nonetheless a substantial expansion of the operational repertoire the Yishuv had previously authorized. Second, and more consequentially, the Patria operation produced civilian casualties — the Jewish illegal immigrants whose lives the operation was nominally protecting — at a scale that no FOSH or SNS operation had ever approached. The institutional acceptance, after the fact, of the Patria casualties as the regrettable but acceptable cost of preventing the Mauritius deportation legitimated, in the Yishuv’s emerging military culture, an operational logic that the previous decade’s institutional restraint had explicitly excluded.</w:t>
      </w:r>
      <w:r>
        <w:rPr>
          <w:rStyle w:val="EndnoteReference"/>
        </w:rPr>
        <w:endnoteReference w:id="119"/>
      </w:r>
    </w:p>
    <w:p>
      <w:pPr>
        <w:pStyle w:val="BodyText"/>
      </w:pPr>
      <w:r>
        <w:t xml:space="preserve">The institutional significance of the POM for the longer history of Israeli SOF lies in this doctrinal departure. The Palmach that Sadeh would, in May 1941, establish as the successor institution to the POM would inherit the POM’s operational personnel, the POM’s doctrinal embrace of operations against British targets, the POM’s tradecraft in maritime sabotage (which would, by 1945, become the foundation of the Palyam — the Palmach’s maritime arm — and, by 1948, of Shayetet 13), and the POM’s specific operational ethos of conducting authorized operations whose casualties the institutional leadership would accept as the cost of strategic effect. The Palmach’s seven years of operations between 1941 and 1948 — first against German targets in the Levant during the Second World War, then against the British Mandate authorities in the late-Mandate period, then against Arab paramilitary forces during the 1947–1948 war — would extend the POM’s doctrinal trajectory into the war that produced the State of Israel. The institutional logic by which the post-1948 IDF would, two decades later, authorize the operations of the 101st Battalion, the Sayeret Matkal cross-border raids of the 1960s, and the later patterns of targeted killing and deep-cover sabotage that subsequent chapters of this book reconstruct, traces back, through the Palmach, to the POM’s quiet eighteen months between June 1939 and May 1941.</w:t>
      </w:r>
      <w:r>
        <w:rPr>
          <w:rStyle w:val="EndnoteReference"/>
        </w:rPr>
        <w:endnoteReference w:id="120"/>
      </w:r>
    </w:p>
    <w:p>
      <w:pPr>
        <w:pStyle w:val="BodyText"/>
      </w:pPr>
      <w:r>
        <w:t xml:space="preserve">The POM was formally dissolved in the late spring of 1941, when the German military situation in the Eastern Mediterranean produced the British strategic reassessment that, by May, would lead to the SOE’s Cairo station opening the joint operation against Vichy assets that occasioned the founding of the Palmach. The POM’s operational personnel were transferred into the new Palmach companies. The POM’s institutional records — to the extent that records had ever existed — were destroyed. Ben-Gurion’s role in directing the POM was, until his own death in 1973, never acknowledged in any public statement he made about the wartime period. The historical record of the POM has been reconstructed, in the decades since, from the personal recollections of the operators who served in it, from the partial documentation that surfaced in the institutional archives of the Haganah and the Mossad LeAliyah Bet, and from the post-facto institutional histories that the Israeli Ministry of Defense and the Galili Center have produced. The reconstruction is, in the standard accounts, incomplete. What is clear, even in the partial reconstruction, is that the POM was the institutional bridge between the late-1930s FOSH-SNS doctrinal synthesis and the wartime Palmach, and that without the POM the Palmach would have been founded — if at all — without the personnel, the doctrinal repertoire, and the institutional acceptance of high-casualty authorized operations that, in the event, defined its seven years of operational existence.</w:t>
      </w:r>
      <w:r>
        <w:rPr>
          <w:rStyle w:val="EndnoteReference"/>
        </w:rPr>
        <w:endnoteReference w:id="121"/>
      </w:r>
    </w:p>
    <w:bookmarkEnd w:id="122"/>
    <w:bookmarkStart w:id="129" w:name="the-palmach"/>
    <w:p>
      <w:pPr>
        <w:pStyle w:val="Heading2"/>
      </w:pPr>
      <w:r>
        <w:t xml:space="preserve">2.13 The Palmach</w:t>
      </w:r>
    </w:p>
    <w:p>
      <w:pPr>
        <w:pStyle w:val="FirstParagraph"/>
      </w:pPr>
      <w:r>
        <w:t xml:space="preserve">In June 1940 the French army was defeated and France surrendered to Germany. The Vichy government took control of the French Mandate territories of Lebanon and Syria. The land border between Vichy-controlled territory and British-controlled Palestine became, overnight, a potential invasion corridor for the German army then advancing through the Balkans. By the spring of 1941, with the German conquest of Greece and Crete and the consolidation of pro-Axis political forces in Iraq, the strategic situation in the eastern Mediterranean had deteriorated to the point at which a German invasion of Palestine appeared, to the British military command in the region, a serious operational possibility.</w:t>
      </w:r>
      <w:r>
        <w:rPr>
          <w:rStyle w:val="EndnoteReference"/>
        </w:rPr>
        <w:endnoteReference w:id="123"/>
      </w:r>
    </w:p>
    <w:p>
      <w:pPr>
        <w:pStyle w:val="BodyText"/>
      </w:pPr>
      <w:r>
        <w:t xml:space="preserve">The British response, in the small space available to it, included an unusual concession to the Yishuv. The Special Operations Executive — the British clandestine warfare agency, founded in July 1940 by Churchill’s directive, charged with sabotage operations, support to resistance movements, and the conduct of irregular warfare in territories the Germans had occupied or might soon occupy — opened a Cairo station with operational responsibility for the eastern Mediterranean. The Cairo station, against the formal preferences of the British Colonial Office and the British military command in Palestine, established direct relations with the Haganah’s leadership and proposed a joint clandestine operation against Vichy assets in Lebanon. The Yishuv would supply the men and the local knowledge. The SOE would supply the training, the transport, and the operational guidance.</w:t>
      </w:r>
      <w:r>
        <w:rPr>
          <w:rStyle w:val="EndnoteReference"/>
        </w:rPr>
        <w:endnoteReference w:id="124"/>
      </w:r>
    </w:p>
    <w:p>
      <w:pPr>
        <w:pStyle w:val="BodyText"/>
      </w:pPr>
      <w:r>
        <w:t xml:space="preserve">Golomb went to Sadeh.</w:t>
      </w:r>
    </w:p>
    <w:p>
      <w:pPr>
        <w:pStyle w:val="BodyText"/>
      </w:pPr>
      <w:r>
        <w:t xml:space="preserve">The reconstituted offensive arm — the new force that would absorb the inheritance of the FOSH, the SNS, and the Russian Civil War partisan tradition — was formally established at a meeting at Kibbutz Mishmar Ha-Emek in mid-May 1941. The name selected for the new arm was Plugot Mahatz — Strike Companies — abbreviated, in the Hebrew acronym that would carry through the next seven years and into the institutional memory of every subsequent Israeli special operations unit, as Palmach. Sadeh was named commander. The first standing companies were drawn, again, from the operational core of the former FOSH and SNS. The training was modeled, in part, on the SOE methodology that the British were preparing to teach. The doctrine was Sadeh’s.</w:t>
      </w:r>
      <w:r>
        <w:rPr>
          <w:rStyle w:val="EndnoteReference"/>
        </w:rPr>
        <w:endnoteReference w:id="125"/>
      </w:r>
    </w:p>
    <w:p>
      <w:pPr>
        <w:pStyle w:val="BodyText"/>
      </w:pPr>
      <w:r>
        <w:t xml:space="preserve">The Palmach’s first operation followed within seventy-two hours. On the night of Sunday, the eighteenth of May 1941, twenty-three young men, accompanied by a British SOE observer, sailed aboard the British patrol ship Sea Lion from Haifa to the port city of Tripoli in northern Lebanon, where their mission — Operation Boatswain, in the British operational nomenclature — was to sabotage the Vichy oil refineries at Tripoli to disrupt the supply of fuel to any German forces that might enter the region. The operation failed. The boat disappeared in Lebanese coastal waters on the night of the eighteenth of May. None of the twenty-three Palmach operators, and none of the SOE observer, were ever recovered. The names of the men of Operation Boatswain — including Zvi Spektor, one of the original FOSH operators of 1937 — would become, in the institutional memory of the Palmach, the founding casualties of the new arm.</w:t>
      </w:r>
      <w:r>
        <w:rPr>
          <w:rStyle w:val="EndnoteReference"/>
        </w:rPr>
        <w:endnoteReference w:id="126"/>
      </w:r>
    </w:p>
    <w:p>
      <w:pPr>
        <w:pStyle w:val="BodyText"/>
      </w:pPr>
      <w:r>
        <w:t xml:space="preserve">The Palmach survived the failure. The British SOE continued the collaboration. The Palmach’s companies were trained, equipped, and stationed across the Yishuv’s agricultural settlements through 1941 and 1942 in an arrangement — known as the kibbutz hachshara — under which Palmach members spent half their time in agricultural work in the host kibbutz and half their time in military training, with the kibbutz absorbing the cost of housing and food. The arrangement, which Sadeh had personally negotiated with the kibbutz movement, produced two things that mattered for the next decade. It produced an operational reserve of trained men who could be mobilized from across the country within hours. And it embedded the Palmach into the social and political center of the Labor-Zionist kibbutz movement to a degree that no other Yishuv military body had ever been embedded.</w:t>
      </w:r>
      <w:r>
        <w:rPr>
          <w:rStyle w:val="EndnoteReference"/>
        </w:rPr>
        <w:endnoteReference w:id="127"/>
      </w:r>
    </w:p>
    <w:p>
      <w:pPr>
        <w:pStyle w:val="BodyText"/>
      </w:pPr>
      <w:r>
        <w:t xml:space="preserve">Sadeh commanded the Palmach until 1945, when, at the age of fifty-five, he handed off the command to his closest protégé, Yigal Allon, and took up a senior staff role in the Haganah’s general command. Through 1945 and 1946 and 1947 the Palmach grew, operated against the late-Mandate British administration in support of illegal Jewish immigration and against Arab paramilitary forces along the borders, and prepared — under Sadeh’s continued senior supervision — for the war that the Yishuv’s leadership knew was coming.</w:t>
      </w:r>
      <w:r>
        <w:rPr>
          <w:rStyle w:val="EndnoteReference"/>
        </w:rPr>
        <w:endnoteReference w:id="128"/>
      </w:r>
    </w:p>
    <w:bookmarkEnd w:id="129"/>
    <w:bookmarkStart w:id="137" w:name="the-last-four-years"/>
    <w:p>
      <w:pPr>
        <w:pStyle w:val="Heading2"/>
      </w:pPr>
      <w:r>
        <w:t xml:space="preserve">2.14 The Last Four Years</w:t>
      </w:r>
    </w:p>
    <w:p>
      <w:pPr>
        <w:pStyle w:val="FirstParagraph"/>
      </w:pPr>
      <w:r>
        <w:t xml:space="preserve">The war came on the night of the thirtieth of November 1947, the day after the United Nations General Assembly voted in favor of the partition of Palestine into a Jewish state and an Arab state. The fighting opened with attacks by Arab paramilitary forces on Jewish road convoys, Jewish settlements, and the Jewish neighborhoods of mixed cities. It continued, in escalating intensity, through the winter and spring of 1948. On the fifteenth of May 1948, the day after David Ben-Gurion declared the establishment of the State of Israel in Tel Aviv, the regular armies of Egypt, Transjordan, Syria, Lebanon, and Iraq invaded the new state.</w:t>
      </w:r>
      <w:r>
        <w:rPr>
          <w:rStyle w:val="EndnoteReference"/>
        </w:rPr>
        <w:endnoteReference w:id="130"/>
      </w:r>
    </w:p>
    <w:p>
      <w:pPr>
        <w:pStyle w:val="BodyText"/>
      </w:pPr>
      <w:r>
        <w:t xml:space="preserve">Sadeh’s role in the 1948 war was operational and consequential. He commanded the 8th Armored Brigade — the new IDF’s first armored formation, hastily assembled in the summer of 1948 from a combination of Palmach veterans, recent immigrants from the displaced-persons camps of Europe, and the limited inventory of armored vehicles the new state had been able to acquire. He led the brigade in the southern campaign of the autumn of 1948 — Operation Yoav, Operation Lot, and the breakthrough into the Negev that culminated in the capture of Beersheba on the twenty-first of October 1948. By the end of the southern campaign he was, by the operational record, one of the two or three most decorated field commanders of the new army.</w:t>
      </w:r>
      <w:r>
        <w:rPr>
          <w:rStyle w:val="EndnoteReference"/>
        </w:rPr>
        <w:endnoteReference w:id="131"/>
      </w:r>
    </w:p>
    <w:p>
      <w:pPr>
        <w:pStyle w:val="BodyText"/>
      </w:pPr>
      <w:r>
        <w:t xml:space="preserve">He was also, by November 1948, on the wrong side of an institutional struggle whose outcome would determine the next phase of his life.</w:t>
      </w:r>
    </w:p>
    <w:p>
      <w:pPr>
        <w:pStyle w:val="BodyText"/>
      </w:pPr>
      <w:r>
        <w:t xml:space="preserve">The struggle had not begun in November 1948. It had begun in the spring of 1947, during the six-week intensive self-tutorial that Ben-Gurion conducted in his Tel Aviv apartment as he prepared to assume the security portfolio that the recently concluded Twenty-Second Zionist Congress had assigned him. Across late March and April 1947, in his apartment at 17 Keren Kayemet Boulevard, Ben-Gurion debriefed dozens of Haganah commanders on the state of the organization. The notebooks he filled during what he called his</w:t>
      </w:r>
      <w:r>
        <w:t xml:space="preserve"> </w:t>
      </w:r>
      <w:r>
        <w:t xml:space="preserve">“</w:t>
      </w:r>
      <w:r>
        <w:t xml:space="preserve">self-seminar</w:t>
      </w:r>
      <w:r>
        <w:t xml:space="preserve">”</w:t>
      </w:r>
      <w:r>
        <w:t xml:space="preserve"> </w:t>
      </w:r>
      <w:r>
        <w:t xml:space="preserve">— the black notebooks for which he would later be remembered — recorded his judgments on the senior figures of the Haganah’s command. Of Sadeh, he recorded the assessment of Moshe Carmel, then commander of the Haganah’s Northern District:</w:t>
      </w:r>
      <w:r>
        <w:t xml:space="preserve"> </w:t>
      </w:r>
      <w:r>
        <w:t xml:space="preserve">“</w:t>
      </w:r>
      <w:r>
        <w:t xml:space="preserve">the acting chief of staff, Yitzhak Sadeh — he is not an organizational man but a man of action.</w:t>
      </w:r>
      <w:r>
        <w:t xml:space="preserve">”</w:t>
      </w:r>
      <w:r>
        <w:t xml:space="preserve"> </w:t>
      </w:r>
      <w:r>
        <w:t xml:space="preserve">Ben-Gurion did not dispute the framing. Two months later, in the memorandum he circulated to the Haganah leadership on 18 June 1947, he announced that the current senior leadership, including Sadeh, would be replaced. Yaakov Dori, who had served as chief of staff until 1945, would be brought back to the position. The institutional logic that would, eighteen months later, produce the dissolution of the Palmach general staff was already in place. Ben-Gurion was, in the late summer of 1948, finishing the work he had begun in the spring of 1947.</w:t>
      </w:r>
      <w:r>
        <w:rPr>
          <w:rStyle w:val="EndnoteReference"/>
        </w:rPr>
        <w:endnoteReference w:id="132"/>
      </w:r>
    </w:p>
    <w:p>
      <w:pPr>
        <w:pStyle w:val="BodyText"/>
      </w:pPr>
      <w:r>
        <w:t xml:space="preserve">Years later, in a 1966 conversation with the historian Mordechai Naor, Ben-Gurion would describe the doctrinal incompatibility that had stood behind the institutional decision.</w:t>
      </w:r>
      <w:r>
        <w:t xml:space="preserve"> </w:t>
      </w:r>
      <w:r>
        <w:t xml:space="preserve">“</w:t>
      </w:r>
      <w:r>
        <w:t xml:space="preserve">Imagine,</w:t>
      </w:r>
      <w:r>
        <w:t xml:space="preserve">”</w:t>
      </w:r>
      <w:r>
        <w:t xml:space="preserve"> </w:t>
      </w:r>
      <w:r>
        <w:t xml:space="preserve">he told Naor,</w:t>
      </w:r>
      <w:r>
        <w:t xml:space="preserve"> </w:t>
      </w:r>
      <w:r>
        <w:t xml:space="preserve">“</w:t>
      </w:r>
      <w:r>
        <w:t xml:space="preserve">that one of the senior commanders told me:</w:t>
      </w:r>
      <w:r>
        <w:t xml:space="preserve"> </w:t>
      </w:r>
      <w:r>
        <w:t xml:space="preserve">‘</w:t>
      </w:r>
      <w:r>
        <w:t xml:space="preserve">A platoon must not have a machine gun — it will be a burden when it has to hide in the mountains or orchards.</w:t>
      </w:r>
      <w:r>
        <w:t xml:space="preserve">’</w:t>
      </w:r>
      <w:r>
        <w:t xml:space="preserve"> </w:t>
      </w:r>
      <w:r>
        <w:t xml:space="preserve">They compared themselves to partisans in Russia and didn’t notice that we faced a war against regular armies.</w:t>
      </w:r>
      <w:r>
        <w:t xml:space="preserve">”</w:t>
      </w:r>
      <w:r>
        <w:t xml:space="preserve"> </w:t>
      </w:r>
      <w:r>
        <w:t xml:space="preserve">The</w:t>
      </w:r>
      <w:r>
        <w:t xml:space="preserve"> </w:t>
      </w:r>
      <w:r>
        <w:t xml:space="preserve">“</w:t>
      </w:r>
      <w:r>
        <w:t xml:space="preserve">they</w:t>
      </w:r>
      <w:r>
        <w:t xml:space="preserve">”</w:t>
      </w:r>
      <w:r>
        <w:t xml:space="preserve"> </w:t>
      </w:r>
      <w:r>
        <w:t xml:space="preserve">was the Palmach generation that Sadeh had built. The</w:t>
      </w:r>
      <w:r>
        <w:t xml:space="preserve"> </w:t>
      </w:r>
      <w:r>
        <w:t xml:space="preserve">“</w:t>
      </w:r>
      <w:r>
        <w:t xml:space="preserve">we</w:t>
      </w:r>
      <w:r>
        <w:t xml:space="preserve">”</w:t>
      </w:r>
      <w:r>
        <w:t xml:space="preserve"> </w:t>
      </w:r>
      <w:r>
        <w:t xml:space="preserve">was the conventional army that Ben-Gurion was preparing for in 1947 and that he would create in 1948. The institutional question that had stood between Sadeh and Ben-Gurion since the early 1940s — partisan-style irregular force versus conventional regular army — would be answered, after Sadeh’s removal, in Ben-Gurion’s favor.</w:t>
      </w:r>
      <w:r>
        <w:rPr>
          <w:rStyle w:val="EndnoteReference"/>
        </w:rPr>
        <w:endnoteReference w:id="133"/>
      </w:r>
    </w:p>
    <w:p>
      <w:pPr>
        <w:pStyle w:val="BodyText"/>
      </w:pPr>
      <w:r>
        <w:t xml:space="preserve">The struggle was with David Ben-Gurion. Ben-Gurion’s view, by the late summer of 1948, was that the new state required a conventional, professional, hierarchical military that was politically subordinate to the elected civilian government and institutionally independent of the labor-Zionist political movements out of which the Yishuv’s pre-state military bodies had emerged. The Palmach, in his view, was both unacceptably political — its officer corps was overwhelmingly affiliated with the kibbutz movement and with the parties to the left of Ben-Gurion’s Mapai — and unacceptably autonomous, with its own general staff, its own command structure, and its own institutional culture. The Haganah’s general staff he had already folded into the new IDF’s general staff. The Palmach’s general staff, in his view, had to be dissolved as well.</w:t>
      </w:r>
      <w:r>
        <w:rPr>
          <w:rStyle w:val="EndnoteReference"/>
        </w:rPr>
        <w:endnoteReference w:id="134"/>
      </w:r>
    </w:p>
    <w:p>
      <w:pPr>
        <w:pStyle w:val="BodyText"/>
      </w:pPr>
      <w:r>
        <w:t xml:space="preserve">On the seventh of November 1948, Ben-Gurion issued the order. The Palmach general staff was dissolved. Its officers were either folded into the new IDF’s regular command structure or — in the cases of those whose political affiliations or institutional loyalties made absorption impossible — quietly retired. Sadeh, who had presided over the founding of the Palmach seven years earlier and who had remained, even after handing the command to Allon, the institutional figure under whose general supervision the Palmach operated, was placed in the second category. He completed his command of the 8th Brigade through the end of major hostilities, and was then, in stages between the spring of 1949 and the autumn of 1950, eased out of active service.</w:t>
      </w:r>
      <w:r>
        <w:rPr>
          <w:rStyle w:val="EndnoteReference"/>
        </w:rPr>
        <w:endnoteReference w:id="135"/>
      </w:r>
    </w:p>
    <w:p>
      <w:pPr>
        <w:pStyle w:val="BodyText"/>
      </w:pPr>
      <w:r>
        <w:t xml:space="preserve">He spent the last four years of his life in Tel Aviv. He wrote. He published The Notebook Is Open: First Episode, the autobiographical volume that he had been planning for two decades, in 1951; the second volume, on which he had been working in the spring of 1952, was never completed. He lectured at the Hebrew University and at small adult-education programs in the kibbutzim. He maintained the personal friendships he had built across the labor-Zionist intellectual world over thirty years. He was, by the recollections of the writers who saw him in those years, neither bitter nor reconciled — simply, in the manner of a man who had completed the work that he had been able to do, finished. The cancer was diagnosed in the autumn of 1951. He kept the news from all but his closest friends. He died on the twentieth of August 1952.</w:t>
      </w:r>
      <w:r>
        <w:rPr>
          <w:rStyle w:val="EndnoteReference"/>
        </w:rPr>
        <w:endnoteReference w:id="136"/>
      </w:r>
    </w:p>
    <w:p>
      <w:pPr>
        <w:pStyle w:val="BodyText"/>
      </w:pPr>
      <w:r>
        <w:t xml:space="preserve">The funeral procession that, in the opening pages of this chapter, moved from Ha-Sharon Hospital to the Histadrut headquarters and on to the cemetery at Givat Brenner was the institutional acknowledgment of what Sadeh had built. What Galili said at the graveside was the simpler version of the larger thing: that Yitzhak Sadeh had set the Yishuv on its trajectory of irregular warfare, that he had introduced the future commanders of the army to the principles of military reconnaissance, that he had taught them how to fight while hating war. The analytical language for saying more than that — for placing Sadeh inside the longer arc of national military adaptation, for naming the institutional conditions under which the FOSH had been able to exist — would not be available for another fifty years, and was not, at the graveside, what was wanted.</w:t>
      </w:r>
    </w:p>
    <w:p>
      <w:pPr>
        <w:pStyle w:val="BodyText"/>
      </w:pPr>
      <w:r>
        <w:t xml:space="preserve">The cemetery at Givat Brenner closed behind the cortege as the last light of the August afternoon left the kibbutz fields. Yigal Allon walked back to the car that had brought him. Moshe Dayan walked beside him. They had carried the casket together from Beit Ha-Bima five hours earlier; they had walked behind it through the procession of the Palmach veterans; they had stood through the eulogies. Neither said much on the drive back to Tel Aviv. They had been Sadeh’s protégés for fifteen years. They were now the senior figures in the army he had helped build.</w:t>
      </w:r>
    </w:p>
    <w:p>
      <w:pPr>
        <w:pStyle w:val="BodyText"/>
      </w:pPr>
      <w:r>
        <w:t xml:space="preserve">But the army they had inherited was new, and the world it had been built inside was changing. The doctrinal materials that Sadeh had assembled in his sixty-two years — the Russian Civil War partisan tradition, the British irregular tradition that Wingate and the Special Night Squads had transmitted, the maritime tradecraft of the POM, the operational logic of the Palmach companies — had been put together in the conditions of the late Mandate and the 1948 war. The conditions of the early 1950s were going to be different. The chapter that follows leaves Givat Brenner and August 1952, and opens eleven years earlier, in the western desert outside Cairo, in the operational architecture that the British Special Operations Executive and a small number of unconventional British officers were beginning to construct, in the summer of 1941, against the German and Italian forces then advancing along the North African coast.</w:t>
      </w:r>
    </w:p>
    <w:bookmarkEnd w:id="137"/>
    <w:bookmarkStart w:id="138" w:name="notes"/>
    <w:p>
      <w:pPr>
        <w:pStyle w:val="Heading2"/>
      </w:pPr>
      <w:r>
        <w:t xml:space="preserve">Notes</w:t>
      </w:r>
    </w:p>
    <w:bookmarkEnd w:id="138"/>
    <w:bookmarkEnd w:id="139"/>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20">
    <w:p>
      <w:pPr>
        <w:pStyle w:val="EndnoteText"/>
      </w:pPr>
      <w:r>
        <w:rPr>
          <w:rStyle w:val="EndnoteReference"/>
        </w:rPr>
        <w:endnoteRef/>
      </w:r>
      <w:r>
        <w:t xml:space="preserve"> </w:t>
      </w:r>
      <w:r>
        <w:t xml:space="preserve">Uri Avnery,</w:t>
      </w:r>
      <w:r>
        <w:t xml:space="preserve"> </w:t>
      </w:r>
      <w:r>
        <w:t xml:space="preserve">“</w:t>
      </w:r>
      <w:r>
        <w:t xml:space="preserve">Yitzhak Sadeh: The End of an Era</w:t>
      </w:r>
      <w:r>
        <w:t xml:space="preserve">”</w:t>
      </w:r>
      <w:r>
        <w:t xml:space="preserve"> </w:t>
      </w:r>
      <w:r>
        <w:t xml:space="preserve">[Hebrew], HaOlam HaZeh 774 (28 August 1952), https://thisworld.online/1952/774. [1a] Same source. [2] Same source plus Davar, August 22, 1952; Slutsky, Avigur, and Rivlin, Haganah Short History. [3] Davar, August 22, 1952,</w:t>
      </w:r>
      <w:r>
        <w:t xml:space="preserve"> </w:t>
      </w:r>
      <w:r>
        <w:t xml:space="preserve">“</w:t>
      </w:r>
      <w:r>
        <w:t xml:space="preserve">Major General Yitzhak Sadeh Laid to Rest in Givat Brenner.</w:t>
      </w:r>
      <w:r>
        <w:t xml:space="preserve">”</w:t>
      </w:r>
      <w:r>
        <w:t xml:space="preserve"> </w:t>
      </w:r>
      <w:r>
        <w:t xml:space="preserve">[4] Same source; Ben-Eliezer, The Making of Israeli Militarism (Indiana, 1998). [5] Same source. [6] Shapira, Yosef Haim Brenner: A Life (Stanford, 2014), 50–51. [7] Davar, August 22, 1952. [8] Same source; Sadeh, Writings (Hakibbutz Hameuchad, 1980), vol. 1. [9] Ben-Eliezer, Making, 69–71. [10] Galili’s eulogy, Davar, August 22, 1952. [11] Ben-Eliezer 1998; Markovitzki, Palmach’s Special Ground Units (Ministry of Defense, 1989). [12] Dror, Zvika. The Life and Times of Yitzhak Sadeh (Hakibbutz Hameuchad, 1996). [13] Dror 1996; Shraga Bar-Sela, Between the Storm and the Spirit: The Life and Thought of Hillel Zeitlin (Hebrew; Ha-Kibbutz Ha-Meuchad, 1999); Bar-Sela, same.</w:t>
      </w:r>
    </w:p>
  </w:endnote>
  <w:endnote w:id="21">
    <w:p>
      <w:pPr>
        <w:pStyle w:val="EndnoteText"/>
      </w:pPr>
      <w:r>
        <w:rPr>
          <w:rStyle w:val="EndnoteReference"/>
        </w:rPr>
        <w:endnoteRef/>
      </w:r>
      <w:r>
        <w:t xml:space="preserve"> </w:t>
      </w:r>
      <w:r>
        <w:t xml:space="preserve">[CITATION MISSING — no note text in the draft]</w:t>
      </w:r>
    </w:p>
  </w:endnote>
  <w:endnote w:id="22">
    <w:p>
      <w:pPr>
        <w:pStyle w:val="EndnoteText"/>
      </w:pPr>
      <w:r>
        <w:rPr>
          <w:rStyle w:val="EndnoteReference"/>
        </w:rPr>
        <w:endnoteRef/>
      </w:r>
      <w:r>
        <w:t xml:space="preserve"> </w:t>
      </w:r>
      <w:r>
        <w:t xml:space="preserve">[CITATION MISSING — no note text in the draft]</w:t>
      </w:r>
    </w:p>
  </w:endnote>
  <w:endnote w:id="23">
    <w:p>
      <w:pPr>
        <w:pStyle w:val="EndnoteText"/>
      </w:pPr>
      <w:r>
        <w:rPr>
          <w:rStyle w:val="EndnoteReference"/>
        </w:rPr>
        <w:endnoteRef/>
      </w:r>
      <w:r>
        <w:t xml:space="preserve"> </w:t>
      </w:r>
      <w:r>
        <w:t xml:space="preserve">[CITATION MISSING — no note text in the draft]</w:t>
      </w:r>
    </w:p>
  </w:endnote>
  <w:endnote w:id="24">
    <w:p>
      <w:pPr>
        <w:pStyle w:val="EndnoteText"/>
      </w:pPr>
      <w:r>
        <w:rPr>
          <w:rStyle w:val="EndnoteReference"/>
        </w:rPr>
        <w:endnoteRef/>
      </w:r>
      <w:r>
        <w:t xml:space="preserve"> </w:t>
      </w:r>
      <w:r>
        <w:t xml:space="preserve">[CITATION MISSING — no note text in the draft]</w:t>
      </w:r>
    </w:p>
  </w:endnote>
  <w:endnote w:id="25">
    <w:p>
      <w:pPr>
        <w:pStyle w:val="EndnoteText"/>
      </w:pPr>
      <w:r>
        <w:rPr>
          <w:rStyle w:val="EndnoteReference"/>
        </w:rPr>
        <w:endnoteRef/>
      </w:r>
      <w:r>
        <w:t xml:space="preserve"> </w:t>
      </w:r>
      <w:r>
        <w:t xml:space="preserve">[CITATION MISSING — no note text in the draft]</w:t>
      </w:r>
    </w:p>
  </w:endnote>
  <w:endnote w:id="26">
    <w:p>
      <w:pPr>
        <w:pStyle w:val="EndnoteText"/>
      </w:pPr>
      <w:r>
        <w:rPr>
          <w:rStyle w:val="EndnoteReference"/>
        </w:rPr>
        <w:endnoteRef/>
      </w:r>
      <w:r>
        <w:t xml:space="preserve"> </w:t>
      </w:r>
      <w:r>
        <w:t xml:space="preserve">[CITATION MISSING — no note text in the draft]</w:t>
      </w:r>
    </w:p>
  </w:endnote>
  <w:endnote w:id="27">
    <w:p>
      <w:pPr>
        <w:pStyle w:val="EndnoteText"/>
      </w:pPr>
      <w:r>
        <w:rPr>
          <w:rStyle w:val="EndnoteReference"/>
        </w:rPr>
        <w:endnoteRef/>
      </w:r>
      <w:r>
        <w:t xml:space="preserve"> </w:t>
      </w:r>
      <w:r>
        <w:t xml:space="preserve">[CITATION MISSING — no note text in the draft]</w:t>
      </w:r>
    </w:p>
  </w:endnote>
  <w:endnote w:id="28">
    <w:p>
      <w:pPr>
        <w:pStyle w:val="EndnoteText"/>
      </w:pPr>
      <w:r>
        <w:rPr>
          <w:rStyle w:val="EndnoteReference"/>
        </w:rPr>
        <w:endnoteRef/>
      </w:r>
      <w:r>
        <w:t xml:space="preserve"> </w:t>
      </w:r>
      <w:r>
        <w:t xml:space="preserve">[CITATION MISSING — no note text in the draft]</w:t>
      </w:r>
    </w:p>
  </w:endnote>
  <w:endnote w:id="29">
    <w:p>
      <w:pPr>
        <w:pStyle w:val="EndnoteText"/>
      </w:pPr>
      <w:r>
        <w:rPr>
          <w:rStyle w:val="EndnoteReference"/>
        </w:rPr>
        <w:endnoteRef/>
      </w:r>
      <w:r>
        <w:t xml:space="preserve"> </w:t>
      </w:r>
      <w:r>
        <w:t xml:space="preserve">[CITATION MISSING — no note text in the draft]</w:t>
      </w:r>
    </w:p>
  </w:endnote>
  <w:endnote w:id="30">
    <w:p>
      <w:pPr>
        <w:pStyle w:val="EndnoteText"/>
      </w:pPr>
      <w:r>
        <w:rPr>
          <w:rStyle w:val="EndnoteReference"/>
        </w:rPr>
        <w:endnoteRef/>
      </w:r>
      <w:r>
        <w:t xml:space="preserve"> </w:t>
      </w:r>
      <w:r>
        <w:t xml:space="preserve">[CITATION MISSING — no note text in the draft]</w:t>
      </w:r>
    </w:p>
  </w:endnote>
  <w:endnote w:id="31">
    <w:p>
      <w:pPr>
        <w:pStyle w:val="EndnoteText"/>
      </w:pPr>
      <w:r>
        <w:rPr>
          <w:rStyle w:val="EndnoteReference"/>
        </w:rPr>
        <w:endnoteRef/>
      </w:r>
      <w:r>
        <w:t xml:space="preserve"> </w:t>
      </w:r>
      <w:r>
        <w:t xml:space="preserve">[CITATION MISSING — no note text in the draft]</w:t>
      </w:r>
    </w:p>
  </w:endnote>
  <w:endnote w:id="33">
    <w:p>
      <w:pPr>
        <w:pStyle w:val="EndnoteText"/>
      </w:pPr>
      <w:r>
        <w:rPr>
          <w:rStyle w:val="EndnoteReference"/>
        </w:rPr>
        <w:endnoteRef/>
      </w:r>
      <w:r>
        <w:t xml:space="preserve"> </w:t>
      </w:r>
      <w:r>
        <w:t xml:space="preserve">[CITATION MISSING — no note text in the draft]</w:t>
      </w:r>
    </w:p>
  </w:endnote>
  <w:endnote w:id="34">
    <w:p>
      <w:pPr>
        <w:pStyle w:val="EndnoteText"/>
      </w:pPr>
      <w:r>
        <w:rPr>
          <w:rStyle w:val="EndnoteReference"/>
        </w:rPr>
        <w:endnoteRef/>
      </w:r>
      <w:r>
        <w:t xml:space="preserve"> </w:t>
      </w:r>
      <w:r>
        <w:t xml:space="preserve">[CITATION MISSING — no note text in the draft]</w:t>
      </w:r>
    </w:p>
  </w:endnote>
  <w:endnote w:id="35">
    <w:p>
      <w:pPr>
        <w:pStyle w:val="EndnoteText"/>
      </w:pPr>
      <w:r>
        <w:rPr>
          <w:rStyle w:val="EndnoteReference"/>
        </w:rPr>
        <w:endnoteRef/>
      </w:r>
      <w:r>
        <w:t xml:space="preserve"> </w:t>
      </w:r>
      <w:r>
        <w:t xml:space="preserve">Michael Ignatieff, Isaiah Berlin: A Life (London: Chatto &amp; Windus, 1998); Ignatieff, same; Isaiah Berlin,</w:t>
      </w:r>
      <w:r>
        <w:t xml:space="preserve"> </w:t>
      </w:r>
      <w:r>
        <w:t xml:space="preserve">“</w:t>
      </w:r>
      <w:r>
        <w:t xml:space="preserve">The Three Strands in My Life,</w:t>
      </w:r>
      <w:r>
        <w:t xml:space="preserve">”</w:t>
      </w:r>
      <w:r>
        <w:t xml:space="preserve"> </w:t>
      </w:r>
      <w:r>
        <w:t xml:space="preserve">in Personal Impressions, ed. Henry Hardy (Princeton: Princeton University Press, 1980).</w:t>
      </w:r>
    </w:p>
  </w:endnote>
  <w:endnote w:id="36">
    <w:p>
      <w:pPr>
        <w:pStyle w:val="EndnoteText"/>
      </w:pPr>
      <w:r>
        <w:rPr>
          <w:rStyle w:val="EndnoteReference"/>
        </w:rPr>
        <w:endnoteRef/>
      </w:r>
      <w:r>
        <w:t xml:space="preserve"> </w:t>
      </w:r>
      <w:r>
        <w:t xml:space="preserve">Todd Samuel Presner, Muscular Judaism: The Jewish Body and the Politics of Regeneration (London: Routledge, 2007); Presner, chap. 2; Dror 1996. [14] Sadeh, Yitzhak. The Notebook Is Open: First Episode (Tel-Aviv: HaKibbutz HaMeuchad, 1951), 17–34. [15] Dror 1996, 25–40; Sadeh, Writings, vol. 1,</w:t>
      </w:r>
      <w:r>
        <w:t xml:space="preserve"> </w:t>
      </w:r>
      <w:r>
        <w:t xml:space="preserve">“</w:t>
      </w:r>
      <w:r>
        <w:t xml:space="preserve">On My Father.</w:t>
      </w:r>
      <w:r>
        <w:t xml:space="preserve">”</w:t>
      </w:r>
      <w:r>
        <w:t xml:space="preserve"> </w:t>
      </w:r>
      <w:r>
        <w:t xml:space="preserve">[16] Sadeh, Notebook Is Open, 35–48; Dror 1996, 40–55. [17] Dror 1996, 55–70. [18] [TK] [19] Dror 1996, 70–85. [20] Sadeh [as Valerian Kazinski].</w:t>
      </w:r>
      <w:r>
        <w:t xml:space="preserve"> </w:t>
      </w:r>
      <w:r>
        <w:t xml:space="preserve">“</w:t>
      </w:r>
      <w:r>
        <w:t xml:space="preserve">Memories of a Partisan in Russia, Paskov 1918.</w:t>
      </w:r>
      <w:r>
        <w:t xml:space="preserve">”</w:t>
      </w:r>
      <w:r>
        <w:t xml:space="preserve"> </w:t>
      </w:r>
      <w:r>
        <w:t xml:space="preserve">Maarachot 11 (1942): 4; Sadeh, The Notebook Is Open (1951); Dror 1996. [21] [TK] [22] Same as [21]. [23] Dror 1996, 90–105. [23a] Uri Avnery,</w:t>
      </w:r>
      <w:r>
        <w:t xml:space="preserve"> </w:t>
      </w:r>
      <w:r>
        <w:t xml:space="preserve">“</w:t>
      </w:r>
      <w:r>
        <w:t xml:space="preserve">Yitzhak Sadeh: The End of an Era</w:t>
      </w:r>
      <w:r>
        <w:t xml:space="preserve">”</w:t>
      </w:r>
      <w:r>
        <w:t xml:space="preserve"> </w:t>
      </w:r>
      <w:r>
        <w:t xml:space="preserve">[Hebrew], HaOlam HaZeh 774 (28 August 1952), https://thisworld.online/1952/774. [24] Sadeh [Kazinski] 1942; Dror 1996. [25] Dror 1996, 105–120. [26] Same. [27] Bell, The Russian Civil War (Stanford, 1987); Dror 1996, 115–130. [28] Sadeh [Kazinski] 1942. [29] Gelber, Jewish Palestinian Volunteers in the British Army during the Second World War (Yad Izhak Ben-Zvi, 1984), vol. 1. [30] Dror 1996, 130–145. [30a] Uri Avnery,</w:t>
      </w:r>
      <w:r>
        <w:t xml:space="preserve"> </w:t>
      </w:r>
      <w:r>
        <w:t xml:space="preserve">“</w:t>
      </w:r>
      <w:r>
        <w:t xml:space="preserve">Yitzhak Sadeh: The End of an Era</w:t>
      </w:r>
      <w:r>
        <w:t xml:space="preserve">”</w:t>
      </w:r>
      <w:r>
        <w:t xml:space="preserve"> </w:t>
      </w:r>
      <w:r>
        <w:t xml:space="preserve">[Hebrew], HaOlam HaZeh 774 (28 August 1952), https://thisworld.online/1952/774.</w:t>
      </w:r>
    </w:p>
  </w:endnote>
  <w:endnote w:id="37">
    <w:p>
      <w:pPr>
        <w:pStyle w:val="EndnoteText"/>
      </w:pPr>
      <w:r>
        <w:rPr>
          <w:rStyle w:val="EndnoteReference"/>
        </w:rPr>
        <w:endnoteRef/>
      </w:r>
      <w:r>
        <w:t xml:space="preserve"> </w:t>
      </w:r>
      <w:r>
        <w:t xml:space="preserve">[CITATION MISSING — no note text in the draft]</w:t>
      </w:r>
    </w:p>
  </w:endnote>
  <w:endnote w:id="38">
    <w:p>
      <w:pPr>
        <w:pStyle w:val="EndnoteText"/>
      </w:pPr>
      <w:r>
        <w:rPr>
          <w:rStyle w:val="EndnoteReference"/>
        </w:rPr>
        <w:endnoteRef/>
      </w:r>
      <w:r>
        <w:t xml:space="preserve"> </w:t>
      </w:r>
      <w:r>
        <w:t xml:space="preserve">[CITATION MISSING — no note text in the draft]</w:t>
      </w:r>
    </w:p>
  </w:endnote>
  <w:endnote w:id="39">
    <w:p>
      <w:pPr>
        <w:pStyle w:val="EndnoteText"/>
      </w:pPr>
      <w:r>
        <w:rPr>
          <w:rStyle w:val="EndnoteReference"/>
        </w:rPr>
        <w:endnoteRef/>
      </w:r>
      <w:r>
        <w:t xml:space="preserve"> </w:t>
      </w:r>
      <w:r>
        <w:t xml:space="preserve">[CITATION MISSING — no note text in the draft]</w:t>
      </w:r>
    </w:p>
  </w:endnote>
  <w:endnote w:id="40">
    <w:p>
      <w:pPr>
        <w:pStyle w:val="EndnoteText"/>
      </w:pPr>
      <w:r>
        <w:rPr>
          <w:rStyle w:val="EndnoteReference"/>
        </w:rPr>
        <w:endnoteRef/>
      </w:r>
      <w:r>
        <w:t xml:space="preserve"> </w:t>
      </w:r>
      <w:r>
        <w:t xml:space="preserve">[CITATION MISSING — no note text in the draft]</w:t>
      </w:r>
    </w:p>
  </w:endnote>
  <w:endnote w:id="41">
    <w:p>
      <w:pPr>
        <w:pStyle w:val="EndnoteText"/>
      </w:pPr>
      <w:r>
        <w:rPr>
          <w:rStyle w:val="EndnoteReference"/>
        </w:rPr>
        <w:endnoteRef/>
      </w:r>
      <w:r>
        <w:t xml:space="preserve"> </w:t>
      </w:r>
      <w:r>
        <w:t xml:space="preserve">[CITATION MISSING — no note text in the draft]</w:t>
      </w:r>
    </w:p>
  </w:endnote>
  <w:endnote w:id="43">
    <w:p>
      <w:pPr>
        <w:pStyle w:val="EndnoteText"/>
      </w:pPr>
      <w:r>
        <w:rPr>
          <w:rStyle w:val="EndnoteReference"/>
        </w:rPr>
        <w:endnoteRef/>
      </w:r>
      <w:r>
        <w:t xml:space="preserve"> </w:t>
      </w:r>
      <w:r>
        <w:t xml:space="preserve">[CITATION MISSING — no note text in the draft]</w:t>
      </w:r>
    </w:p>
  </w:endnote>
  <w:endnote w:id="44">
    <w:p>
      <w:pPr>
        <w:pStyle w:val="EndnoteText"/>
      </w:pPr>
      <w:r>
        <w:rPr>
          <w:rStyle w:val="EndnoteReference"/>
        </w:rPr>
        <w:endnoteRef/>
      </w:r>
      <w:r>
        <w:t xml:space="preserve"> </w:t>
      </w:r>
      <w:r>
        <w:t xml:space="preserve">[CITATION MISSING — no note text in the draft]</w:t>
      </w:r>
    </w:p>
  </w:endnote>
  <w:endnote w:id="45">
    <w:p>
      <w:pPr>
        <w:pStyle w:val="EndnoteText"/>
      </w:pPr>
      <w:r>
        <w:rPr>
          <w:rStyle w:val="EndnoteReference"/>
        </w:rPr>
        <w:endnoteRef/>
      </w:r>
      <w:r>
        <w:t xml:space="preserve"> </w:t>
      </w:r>
      <w:r>
        <w:t xml:space="preserve">[CITATION MISSING — no note text in the draft]</w:t>
      </w:r>
    </w:p>
  </w:endnote>
  <w:endnote w:id="46">
    <w:p>
      <w:pPr>
        <w:pStyle w:val="EndnoteText"/>
      </w:pPr>
      <w:r>
        <w:rPr>
          <w:rStyle w:val="EndnoteReference"/>
        </w:rPr>
        <w:endnoteRef/>
      </w:r>
      <w:r>
        <w:t xml:space="preserve"> </w:t>
      </w:r>
      <w:r>
        <w:t xml:space="preserve">[CITATION MISSING — no note text in the draft]</w:t>
      </w:r>
    </w:p>
  </w:endnote>
  <w:endnote w:id="47">
    <w:p>
      <w:pPr>
        <w:pStyle w:val="EndnoteText"/>
      </w:pPr>
      <w:r>
        <w:rPr>
          <w:rStyle w:val="EndnoteReference"/>
        </w:rPr>
        <w:endnoteRef/>
      </w:r>
      <w:r>
        <w:t xml:space="preserve"> </w:t>
      </w:r>
      <w:r>
        <w:t xml:space="preserve">[CITATION MISSING — no note text in the draft]</w:t>
      </w:r>
    </w:p>
  </w:endnote>
  <w:endnote w:id="48">
    <w:p>
      <w:pPr>
        <w:pStyle w:val="EndnoteText"/>
      </w:pPr>
      <w:r>
        <w:rPr>
          <w:rStyle w:val="EndnoteReference"/>
        </w:rPr>
        <w:endnoteRef/>
      </w:r>
      <w:r>
        <w:t xml:space="preserve"> </w:t>
      </w:r>
      <w:r>
        <w:t xml:space="preserve">[CITATION MISSING — no note text in the draft]</w:t>
      </w:r>
    </w:p>
  </w:endnote>
  <w:endnote w:id="50">
    <w:p>
      <w:pPr>
        <w:pStyle w:val="EndnoteText"/>
      </w:pPr>
      <w:r>
        <w:rPr>
          <w:rStyle w:val="EndnoteReference"/>
        </w:rPr>
        <w:endnoteRef/>
      </w:r>
      <w:r>
        <w:t xml:space="preserve"> </w:t>
      </w:r>
      <w:r>
        <w:t xml:space="preserve">[CITATION MISSING — no note text in the draft]</w:t>
      </w:r>
    </w:p>
  </w:endnote>
  <w:endnote w:id="51">
    <w:p>
      <w:pPr>
        <w:pStyle w:val="EndnoteText"/>
      </w:pPr>
      <w:r>
        <w:rPr>
          <w:rStyle w:val="EndnoteReference"/>
        </w:rPr>
        <w:endnoteRef/>
      </w:r>
      <w:r>
        <w:t xml:space="preserve"> </w:t>
      </w:r>
      <w:r>
        <w:t xml:space="preserve">[CITATION MISSING — no note text in the draft]</w:t>
      </w:r>
    </w:p>
  </w:endnote>
  <w:endnote w:id="52">
    <w:p>
      <w:pPr>
        <w:pStyle w:val="EndnoteText"/>
      </w:pPr>
      <w:r>
        <w:rPr>
          <w:rStyle w:val="EndnoteReference"/>
        </w:rPr>
        <w:endnoteRef/>
      </w:r>
      <w:r>
        <w:t xml:space="preserve"> </w:t>
      </w:r>
      <w:r>
        <w:t xml:space="preserve">[CITATION MISSING — no note text in the draft]</w:t>
      </w:r>
    </w:p>
  </w:endnote>
  <w:endnote w:id="53">
    <w:p>
      <w:pPr>
        <w:pStyle w:val="EndnoteText"/>
      </w:pPr>
      <w:r>
        <w:rPr>
          <w:rStyle w:val="EndnoteReference"/>
        </w:rPr>
        <w:endnoteRef/>
      </w:r>
      <w:r>
        <w:t xml:space="preserve"> </w:t>
      </w:r>
      <w:r>
        <w:t xml:space="preserve">[CITATION MISSING — no note text in the draft]</w:t>
      </w:r>
    </w:p>
  </w:endnote>
  <w:endnote w:id="54">
    <w:p>
      <w:pPr>
        <w:pStyle w:val="EndnoteText"/>
      </w:pPr>
      <w:r>
        <w:rPr>
          <w:rStyle w:val="EndnoteReference"/>
        </w:rPr>
        <w:endnoteRef/>
      </w:r>
      <w:r>
        <w:t xml:space="preserve"> </w:t>
      </w:r>
      <w:r>
        <w:t xml:space="preserve">[CITATION MISSING — no note text in the draft]</w:t>
      </w:r>
    </w:p>
  </w:endnote>
  <w:endnote w:id="55">
    <w:p>
      <w:pPr>
        <w:pStyle w:val="EndnoteText"/>
      </w:pPr>
      <w:r>
        <w:rPr>
          <w:rStyle w:val="EndnoteReference"/>
        </w:rPr>
        <w:endnoteRef/>
      </w:r>
      <w:r>
        <w:t xml:space="preserve"> </w:t>
      </w:r>
      <w:r>
        <w:t xml:space="preserve">[CITATION MISSING — no note text in the draft]</w:t>
      </w:r>
    </w:p>
  </w:endnote>
  <w:endnote w:id="56">
    <w:p>
      <w:pPr>
        <w:pStyle w:val="EndnoteText"/>
      </w:pPr>
      <w:r>
        <w:rPr>
          <w:rStyle w:val="EndnoteReference"/>
        </w:rPr>
        <w:endnoteRef/>
      </w:r>
      <w:r>
        <w:t xml:space="preserve"> </w:t>
      </w:r>
      <w:r>
        <w:t xml:space="preserve">[CITATION MISSING — no note text in the draft]</w:t>
      </w:r>
    </w:p>
  </w:endnote>
  <w:endnote w:id="58">
    <w:p>
      <w:pPr>
        <w:pStyle w:val="EndnoteText"/>
      </w:pPr>
      <w:r>
        <w:rPr>
          <w:rStyle w:val="EndnoteReference"/>
        </w:rPr>
        <w:endnoteRef/>
      </w:r>
      <w:r>
        <w:t xml:space="preserve"> </w:t>
      </w:r>
      <w:r>
        <w:t xml:space="preserve">Dagan, Shaul. Joseph Trumpeldor. Jerusalem: Mossad Bialik, 2008; Dagan, Shaul.</w:t>
      </w:r>
      <w:r>
        <w:t xml:space="preserve"> </w:t>
      </w:r>
      <w:r>
        <w:t xml:space="preserve">“</w:t>
      </w:r>
      <w:r>
        <w:t xml:space="preserve">The Secret Kibbutz in the Joseph Trumpeldor Labor and Defense Battalion 1920–1926.</w:t>
      </w:r>
      <w:r>
        <w:t xml:space="preserve">”</w:t>
      </w:r>
      <w:r>
        <w:t xml:space="preserve"> </w:t>
      </w:r>
      <w:r>
        <w:t xml:space="preserve">Rishonim Be’Eretz Yisrael, 3 May 2016. https://perma.cc/6LUL-SB6S. [32] Same sources; also Milstein, Uri.</w:t>
      </w:r>
      <w:r>
        <w:t xml:space="preserve"> </w:t>
      </w:r>
      <w:r>
        <w:t xml:space="preserve">“</w:t>
      </w:r>
      <w:r>
        <w:t xml:space="preserve">100 Years since the Fall of Joseph Trumpeldor, Part One.</w:t>
      </w:r>
      <w:r>
        <w:t xml:space="preserve">”</w:t>
      </w:r>
      <w:r>
        <w:t xml:space="preserve"> </w:t>
      </w:r>
      <w:r>
        <w:t xml:space="preserve">Maariv Online, 29 February 2020. https://www.maariv.co.il/news/military/Article-750963. [33] Sadeh, The Notebook Is Open, 1951; Dror 1996, 145–160. [34] Dror 1996, 160–175. [35] Shapira, Land and Power (Oxford 1992). [36] Milstein,</w:t>
      </w:r>
      <w:r>
        <w:t xml:space="preserve"> </w:t>
      </w:r>
      <w:r>
        <w:t xml:space="preserve">“</w:t>
      </w:r>
      <w:r>
        <w:t xml:space="preserve">100 Years,</w:t>
      </w:r>
      <w:r>
        <w:t xml:space="preserve">”</w:t>
      </w:r>
      <w:r>
        <w:t xml:space="preserve"> </w:t>
      </w:r>
      <w:r>
        <w:t xml:space="preserve">cited above; Shapira, Land and Power. [37] Dror 1996, 175–185. [38] Bachi, The Population of Israel (Jerusalem 1977); Wasserstein, The British in Palestine (Oxford 1991). [39] Alroey, Gur. An Unpromising Land: Jewish Migration to Palestine in the Early Twentieth Century. Stanford, 2014; Dror 1996, 185–200. [40] Karlinsky, Cain and the Architects of the New Hebrew Society; Shapira, Anita. Berl: The Biography of a Socialist Zionist (Cambridge UP, 1984). [41] Shapira, Berl; Dror 1996, 200–215. [42] Dror 1996, 200–215. [43] Dagan,</w:t>
      </w:r>
      <w:r>
        <w:t xml:space="preserve"> </w:t>
      </w:r>
      <w:r>
        <w:t xml:space="preserve">“</w:t>
      </w:r>
      <w:r>
        <w:t xml:space="preserve">The Secret Kibbutz,</w:t>
      </w:r>
      <w:r>
        <w:t xml:space="preserve">”</w:t>
      </w:r>
      <w:r>
        <w:t xml:space="preserve"> </w:t>
      </w:r>
      <w:r>
        <w:t xml:space="preserve">2016; Sternhell, Zeev. The Founding Myths of Israel (Princeton, 1998). [44] Dagan 2016; Sternhell. [45] Dror 1996, 215–245. [46] Shapira, Anita. Yosef Haim Brenner: A Life. Stanford University Press, 2014, 50–51; Shapira, Brenner. [47] Writings (Hakibbutz Hameuchad, 1980, multiple volumes); Reinharz, Shulamit.</w:t>
      </w:r>
      <w:r>
        <w:t xml:space="preserve"> </w:t>
      </w:r>
      <w:r>
        <w:t xml:space="preserve">“</w:t>
      </w:r>
      <w:r>
        <w:t xml:space="preserve">Mania Wilbushewits-Shohat and the Winding Road to Sejera.</w:t>
      </w:r>
      <w:r>
        <w:t xml:space="preserve">”</w:t>
      </w:r>
      <w:r>
        <w:t xml:space="preserve"> </w:t>
      </w:r>
      <w:r>
        <w:t xml:space="preserve">In Pioneers and Homemakers: Jewish Women in Pre-State Israel, ed. Deborah S. Bernstein (SUNY 1992), 97.</w:t>
      </w:r>
    </w:p>
  </w:endnote>
  <w:endnote w:id="59">
    <w:p>
      <w:pPr>
        <w:pStyle w:val="EndnoteText"/>
      </w:pPr>
      <w:r>
        <w:rPr>
          <w:rStyle w:val="EndnoteReference"/>
        </w:rPr>
        <w:endnoteRef/>
      </w:r>
      <w:r>
        <w:t xml:space="preserve"> </w:t>
      </w:r>
      <w:r>
        <w:t xml:space="preserve">[CITATION MISSING — no note text in the draft]</w:t>
      </w:r>
    </w:p>
  </w:endnote>
  <w:endnote w:id="60">
    <w:p>
      <w:pPr>
        <w:pStyle w:val="EndnoteText"/>
      </w:pPr>
      <w:r>
        <w:rPr>
          <w:rStyle w:val="EndnoteReference"/>
        </w:rPr>
        <w:endnoteRef/>
      </w:r>
      <w:r>
        <w:t xml:space="preserve"> </w:t>
      </w:r>
      <w:r>
        <w:t xml:space="preserve">[CITATION MISSING — no note text in the draft]</w:t>
      </w:r>
    </w:p>
  </w:endnote>
  <w:endnote w:id="61">
    <w:p>
      <w:pPr>
        <w:pStyle w:val="EndnoteText"/>
      </w:pPr>
      <w:r>
        <w:rPr>
          <w:rStyle w:val="EndnoteReference"/>
        </w:rPr>
        <w:endnoteRef/>
      </w:r>
      <w:r>
        <w:t xml:space="preserve"> </w:t>
      </w:r>
      <w:r>
        <w:t xml:space="preserve">[CITATION MISSING — no note text in the draft]</w:t>
      </w:r>
    </w:p>
  </w:endnote>
  <w:endnote w:id="62">
    <w:p>
      <w:pPr>
        <w:pStyle w:val="EndnoteText"/>
      </w:pPr>
      <w:r>
        <w:rPr>
          <w:rStyle w:val="EndnoteReference"/>
        </w:rPr>
        <w:endnoteRef/>
      </w:r>
      <w:r>
        <w:t xml:space="preserve"> </w:t>
      </w:r>
      <w:r>
        <w:t xml:space="preserve">[CITATION MISSING — no note text in the draft]</w:t>
      </w:r>
    </w:p>
  </w:endnote>
  <w:endnote w:id="63">
    <w:p>
      <w:pPr>
        <w:pStyle w:val="EndnoteText"/>
      </w:pPr>
      <w:r>
        <w:rPr>
          <w:rStyle w:val="EndnoteReference"/>
        </w:rPr>
        <w:endnoteRef/>
      </w:r>
      <w:r>
        <w:t xml:space="preserve"> </w:t>
      </w:r>
      <w:r>
        <w:t xml:space="preserve">[CITATION MISSING — no note text in the draft]</w:t>
      </w:r>
    </w:p>
  </w:endnote>
  <w:endnote w:id="64">
    <w:p>
      <w:pPr>
        <w:pStyle w:val="EndnoteText"/>
      </w:pPr>
      <w:r>
        <w:rPr>
          <w:rStyle w:val="EndnoteReference"/>
        </w:rPr>
        <w:endnoteRef/>
      </w:r>
      <w:r>
        <w:t xml:space="preserve"> </w:t>
      </w:r>
      <w:r>
        <w:t xml:space="preserve">[CITATION MISSING — no note text in the draft]</w:t>
      </w:r>
    </w:p>
  </w:endnote>
  <w:endnote w:id="65">
    <w:p>
      <w:pPr>
        <w:pStyle w:val="EndnoteText"/>
      </w:pPr>
      <w:r>
        <w:rPr>
          <w:rStyle w:val="EndnoteReference"/>
        </w:rPr>
        <w:endnoteRef/>
      </w:r>
      <w:r>
        <w:t xml:space="preserve"> </w:t>
      </w:r>
      <w:r>
        <w:t xml:space="preserve">[CITATION MISSING — no note text in the draft]</w:t>
      </w:r>
    </w:p>
  </w:endnote>
  <w:endnote w:id="67">
    <w:p>
      <w:pPr>
        <w:pStyle w:val="EndnoteText"/>
      </w:pPr>
      <w:r>
        <w:rPr>
          <w:rStyle w:val="EndnoteReference"/>
        </w:rPr>
        <w:endnoteRef/>
      </w:r>
      <w:r>
        <w:t xml:space="preserve"> </w:t>
      </w:r>
      <w:r>
        <w:t xml:space="preserve">[CITATION MISSING — no note text in the draft]</w:t>
      </w:r>
    </w:p>
  </w:endnote>
  <w:endnote w:id="68">
    <w:p>
      <w:pPr>
        <w:pStyle w:val="EndnoteText"/>
      </w:pPr>
      <w:r>
        <w:rPr>
          <w:rStyle w:val="EndnoteReference"/>
        </w:rPr>
        <w:endnoteRef/>
      </w:r>
      <w:r>
        <w:t xml:space="preserve"> </w:t>
      </w:r>
      <w:r>
        <w:t xml:space="preserve">[CITATION MISSING — no note text in the draft]</w:t>
      </w:r>
    </w:p>
  </w:endnote>
  <w:endnote w:id="69">
    <w:p>
      <w:pPr>
        <w:pStyle w:val="EndnoteText"/>
      </w:pPr>
      <w:r>
        <w:rPr>
          <w:rStyle w:val="EndnoteReference"/>
        </w:rPr>
        <w:endnoteRef/>
      </w:r>
      <w:r>
        <w:t xml:space="preserve"> </w:t>
      </w:r>
      <w:r>
        <w:t xml:space="preserve">[CITATION MISSING — no note text in the draft]</w:t>
      </w:r>
    </w:p>
  </w:endnote>
  <w:endnote w:id="70">
    <w:p>
      <w:pPr>
        <w:pStyle w:val="EndnoteText"/>
      </w:pPr>
      <w:r>
        <w:rPr>
          <w:rStyle w:val="EndnoteReference"/>
        </w:rPr>
        <w:endnoteRef/>
      </w:r>
      <w:r>
        <w:t xml:space="preserve"> </w:t>
      </w:r>
      <w:r>
        <w:t xml:space="preserve">[CITATION MISSING — no note text in the draft]</w:t>
      </w:r>
    </w:p>
  </w:endnote>
  <w:endnote w:id="71">
    <w:p>
      <w:pPr>
        <w:pStyle w:val="EndnoteText"/>
      </w:pPr>
      <w:r>
        <w:rPr>
          <w:rStyle w:val="EndnoteReference"/>
        </w:rPr>
        <w:endnoteRef/>
      </w:r>
      <w:r>
        <w:t xml:space="preserve"> </w:t>
      </w:r>
      <w:r>
        <w:t xml:space="preserve">[CITATION MISSING — no note text in the draft]</w:t>
      </w:r>
    </w:p>
  </w:endnote>
  <w:endnote w:id="73">
    <w:p>
      <w:pPr>
        <w:pStyle w:val="EndnoteText"/>
      </w:pPr>
      <w:r>
        <w:rPr>
          <w:rStyle w:val="EndnoteReference"/>
        </w:rPr>
        <w:endnoteRef/>
      </w:r>
      <w:r>
        <w:t xml:space="preserve"> </w:t>
      </w:r>
      <w:r>
        <w:t xml:space="preserve">[CITATION MISSING — no note text in the draft]</w:t>
      </w:r>
    </w:p>
  </w:endnote>
  <w:endnote w:id="74">
    <w:p>
      <w:pPr>
        <w:pStyle w:val="EndnoteText"/>
      </w:pPr>
      <w:r>
        <w:rPr>
          <w:rStyle w:val="EndnoteReference"/>
        </w:rPr>
        <w:endnoteRef/>
      </w:r>
      <w:r>
        <w:t xml:space="preserve"> </w:t>
      </w:r>
      <w:r>
        <w:t xml:space="preserve">[CITATION MISSING — no note text in the draft]</w:t>
      </w:r>
    </w:p>
  </w:endnote>
  <w:endnote w:id="75">
    <w:p>
      <w:pPr>
        <w:pStyle w:val="EndnoteText"/>
      </w:pPr>
      <w:r>
        <w:rPr>
          <w:rStyle w:val="EndnoteReference"/>
        </w:rPr>
        <w:endnoteRef/>
      </w:r>
      <w:r>
        <w:t xml:space="preserve"> </w:t>
      </w:r>
      <w:r>
        <w:t xml:space="preserve">[CITATION MISSING — no note text in the draft]</w:t>
      </w:r>
    </w:p>
  </w:endnote>
  <w:endnote w:id="76">
    <w:p>
      <w:pPr>
        <w:pStyle w:val="EndnoteText"/>
      </w:pPr>
      <w:r>
        <w:rPr>
          <w:rStyle w:val="EndnoteReference"/>
        </w:rPr>
        <w:endnoteRef/>
      </w:r>
      <w:r>
        <w:t xml:space="preserve"> </w:t>
      </w:r>
      <w:r>
        <w:t xml:space="preserve">[CITATION MISSING — no note text in the draft]</w:t>
      </w:r>
    </w:p>
  </w:endnote>
  <w:endnote w:id="77">
    <w:p>
      <w:pPr>
        <w:pStyle w:val="EndnoteText"/>
      </w:pPr>
      <w:r>
        <w:rPr>
          <w:rStyle w:val="EndnoteReference"/>
        </w:rPr>
        <w:endnoteRef/>
      </w:r>
      <w:r>
        <w:t xml:space="preserve"> </w:t>
      </w:r>
      <w:r>
        <w:t xml:space="preserve">[CITATION MISSING — no note text in the draft]</w:t>
      </w:r>
    </w:p>
  </w:endnote>
  <w:endnote w:id="78">
    <w:p>
      <w:pPr>
        <w:pStyle w:val="EndnoteText"/>
      </w:pPr>
      <w:r>
        <w:rPr>
          <w:rStyle w:val="EndnoteReference"/>
        </w:rPr>
        <w:endnoteRef/>
      </w:r>
      <w:r>
        <w:t xml:space="preserve"> </w:t>
      </w:r>
      <w:r>
        <w:t xml:space="preserve">[CITATION MISSING — no note text in the draft]</w:t>
      </w:r>
    </w:p>
  </w:endnote>
  <w:endnote w:id="80">
    <w:p>
      <w:pPr>
        <w:pStyle w:val="EndnoteText"/>
      </w:pPr>
      <w:r>
        <w:rPr>
          <w:rStyle w:val="EndnoteReference"/>
        </w:rPr>
        <w:endnoteRef/>
      </w:r>
      <w:r>
        <w:t xml:space="preserve"> </w:t>
      </w:r>
      <w:r>
        <w:t xml:space="preserve">“</w:t>
      </w:r>
      <w:r>
        <w:t xml:space="preserve">Yerachmiel Lukacher — Ish ha-Aliyah ha-Shniyah she-Nafal be-Krav Stalingrad</w:t>
      </w:r>
      <w:r>
        <w:t xml:space="preserve">”</w:t>
      </w:r>
      <w:r>
        <w:t xml:space="preserve"> </w:t>
      </w:r>
      <w:r>
        <w:t xml:space="preserve">[Yerachmiel Lukacher — A Second Aliyah Man Who Fell at the Battle of Stalingrad], Israeli Tombstones (blog), 26 May 2009, https://israelitombstones.blogspot.com/2009/05/blog-post_26.html; Shaul Dagan,</w:t>
      </w:r>
      <w:r>
        <w:t xml:space="preserve"> </w:t>
      </w:r>
      <w:r>
        <w:t xml:space="preserve">“</w:t>
      </w:r>
      <w:r>
        <w:t xml:space="preserve">The Secret Kibbutz in the Joseph Trumpeldor Labor and Defense Battalion 1920–1926,</w:t>
      </w:r>
      <w:r>
        <w:t xml:space="preserve">”</w:t>
      </w:r>
      <w:r>
        <w:t xml:space="preserve"> </w:t>
      </w:r>
      <w:r>
        <w:t xml:space="preserve">Rishonim Be-Eretz Yisrael, 3 May 2016, https://perma.cc/6LUL-SB6S; Israeli Tombstones,</w:t>
      </w:r>
      <w:r>
        <w:t xml:space="preserve"> </w:t>
      </w:r>
      <w:r>
        <w:t xml:space="preserve">“</w:t>
      </w:r>
      <w:r>
        <w:t xml:space="preserve">Yerachmiel Lukacher,</w:t>
      </w:r>
      <w:r>
        <w:t xml:space="preserve">”</w:t>
      </w:r>
      <w:r>
        <w:t xml:space="preserve"> </w:t>
      </w:r>
      <w:r>
        <w:t xml:space="preserve">and Dagan,</w:t>
      </w:r>
      <w:r>
        <w:t xml:space="preserve"> </w:t>
      </w:r>
      <w:r>
        <w:t xml:space="preserve">“</w:t>
      </w:r>
      <w:r>
        <w:t xml:space="preserve">The Secret Kibbutz.</w:t>
      </w:r>
      <w:r>
        <w:t xml:space="preserve">”</w:t>
      </w:r>
    </w:p>
  </w:endnote>
  <w:endnote w:id="81">
    <w:p>
      <w:pPr>
        <w:pStyle w:val="EndnoteText"/>
      </w:pPr>
      <w:r>
        <w:rPr>
          <w:rStyle w:val="EndnoteReference"/>
        </w:rPr>
        <w:endnoteRef/>
      </w:r>
      <w:r>
        <w:t xml:space="preserve"> </w:t>
      </w:r>
      <w:r>
        <w:t xml:space="preserve">[TK — citation to be supplied]</w:t>
      </w:r>
    </w:p>
  </w:endnote>
  <w:endnote w:id="82">
    <w:p>
      <w:pPr>
        <w:pStyle w:val="EndnoteText"/>
      </w:pPr>
      <w:r>
        <w:rPr>
          <w:rStyle w:val="EndnoteReference"/>
        </w:rPr>
        <w:endnoteRef/>
      </w:r>
      <w:r>
        <w:t xml:space="preserve"> </w:t>
      </w:r>
      <w:r>
        <w:t xml:space="preserve">Edward Paice, Tip and Run: The Untold Tragedy of the Great War in Africa (London: Weidenfeld and Nicolson, 2007); Daniel J. Hughes and Richard L. DiNardo, Imperial Germany and War, 1871–1918 (Lawrence: University Press of Kansas, 2018), chap. on colonial operations; Eric Lefèvre, Brandenburg Division: Commandos of the Reich (Paris: Histoire et Collections, 2000).</w:t>
      </w:r>
    </w:p>
  </w:endnote>
  <w:endnote w:id="83">
    <w:p>
      <w:pPr>
        <w:pStyle w:val="EndnoteText"/>
      </w:pPr>
      <w:r>
        <w:rPr>
          <w:rStyle w:val="EndnoteReference"/>
        </w:rPr>
        <w:endnoteRef/>
      </w:r>
      <w:r>
        <w:t xml:space="preserve"> </w:t>
      </w:r>
      <w:r>
        <w:t xml:space="preserve">See §§1.9–1.11; Sadeh, Writings, vol. 1 (Hakibbutz Hameuchad, 1980), 222–227 and 306–307; Markovitzki 1989; see §1.10. [48] Avidar, Yosef.</w:t>
      </w:r>
      <w:r>
        <w:t xml:space="preserve"> </w:t>
      </w:r>
      <w:r>
        <w:t xml:space="preserve">“</w:t>
      </w:r>
      <w:r>
        <w:t xml:space="preserve">The Haganah in 1929 (Events and Lessons Learned).</w:t>
      </w:r>
      <w:r>
        <w:t xml:space="preserve">”</w:t>
      </w:r>
      <w:r>
        <w:t xml:space="preserve"> </w:t>
      </w:r>
      <w:r>
        <w:t xml:space="preserve">In Army of the Way to a State. Tel-Aviv: Ministry of Defense, 1988; Slutsky, Avigur, and Rivlin, Haganah Short History; Ben-Eliezer, Making, 1998, 40–55. [49] Segev, Tom. One Palestine, Complete: Jews and Arabs Under the British Mandate (Henry Holt, 2000); Cohen, Hillel. Year Zero of the Arab-Israeli Conflict 1929 (Brandeis UP, 2015). [50] Cohen, Year Zero; Segev, One Palestine. [51] Avidar,</w:t>
      </w:r>
      <w:r>
        <w:t xml:space="preserve"> </w:t>
      </w:r>
      <w:r>
        <w:t xml:space="preserve">“</w:t>
      </w:r>
      <w:r>
        <w:t xml:space="preserve">The Haganah in 1929</w:t>
      </w:r>
      <w:r>
        <w:t xml:space="preserve">”</w:t>
      </w:r>
      <w:r>
        <w:t xml:space="preserve">; Ben-Hur, Eliahu. Memories 1923–1939. Tel-Aviv: Ministry of Defence, 1985, 79–81, 107–110. [52] Avidar,</w:t>
      </w:r>
      <w:r>
        <w:t xml:space="preserve"> </w:t>
      </w:r>
      <w:r>
        <w:t xml:space="preserve">“</w:t>
      </w:r>
      <w:r>
        <w:t xml:space="preserve">The Haganah in 1929</w:t>
      </w:r>
      <w:r>
        <w:t xml:space="preserve">”</w:t>
      </w:r>
      <w:r>
        <w:t xml:space="preserve">; Ben-Eliezer 1998, 55–69. [53] Amir, Shulamit, and Hanni Biran. A Forgotten Legacy: One-Person Intelligence Service — Aharon Haim Cohen in Life and Death. Jerusalem: Carmel, 2021; Levi, Uriel.</w:t>
      </w:r>
      <w:r>
        <w:t xml:space="preserve"> </w:t>
      </w:r>
      <w:r>
        <w:t xml:space="preserve">“</w:t>
      </w:r>
      <w:r>
        <w:t xml:space="preserve">Aharon Haim Cohen — A Story from which Legends are Created.</w:t>
      </w:r>
      <w:r>
        <w:t xml:space="preserve">”</w:t>
      </w:r>
      <w:r>
        <w:t xml:space="preserve"> </w:t>
      </w:r>
      <w:r>
        <w:t xml:space="preserve">Davar, 22 January 2021. https://www.davar1.co.il/277109/. [54] Dror 1996, 245–260. [55] Same.</w:t>
      </w:r>
    </w:p>
  </w:endnote>
  <w:endnote w:id="85">
    <w:p>
      <w:pPr>
        <w:pStyle w:val="EndnoteText"/>
      </w:pPr>
      <w:r>
        <w:rPr>
          <w:rStyle w:val="EndnoteReference"/>
        </w:rPr>
        <w:endnoteRef/>
      </w:r>
      <w:r>
        <w:t xml:space="preserve"> </w:t>
      </w:r>
      <w:r>
        <w:t xml:space="preserve">[CITATION MISSING — no note text in the draft]</w:t>
      </w:r>
    </w:p>
  </w:endnote>
  <w:endnote w:id="86">
    <w:p>
      <w:pPr>
        <w:pStyle w:val="EndnoteText"/>
      </w:pPr>
      <w:r>
        <w:rPr>
          <w:rStyle w:val="EndnoteReference"/>
        </w:rPr>
        <w:endnoteRef/>
      </w:r>
      <w:r>
        <w:t xml:space="preserve"> </w:t>
      </w:r>
      <w:r>
        <w:t xml:space="preserve">[CITATION MISSING — no note text in the draft]</w:t>
      </w:r>
    </w:p>
  </w:endnote>
  <w:endnote w:id="87">
    <w:p>
      <w:pPr>
        <w:pStyle w:val="EndnoteText"/>
      </w:pPr>
      <w:r>
        <w:rPr>
          <w:rStyle w:val="EndnoteReference"/>
        </w:rPr>
        <w:endnoteRef/>
      </w:r>
      <w:r>
        <w:t xml:space="preserve"> </w:t>
      </w:r>
      <w:r>
        <w:t xml:space="preserve">[CITATION MISSING — no note text in the draft]</w:t>
      </w:r>
    </w:p>
  </w:endnote>
  <w:endnote w:id="88">
    <w:p>
      <w:pPr>
        <w:pStyle w:val="EndnoteText"/>
      </w:pPr>
      <w:r>
        <w:rPr>
          <w:rStyle w:val="EndnoteReference"/>
        </w:rPr>
        <w:endnoteRef/>
      </w:r>
      <w:r>
        <w:t xml:space="preserve"> </w:t>
      </w:r>
      <w:r>
        <w:t xml:space="preserve">[CITATION MISSING — no note text in the draft]</w:t>
      </w:r>
    </w:p>
  </w:endnote>
  <w:endnote w:id="89">
    <w:p>
      <w:pPr>
        <w:pStyle w:val="EndnoteText"/>
      </w:pPr>
      <w:r>
        <w:rPr>
          <w:rStyle w:val="EndnoteReference"/>
        </w:rPr>
        <w:endnoteRef/>
      </w:r>
      <w:r>
        <w:t xml:space="preserve"> </w:t>
      </w:r>
      <w:r>
        <w:t xml:space="preserve">[CITATION MISSING — no note text in the draft]</w:t>
      </w:r>
    </w:p>
  </w:endnote>
  <w:endnote w:id="90">
    <w:p>
      <w:pPr>
        <w:pStyle w:val="EndnoteText"/>
      </w:pPr>
      <w:r>
        <w:rPr>
          <w:rStyle w:val="EndnoteReference"/>
        </w:rPr>
        <w:endnoteRef/>
      </w:r>
      <w:r>
        <w:t xml:space="preserve"> </w:t>
      </w:r>
      <w:r>
        <w:t xml:space="preserve">[CITATION MISSING — no note text in the draft]</w:t>
      </w:r>
    </w:p>
  </w:endnote>
  <w:endnote w:id="91">
    <w:p>
      <w:pPr>
        <w:pStyle w:val="EndnoteText"/>
      </w:pPr>
      <w:r>
        <w:rPr>
          <w:rStyle w:val="EndnoteReference"/>
        </w:rPr>
        <w:endnoteRef/>
      </w:r>
      <w:r>
        <w:t xml:space="preserve"> </w:t>
      </w:r>
      <w:r>
        <w:t xml:space="preserve">[CITATION MISSING — no note text in the draft]</w:t>
      </w:r>
    </w:p>
  </w:endnote>
  <w:endnote w:id="93">
    <w:p>
      <w:pPr>
        <w:pStyle w:val="EndnoteText"/>
      </w:pPr>
      <w:r>
        <w:rPr>
          <w:rStyle w:val="EndnoteReference"/>
        </w:rPr>
        <w:endnoteRef/>
      </w:r>
      <w:r>
        <w:t xml:space="preserve"> </w:t>
      </w:r>
      <w:r>
        <w:t xml:space="preserve">Hughes, Matthew. Britain’s Pacification of Palestine: The British Army, the Colonial State, and the Arab Revolt, 1936–1939 (Cambridge UP, 2019); Slutsky, Avigur, and Rivlin, Haganah Short History. [57] Avidar,</w:t>
      </w:r>
      <w:r>
        <w:t xml:space="preserve"> </w:t>
      </w:r>
      <w:r>
        <w:t xml:space="preserve">“</w:t>
      </w:r>
      <w:r>
        <w:t xml:space="preserve">The Haganah in 1929,</w:t>
      </w:r>
      <w:r>
        <w:t xml:space="preserve">”</w:t>
      </w:r>
      <w:r>
        <w:t xml:space="preserve"> </w:t>
      </w:r>
      <w:r>
        <w:t xml:space="preserve">and the relevant chapters of Slutsky/Avigur/Rivlin on the early period of the revolt; Ben-Eliezer, Making, 55–69. [58] Dror 1996, 260–280; Ben-Hur, Eliahu. Memories 1923–1939. Tel-Aviv: Ministry of Defense, 1985, 79–81. [59] Dror 1996, 280–295. [60] Markovitzki, Yaakov. Palmach’s Special Ground Units. Tel-Aviv: Ministry of Defense, 1989, 7–10; Ben-Hur 1985, 79–81, 107–110. [61] Dror 1996. [62] Dror 1996, 295–310; Milstein, Uri. The History of the Israeli Paratroopers — From the War of Independence to the Lebanon War. Tel-Aviv: Shalgi, 1985, vol. 1. [63] Writings, vol. 1 (Hakibbutz Hameuchad, 1980), 222–227 and 306–307; Markovitzki 1989; Vardi, Gil-Li.</w:t>
      </w:r>
      <w:r>
        <w:t xml:space="preserve"> </w:t>
      </w:r>
      <w:r>
        <w:t xml:space="preserve">“</w:t>
      </w:r>
      <w:r>
        <w:t xml:space="preserve">‘</w:t>
      </w:r>
      <w:r>
        <w:t xml:space="preserve">Pounding Their Feet</w:t>
      </w:r>
      <w:r>
        <w:t xml:space="preserve">’</w:t>
      </w:r>
      <w:r>
        <w:t xml:space="preserve">: Israeli Military Culture as Reflected in Early IDF Combat History.</w:t>
      </w:r>
      <w:r>
        <w:t xml:space="preserve">”</w:t>
      </w:r>
      <w:r>
        <w:t xml:space="preserve"> </w:t>
      </w:r>
      <w:r>
        <w:t xml:space="preserve">Journal of Strategic Studies; Yitzhak Sadeh, Hidushei ha-Palmach [The Innovations of the Palmach] (Tel-Aviv: Hakibbutz Hameuchad, 1950). [64] Slutsky/Avigur/Rivlin, Haganah Short History, 192–193; Dror 1996, 310–320. [65] Same. [66] Royle, Trevor. Orde Wingate: A Man of Genius, 1903–1944. New York: Skyhorse, 2010; same. [67] Royle; Bierman, John, and Colin Smith. Fire in the Night: Wingate of Burma, Ethiopia, and Zion. Random House, 1999. [68] Bierman and Smith; Slutsky/Avigur/Rivlin, Haganah Short History. [69] Carmi, Israel. The Path of Warriors. Tel-Aviv: Ministry of Defense, 1966, 65–70; Carmi 1966; Royle. [70] Carmi 1966, 67–68; Bauer, Yehuda.</w:t>
      </w:r>
      <w:r>
        <w:t xml:space="preserve"> </w:t>
      </w:r>
      <w:r>
        <w:t xml:space="preserve">“</w:t>
      </w:r>
      <w:r>
        <w:t xml:space="preserve">From Cooperation to Resistance: The Haganah 1938–1946.</w:t>
      </w:r>
      <w:r>
        <w:t xml:space="preserve">”</w:t>
      </w:r>
      <w:r>
        <w:t xml:space="preserve"> </w:t>
      </w:r>
      <w:r>
        <w:t xml:space="preserve">Middle Eastern Studies 2, no. 3 (1966): 182–210. [71] Royle; Bierman and Smith. [72] Markovitzki 1989; Yitzhak Sadeh, Hidushei ha-Palmach [The Innovations of the Palmach] (Tel-Aviv: Hakibbutz Hameuchad, 1950); Sadeh, Writings, vol. 1 (Tel-Aviv: Hakibbutz Hameuchad, 1980).</w:t>
      </w:r>
    </w:p>
  </w:endnote>
  <w:endnote w:id="94">
    <w:p>
      <w:pPr>
        <w:pStyle w:val="EndnoteText"/>
      </w:pPr>
      <w:r>
        <w:rPr>
          <w:rStyle w:val="EndnoteReference"/>
        </w:rPr>
        <w:endnoteRef/>
      </w:r>
      <w:r>
        <w:t xml:space="preserve"> </w:t>
      </w:r>
      <w:r>
        <w:t xml:space="preserve">[CITATION MISSING — no note text in the draft]</w:t>
      </w:r>
    </w:p>
  </w:endnote>
  <w:endnote w:id="95">
    <w:p>
      <w:pPr>
        <w:pStyle w:val="EndnoteText"/>
      </w:pPr>
      <w:r>
        <w:rPr>
          <w:rStyle w:val="EndnoteReference"/>
        </w:rPr>
        <w:endnoteRef/>
      </w:r>
      <w:r>
        <w:t xml:space="preserve"> </w:t>
      </w:r>
      <w:r>
        <w:t xml:space="preserve">[CITATION MISSING — no note text in the draft]</w:t>
      </w:r>
    </w:p>
  </w:endnote>
  <w:endnote w:id="96">
    <w:p>
      <w:pPr>
        <w:pStyle w:val="EndnoteText"/>
      </w:pPr>
      <w:r>
        <w:rPr>
          <w:rStyle w:val="EndnoteReference"/>
        </w:rPr>
        <w:endnoteRef/>
      </w:r>
      <w:r>
        <w:t xml:space="preserve"> </w:t>
      </w:r>
      <w:r>
        <w:t xml:space="preserve">[CITATION MISSING — no note text in the draft]</w:t>
      </w:r>
    </w:p>
  </w:endnote>
  <w:endnote w:id="97">
    <w:p>
      <w:pPr>
        <w:pStyle w:val="EndnoteText"/>
      </w:pPr>
      <w:r>
        <w:rPr>
          <w:rStyle w:val="EndnoteReference"/>
        </w:rPr>
        <w:endnoteRef/>
      </w:r>
      <w:r>
        <w:t xml:space="preserve"> </w:t>
      </w:r>
      <w:r>
        <w:t xml:space="preserve">[CITATION MISSING — no note text in the draft]</w:t>
      </w:r>
    </w:p>
  </w:endnote>
  <w:endnote w:id="98">
    <w:p>
      <w:pPr>
        <w:pStyle w:val="EndnoteText"/>
      </w:pPr>
      <w:r>
        <w:rPr>
          <w:rStyle w:val="EndnoteReference"/>
        </w:rPr>
        <w:endnoteRef/>
      </w:r>
      <w:r>
        <w:t xml:space="preserve"> </w:t>
      </w:r>
      <w:r>
        <w:t xml:space="preserve">[CITATION MISSING — no note text in the draft]</w:t>
      </w:r>
    </w:p>
  </w:endnote>
  <w:endnote w:id="99">
    <w:p>
      <w:pPr>
        <w:pStyle w:val="EndnoteText"/>
      </w:pPr>
      <w:r>
        <w:rPr>
          <w:rStyle w:val="EndnoteReference"/>
        </w:rPr>
        <w:endnoteRef/>
      </w:r>
      <w:r>
        <w:t xml:space="preserve"> </w:t>
      </w:r>
      <w:r>
        <w:t xml:space="preserve">[CITATION MISSING — no note text in the draft]</w:t>
      </w:r>
    </w:p>
  </w:endnote>
  <w:endnote w:id="100">
    <w:p>
      <w:pPr>
        <w:pStyle w:val="EndnoteText"/>
      </w:pPr>
      <w:r>
        <w:rPr>
          <w:rStyle w:val="EndnoteReference"/>
        </w:rPr>
        <w:endnoteRef/>
      </w:r>
      <w:r>
        <w:t xml:space="preserve"> </w:t>
      </w:r>
      <w:r>
        <w:t xml:space="preserve">[CITATION MISSING — no note text in the draft]</w:t>
      </w:r>
    </w:p>
  </w:endnote>
  <w:endnote w:id="101">
    <w:p>
      <w:pPr>
        <w:pStyle w:val="EndnoteText"/>
      </w:pPr>
      <w:r>
        <w:rPr>
          <w:rStyle w:val="EndnoteReference"/>
        </w:rPr>
        <w:endnoteRef/>
      </w:r>
      <w:r>
        <w:t xml:space="preserve"> </w:t>
      </w:r>
      <w:r>
        <w:t xml:space="preserve">[CITATION MISSING — no note text in the draft]</w:t>
      </w:r>
    </w:p>
  </w:endnote>
  <w:endnote w:id="102">
    <w:p>
      <w:pPr>
        <w:pStyle w:val="EndnoteText"/>
      </w:pPr>
      <w:r>
        <w:rPr>
          <w:rStyle w:val="EndnoteReference"/>
        </w:rPr>
        <w:endnoteRef/>
      </w:r>
      <w:r>
        <w:t xml:space="preserve"> </w:t>
      </w:r>
      <w:r>
        <w:t xml:space="preserve">[CITATION MISSING — no note text in the draft]</w:t>
      </w:r>
    </w:p>
  </w:endnote>
  <w:endnote w:id="104">
    <w:p>
      <w:pPr>
        <w:pStyle w:val="EndnoteText"/>
      </w:pPr>
      <w:r>
        <w:rPr>
          <w:rStyle w:val="EndnoteReference"/>
        </w:rPr>
        <w:endnoteRef/>
      </w:r>
      <w:r>
        <w:t xml:space="preserve"> </w:t>
      </w:r>
      <w:r>
        <w:t xml:space="preserve">[CITATION MISSING — no note text in the draft]</w:t>
      </w:r>
    </w:p>
  </w:endnote>
  <w:endnote w:id="105">
    <w:p>
      <w:pPr>
        <w:pStyle w:val="EndnoteText"/>
      </w:pPr>
      <w:r>
        <w:rPr>
          <w:rStyle w:val="EndnoteReference"/>
        </w:rPr>
        <w:endnoteRef/>
      </w:r>
      <w:r>
        <w:t xml:space="preserve"> </w:t>
      </w:r>
      <w:r>
        <w:t xml:space="preserve">[CITATION MISSING — no note text in the draft]</w:t>
      </w:r>
    </w:p>
  </w:endnote>
  <w:endnote w:id="106">
    <w:p>
      <w:pPr>
        <w:pStyle w:val="EndnoteText"/>
      </w:pPr>
      <w:r>
        <w:rPr>
          <w:rStyle w:val="EndnoteReference"/>
        </w:rPr>
        <w:endnoteRef/>
      </w:r>
      <w:r>
        <w:t xml:space="preserve"> </w:t>
      </w:r>
      <w:r>
        <w:t xml:space="preserve">[CITATION MISSING — no note text in the draft]</w:t>
      </w:r>
    </w:p>
  </w:endnote>
  <w:endnote w:id="107">
    <w:p>
      <w:pPr>
        <w:pStyle w:val="EndnoteText"/>
      </w:pPr>
      <w:r>
        <w:rPr>
          <w:rStyle w:val="EndnoteReference"/>
        </w:rPr>
        <w:endnoteRef/>
      </w:r>
      <w:r>
        <w:t xml:space="preserve"> </w:t>
      </w:r>
      <w:r>
        <w:t xml:space="preserve">[CITATION MISSING — no note text in the draft]</w:t>
      </w:r>
    </w:p>
  </w:endnote>
  <w:endnote w:id="108">
    <w:p>
      <w:pPr>
        <w:pStyle w:val="EndnoteText"/>
      </w:pPr>
      <w:r>
        <w:rPr>
          <w:rStyle w:val="EndnoteReference"/>
        </w:rPr>
        <w:endnoteRef/>
      </w:r>
      <w:r>
        <w:t xml:space="preserve"> </w:t>
      </w:r>
      <w:r>
        <w:t xml:space="preserve">[CITATION MISSING — no note text in the draft]</w:t>
      </w:r>
    </w:p>
  </w:endnote>
  <w:endnote w:id="109">
    <w:p>
      <w:pPr>
        <w:pStyle w:val="EndnoteText"/>
      </w:pPr>
      <w:r>
        <w:rPr>
          <w:rStyle w:val="EndnoteReference"/>
        </w:rPr>
        <w:endnoteRef/>
      </w:r>
      <w:r>
        <w:t xml:space="preserve"> </w:t>
      </w:r>
      <w:r>
        <w:t xml:space="preserve">[CITATION MISSING — no note text in the draft]</w:t>
      </w:r>
    </w:p>
  </w:endnote>
  <w:endnote w:id="110">
    <w:p>
      <w:pPr>
        <w:pStyle w:val="EndnoteText"/>
      </w:pPr>
      <w:r>
        <w:rPr>
          <w:rStyle w:val="EndnoteReference"/>
        </w:rPr>
        <w:endnoteRef/>
      </w:r>
      <w:r>
        <w:t xml:space="preserve"> </w:t>
      </w:r>
      <w:r>
        <w:t xml:space="preserve">[CITATION MISSING — no note text in the draft]</w:t>
      </w:r>
    </w:p>
  </w:endnote>
  <w:endnote w:id="111">
    <w:p>
      <w:pPr>
        <w:pStyle w:val="EndnoteText"/>
      </w:pPr>
      <w:r>
        <w:rPr>
          <w:rStyle w:val="EndnoteReference"/>
        </w:rPr>
        <w:endnoteRef/>
      </w:r>
      <w:r>
        <w:t xml:space="preserve"> </w:t>
      </w:r>
      <w:r>
        <w:t xml:space="preserve">Wavell Papers, Liddell Hart Centre for Military Archives, King’s College London; David Mure, Master of Deception: Tangled Webs in London and the Middle East (London: William Kimber, 1980); Richard Mead, Commando General: The Life of Major General Sir Robert Laycock (Barnsley: Pen and Sword Military, 2016); Thaddeus Holt, The Deceivers: Allied Military Deception in the Second World War (New York: Scribner, 2004). [73] Gorenberg, Gershom. War of Shadows: Codebreakers, Spies, and the Secret Struggle to Drive the Nazis from the Middle East. New York: PublicAffairs, 2021. [74] Bauer,</w:t>
      </w:r>
      <w:r>
        <w:t xml:space="preserve"> </w:t>
      </w:r>
      <w:r>
        <w:t xml:space="preserve">“</w:t>
      </w:r>
      <w:r>
        <w:t xml:space="preserve">From Cooperation to Resistance,</w:t>
      </w:r>
      <w:r>
        <w:t xml:space="preserve">”</w:t>
      </w:r>
      <w:r>
        <w:t xml:space="preserve"> </w:t>
      </w:r>
      <w:r>
        <w:t xml:space="preserve">1966; Gelber, Yoav. Jewish Palestinian Volunteers in the British Army during the Second World War. Jerusalem: Yad Izhak Ben-Zvi, 1984, vol. 1. [75] Markovitzki 1989; Slutsky/Avigur/Rivlin, Haganah Short History; Yitzhak Sadeh, Hidushei ha-Palmach [The Innovations of the Palmach] (Tel-Aviv: Hakibbutz Hameuchad, 1950). [76] Gelber, Jewish Palestinian Volunteers, vol. 1; Markovitzki 1989, on Zvi Spektor specifically. [77] Markovitzki 1989; Bauer 1966; Sadeh, Hidushei ha-Palmach, 1950. [78] Dror 1996, 360–390. [79] Morris, Benny. 1948: A History of the First Arab-Israeli War (Yale UP, 2008). [80] Markovitzki 1989; Dror 1996, 390–430. [80a] Mordechai Naor,</w:t>
      </w:r>
      <w:r>
        <w:t xml:space="preserve"> </w:t>
      </w:r>
      <w:r>
        <w:t xml:space="preserve">“</w:t>
      </w:r>
      <w:r>
        <w:t xml:space="preserve">Ha-Mahberet ha-Shchora shel ha-Zaken</w:t>
      </w:r>
      <w:r>
        <w:t xml:space="preserve">”</w:t>
      </w:r>
      <w:r>
        <w:t xml:space="preserve"> </w:t>
      </w:r>
      <w:r>
        <w:t xml:space="preserve">[The Old Man’s Black Notebook], Haaretz, 22 April 2007, https://www.haaretz.co.il/misc/2007-04-22/ty-article/0000017f-dc27-d3ff-a7ff-fda775180000. [80b] Same source. [81] Ben-Eliezer, Making, 69–71; Peri, Yoram. Between Battles and Ballots: Israeli Military in Politics (Cambridge UP, 1983), 63 ff. [82] Ben-Eliezer 1998; Dror 1996, 430–460. [83] Sadeh, The Notebook Is Open: First Episode (Tel-Aviv: HaKibbutz HaMeuchad, 1951); Dror 1996, 460–490.</w:t>
      </w:r>
    </w:p>
  </w:endnote>
  <w:endnote w:id="113">
    <w:p>
      <w:pPr>
        <w:pStyle w:val="EndnoteText"/>
      </w:pPr>
      <w:r>
        <w:rPr>
          <w:rStyle w:val="EndnoteReference"/>
        </w:rPr>
        <w:endnoteRef/>
      </w:r>
      <w:r>
        <w:t xml:space="preserve"> </w:t>
      </w:r>
      <w:r>
        <w:t xml:space="preserve">Palestine: Statement of Policy, Cmd. 6019 (London: His Majesty’s Stationery Office, May 1939); Michael J. Cohen, Palestine: Retreat from the Mandate, The Making of British Policy, 1936–45 (London: Paul Elek, 1978), chap. 5; Wm. Roger Louis, The British Empire in the Middle East, 1945–1951 (Oxford: Clarendon, 1984), chaps. 1–2; Anita Shapira, Land and Power: The Zionist Resort to Force, 1881–1948 (Oxford: Oxford University Press, 1992), chap. 8.</w:t>
      </w:r>
    </w:p>
  </w:endnote>
  <w:endnote w:id="114">
    <w:p>
      <w:pPr>
        <w:pStyle w:val="EndnoteText"/>
      </w:pPr>
      <w:r>
        <w:rPr>
          <w:rStyle w:val="EndnoteReference"/>
        </w:rPr>
        <w:endnoteRef/>
      </w:r>
      <w:r>
        <w:t xml:space="preserve"> </w:t>
      </w:r>
      <w:r>
        <w:t xml:space="preserve">Tom Segev, One Palestine, Complete: Jews and Arabs Under the British Mandate (New York: Henry Holt, 2000), 437–440; Ben-Gurion’s papers at the Ben-Gurion Archive, Sde Boker; Yoav Gelber, Jewish Palestinian Volunteers in the British Army during the Second World War, vol. 1 (Jerusalem: Yad Izhak Ben-Zvi, 1984).</w:t>
      </w:r>
    </w:p>
  </w:endnote>
  <w:endnote w:id="115">
    <w:p>
      <w:pPr>
        <w:pStyle w:val="EndnoteText"/>
      </w:pPr>
      <w:r>
        <w:rPr>
          <w:rStyle w:val="EndnoteReference"/>
        </w:rPr>
        <w:endnoteRef/>
      </w:r>
      <w:r>
        <w:t xml:space="preserve"> </w:t>
      </w:r>
      <w:r>
        <w:t xml:space="preserve">Tuvia Friling, Arrows in the Dark: David Ben-Gurion, the Yishuv Leadership, and Rescue Attempts during the Holocaust (Madison: University of Wisconsin Press, 2005), vol. 1.</w:t>
      </w:r>
    </w:p>
  </w:endnote>
  <w:endnote w:id="116">
    <w:p>
      <w:pPr>
        <w:pStyle w:val="EndnoteText"/>
      </w:pPr>
      <w:r>
        <w:rPr>
          <w:rStyle w:val="EndnoteReference"/>
        </w:rPr>
        <w:endnoteRef/>
      </w:r>
      <w:r>
        <w:t xml:space="preserve"> </w:t>
      </w:r>
      <w:r>
        <w:t xml:space="preserve">Aviva Halamish, The Exodus Affair: Holocaust Survivors and the Struggle for Palestine (Syracuse: Syracuse University Press, 1998).</w:t>
      </w:r>
    </w:p>
  </w:endnote>
  <w:endnote w:id="117">
    <w:p>
      <w:pPr>
        <w:pStyle w:val="EndnoteText"/>
      </w:pPr>
      <w:r>
        <w:rPr>
          <w:rStyle w:val="EndnoteReference"/>
        </w:rPr>
        <w:endnoteRef/>
      </w:r>
      <w:r>
        <w:t xml:space="preserve"> </w:t>
      </w:r>
      <w:r>
        <w:t xml:space="preserve">Mordechai Bar-On, Moshe Dayan: Israel’s Controversial Hero (New Haven: Yale University Press, 2012).</w:t>
      </w:r>
    </w:p>
  </w:endnote>
  <w:endnote w:id="118">
    <w:p>
      <w:pPr>
        <w:pStyle w:val="EndnoteText"/>
      </w:pPr>
      <w:r>
        <w:rPr>
          <w:rStyle w:val="EndnoteReference"/>
        </w:rPr>
        <w:endnoteRef/>
      </w:r>
      <w:r>
        <w:t xml:space="preserve"> </w:t>
      </w:r>
      <w:r>
        <w:t xml:space="preserve">Dalia Ofer, Escaping the Holocaust: Illegal Immigration to the Land of Israel, 1939–1944 (New York: Oxford University Press, 1990), 84–96; Aviva Halamish, The Exodus Affair; Ofer, same; Bernard Wasserstein, Britain and the Jews of Europe, 1939–1945 (Oxford: Clarendon, 1979); Friling, Arrows in the Dark.</w:t>
      </w:r>
    </w:p>
  </w:endnote>
  <w:endnote w:id="119">
    <w:p>
      <w:pPr>
        <w:pStyle w:val="EndnoteText"/>
      </w:pPr>
      <w:r>
        <w:rPr>
          <w:rStyle w:val="EndnoteReference"/>
        </w:rPr>
        <w:endnoteRef/>
      </w:r>
      <w:r>
        <w:t xml:space="preserve"> </w:t>
      </w:r>
      <w:r>
        <w:t xml:space="preserve">Anita Shapira, Land and Power, chap. 9; Uri Ben-Eliezer, The Making of Israeli Militarism (Bloomington: Indiana University Press, 1998), chap. 4.</w:t>
      </w:r>
    </w:p>
  </w:endnote>
  <w:endnote w:id="120">
    <w:p>
      <w:pPr>
        <w:pStyle w:val="EndnoteText"/>
      </w:pPr>
      <w:r>
        <w:rPr>
          <w:rStyle w:val="EndnoteReference"/>
        </w:rPr>
        <w:endnoteRef/>
      </w:r>
      <w:r>
        <w:t xml:space="preserve"> </w:t>
      </w:r>
      <w:r>
        <w:t xml:space="preserve">Markovitzki, Palmach’s Special Ground Units, 1989; Mike Eldar, Shayetet 13: The Story of Israel’s Naval Commandos (Hebrew; Tel-Aviv: Ma’arachot, 1993); Eldar, same; see chapter 6; chapter 9, §§9.4–9.5; Ronen Bergman, Rise and Kill First: The Secret History of Israel’s Targeted Assassinations (New York: Random House, 2018).</w:t>
      </w:r>
    </w:p>
  </w:endnote>
  <w:endnote w:id="121">
    <w:p>
      <w:pPr>
        <w:pStyle w:val="EndnoteText"/>
      </w:pPr>
      <w:r>
        <w:rPr>
          <w:rStyle w:val="EndnoteReference"/>
        </w:rPr>
        <w:endnoteRef/>
      </w:r>
      <w:r>
        <w:t xml:space="preserve"> </w:t>
      </w:r>
      <w:r>
        <w:t xml:space="preserve">Friling, Arrows in the Dark; Markovitzki 1989; Dror 1996; the Galili Institute’s publications on the pre-state Haganah special operations.</w:t>
      </w:r>
    </w:p>
  </w:endnote>
  <w:endnote w:id="123">
    <w:p>
      <w:pPr>
        <w:pStyle w:val="EndnoteText"/>
      </w:pPr>
      <w:r>
        <w:rPr>
          <w:rStyle w:val="EndnoteReference"/>
        </w:rPr>
        <w:endnoteRef/>
      </w:r>
      <w:r>
        <w:t xml:space="preserve"> </w:t>
      </w:r>
      <w:r>
        <w:t xml:space="preserve">[CITATION MISSING — no note text in the draft]</w:t>
      </w:r>
    </w:p>
  </w:endnote>
  <w:endnote w:id="124">
    <w:p>
      <w:pPr>
        <w:pStyle w:val="EndnoteText"/>
      </w:pPr>
      <w:r>
        <w:rPr>
          <w:rStyle w:val="EndnoteReference"/>
        </w:rPr>
        <w:endnoteRef/>
      </w:r>
      <w:r>
        <w:t xml:space="preserve"> </w:t>
      </w:r>
      <w:r>
        <w:t xml:space="preserve">[CITATION MISSING — no note text in the draft]</w:t>
      </w:r>
    </w:p>
  </w:endnote>
  <w:endnote w:id="125">
    <w:p>
      <w:pPr>
        <w:pStyle w:val="EndnoteText"/>
      </w:pPr>
      <w:r>
        <w:rPr>
          <w:rStyle w:val="EndnoteReference"/>
        </w:rPr>
        <w:endnoteRef/>
      </w:r>
      <w:r>
        <w:t xml:space="preserve"> </w:t>
      </w:r>
      <w:r>
        <w:t xml:space="preserve">[CITATION MISSING — no note text in the draft]</w:t>
      </w:r>
    </w:p>
  </w:endnote>
  <w:endnote w:id="126">
    <w:p>
      <w:pPr>
        <w:pStyle w:val="EndnoteText"/>
      </w:pPr>
      <w:r>
        <w:rPr>
          <w:rStyle w:val="EndnoteReference"/>
        </w:rPr>
        <w:endnoteRef/>
      </w:r>
      <w:r>
        <w:t xml:space="preserve"> </w:t>
      </w:r>
      <w:r>
        <w:t xml:space="preserve">[CITATION MISSING — no note text in the draft]</w:t>
      </w:r>
    </w:p>
  </w:endnote>
  <w:endnote w:id="127">
    <w:p>
      <w:pPr>
        <w:pStyle w:val="EndnoteText"/>
      </w:pPr>
      <w:r>
        <w:rPr>
          <w:rStyle w:val="EndnoteReference"/>
        </w:rPr>
        <w:endnoteRef/>
      </w:r>
      <w:r>
        <w:t xml:space="preserve"> </w:t>
      </w:r>
      <w:r>
        <w:t xml:space="preserve">[CITATION MISSING — no note text in the draft]</w:t>
      </w:r>
    </w:p>
  </w:endnote>
  <w:endnote w:id="128">
    <w:p>
      <w:pPr>
        <w:pStyle w:val="EndnoteText"/>
      </w:pPr>
      <w:r>
        <w:rPr>
          <w:rStyle w:val="EndnoteReference"/>
        </w:rPr>
        <w:endnoteRef/>
      </w:r>
      <w:r>
        <w:t xml:space="preserve"> </w:t>
      </w:r>
      <w:r>
        <w:t xml:space="preserve">[CITATION MISSING — no note text in the draft]</w:t>
      </w:r>
    </w:p>
  </w:endnote>
  <w:endnote w:id="130">
    <w:p>
      <w:pPr>
        <w:pStyle w:val="EndnoteText"/>
      </w:pPr>
      <w:r>
        <w:rPr>
          <w:rStyle w:val="EndnoteReference"/>
        </w:rPr>
        <w:endnoteRef/>
      </w:r>
      <w:r>
        <w:t xml:space="preserve"> </w:t>
      </w:r>
      <w:r>
        <w:t xml:space="preserve">[CITATION MISSING — no note text in the draft]</w:t>
      </w:r>
    </w:p>
  </w:endnote>
  <w:endnote w:id="131">
    <w:p>
      <w:pPr>
        <w:pStyle w:val="EndnoteText"/>
      </w:pPr>
      <w:r>
        <w:rPr>
          <w:rStyle w:val="EndnoteReference"/>
        </w:rPr>
        <w:endnoteRef/>
      </w:r>
      <w:r>
        <w:t xml:space="preserve"> </w:t>
      </w:r>
      <w:r>
        <w:t xml:space="preserve">[CITATION MISSING — no note text in the draft]</w:t>
      </w:r>
    </w:p>
  </w:endnote>
  <w:endnote w:id="132">
    <w:p>
      <w:pPr>
        <w:pStyle w:val="EndnoteText"/>
      </w:pPr>
      <w:r>
        <w:rPr>
          <w:rStyle w:val="EndnoteReference"/>
        </w:rPr>
        <w:endnoteRef/>
      </w:r>
      <w:r>
        <w:t xml:space="preserve"> </w:t>
      </w:r>
      <w:r>
        <w:t xml:space="preserve">[CITATION MISSING — no note text in the draft]</w:t>
      </w:r>
    </w:p>
  </w:endnote>
  <w:endnote w:id="133">
    <w:p>
      <w:pPr>
        <w:pStyle w:val="EndnoteText"/>
      </w:pPr>
      <w:r>
        <w:rPr>
          <w:rStyle w:val="EndnoteReference"/>
        </w:rPr>
        <w:endnoteRef/>
      </w:r>
      <w:r>
        <w:t xml:space="preserve"> </w:t>
      </w:r>
      <w:r>
        <w:t xml:space="preserve">[CITATION MISSING — no note text in the draft]</w:t>
      </w:r>
    </w:p>
  </w:endnote>
  <w:endnote w:id="134">
    <w:p>
      <w:pPr>
        <w:pStyle w:val="EndnoteText"/>
      </w:pPr>
      <w:r>
        <w:rPr>
          <w:rStyle w:val="EndnoteReference"/>
        </w:rPr>
        <w:endnoteRef/>
      </w:r>
      <w:r>
        <w:t xml:space="preserve"> </w:t>
      </w:r>
      <w:r>
        <w:t xml:space="preserve">[CITATION MISSING — no note text in the draft]</w:t>
      </w:r>
    </w:p>
  </w:endnote>
  <w:endnote w:id="135">
    <w:p>
      <w:pPr>
        <w:pStyle w:val="EndnoteText"/>
      </w:pPr>
      <w:r>
        <w:rPr>
          <w:rStyle w:val="EndnoteReference"/>
        </w:rPr>
        <w:endnoteRef/>
      </w:r>
      <w:r>
        <w:t xml:space="preserve"> </w:t>
      </w:r>
      <w:r>
        <w:t xml:space="preserve">[CITATION MISSING — no note text in the draft]</w:t>
      </w:r>
    </w:p>
  </w:endnote>
  <w:endnote w:id="136">
    <w:p>
      <w:pPr>
        <w:pStyle w:val="EndnoteText"/>
      </w:pPr>
      <w:r>
        <w:rPr>
          <w:rStyle w:val="EndnoteReference"/>
        </w:rPr>
        <w:endnoteRef/>
      </w:r>
      <w:r>
        <w:t xml:space="preserve"> </w:t>
      </w:r>
      <w:r>
        <w:t xml:space="preserve">[CITATION MISSING — no note text in the draft]</w:t>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endnotePr>
    <w:numFmt w:val="decimal"/>
    <w:endnote w:id="-1"/>
    <w:endnote w:id="0"/>
  </w:end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EndnoteText" w:type="paragraph">
    <w:name w:val="Endnote Text"/>
    <w:basedOn w:val="Normal"/>
    <w:next w:val="End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EndnoteReference" w:type="character">
    <w:name w:val="End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endnotes" Id="rId7" Target="endnotes.xml" /><Relationship Type="http://schemas.openxmlformats.org/officeDocument/2006/relationships/comments" Id="rId8" Target="comments.xml" /></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2026-08-10T01:56:49Z</dcterms:created>
  <dcterms:modified xsi:type="dcterms:W3CDTF">2026-08-10T01:56:49Z</dcterms:modified>
</cp:coreProperties>
</file>

<file path=docProps/custom.xml><?xml version="1.0" encoding="utf-8"?>
<Properties xmlns="http://schemas.openxmlformats.org/officeDocument/2006/custom-properties" xmlns:vt="http://schemas.openxmlformats.org/officeDocument/2006/docPropsVTypes"/>
</file>