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chapter-4-old-new-threats"/>
    <w:p>
      <w:pPr>
        <w:pStyle w:val="Heading1"/>
      </w:pPr>
      <w:r>
        <w:t xml:space="preserve">Chapter 4 — Old New Threats</w:t>
      </w:r>
    </w:p>
    <w:p>
      <w:pPr>
        <w:pStyle w:val="FirstParagraph"/>
      </w:pPr>
      <w:r>
        <w:rPr>
          <w:iCs/>
          <w:i/>
        </w:rPr>
        <w:t xml:space="preserve">1948–1956</w:t>
      </w:r>
    </w:p>
    <w:bookmarkStart w:id="25" w:name="X1bca8d7eaf2048471fd1aa47d5fd4346ebc9ea7"/>
    <w:p>
      <w:pPr>
        <w:pStyle w:val="Heading2"/>
      </w:pPr>
      <w:r>
        <w:t xml:space="preserve">4.1 The Sinking of the King Farouk, October 22, 1948</w:t>
      </w:r>
    </w:p>
    <w:p>
      <w:pPr>
        <w:pStyle w:val="FirstParagraph"/>
      </w:pPr>
      <w:r>
        <w:t xml:space="preserve">The afternoon of the twenty-second of October 1948 found Yochai Bin-Nun aboard the Israeli Navy patrol vessel Ma’oz, off the coast of Gaza, approximately twelve kilometers north of the small port of el-Bureij. The thirty-four-year-old former Palyam officer had assumed command, six weeks earlier, of the small unit the Naval Service of the new Israel Defense Forces had constituted by merging the Palyam’s explosive-boat squadron — which Bin-Nun himself had commanded since the autumn of 1947 — with the smaller and operationally less spectacular underwater-sabotage cadre that Yosef Dror had built in the closing months of the same year. The new formation, designated under the cover name Shayetet 13 (Flotilla 13), had been institutionally constituted in late August 1948 in the small Mediterranean port of Atlit, on the Carmel coast south of Haifa. By the late afternoon of the twenty-second of October it had not yet conducted an operation of its own. The Egyptian fleet, in the closing hours of Operation Yoav — the IDF’s offensive against the Egyptian forces in the Negev, that had begun on the fifteenth and was scheduled to end with the United Nations–brokered ceasefire that would take effect at midnight — had provided the new flotilla with the operational opportunity its institutional founders had been waiting for.</w:t>
      </w:r>
      <w:r>
        <w:rPr>
          <w:rStyle w:val="EndnoteReference"/>
        </w:rPr>
        <w:endnoteReference w:id="20"/>
      </w:r>
    </w:p>
    <w:p>
      <w:pPr>
        <w:pStyle w:val="BodyText"/>
      </w:pPr>
      <w:r>
        <w:t xml:space="preserve">The Egyptian flagship Emir Farouk — a twenty-year-old destroyer of the type the Royal Navy had built in the closing years of the First World War and had sold to the Egyptian Navy in 1928 — had been spotted by Israeli aerial reconnaissance at first light on the twenty-second, escorted by a small minesweeper of the BYMS class, transiting north toward the Egyptian coast after delivering ammunition to the Egyptian land forces still holding positions in the southern Gaza pocket. By midday the two vessels had been brought, by the Israeli Navy’s main surface combatant Ma’oz, into operational range of the four explosive boats — Italian-built motor torpedo boats of the type the Decima Flottiglia MAS had used during the Second World War — that Bin-Nun’s Shayetet 13 had spent the preceding ten months learning to operate. At nine minutes past nine on the evening of the twenty-second, in the calm sea and the moonless dark of the new lunar month, the Ma’oz released the four explosive boats and the small extraction launch that would, if the operation succeeded, retrieve the four operators who would have ejected from their boats in the moments before impact. The two boats designated for the Emir Farouk both struck the destroyer’s hull amidships. The third boat, originally targeted for the minesweeper, was redirected by Bin-Nun himself on his initiative as commander of the operation when he calculated that the minesweeper might survive the first attack and escape. Bin-Nun’s boat struck the minesweeper. The ejection mechanism of his own boat failed. Bin-Nun jumped clear of the vessel at a distance of approximately fifty meters from the point of impact — less than half the minimum safe distance the Italian operational manual prescribed — and reached the surface, lightly burned but uninjured, in the moments before the boat detonated. The Emir Farouk sank within fifteen minutes. The minesweeper sank shortly afterward. The fourth boat picked up the three other operators and Bin-Nun. By the time the Egyptian and the British naval response had arrived on the scene, Shayetet 13’s first operational deployment had concluded with the destruction of the principal warship of the Egyptian Mediterranean fleet.</w:t>
      </w:r>
      <w:r>
        <w:rPr>
          <w:rStyle w:val="EndnoteReference"/>
        </w:rPr>
        <w:endnoteReference w:id="21"/>
      </w:r>
    </w:p>
    <w:p>
      <w:pPr>
        <w:pStyle w:val="BodyText"/>
      </w:pPr>
      <w:r>
        <w:t xml:space="preserve">❓ שאלה לעמי: הפתיחה מתחילה בסצנה אטמוספרית של ה-Emir Farouk (October 22 1948) — מאחר שה-source draft שלך מציג את זה כ”קש שבר את גב הגמל” (לפי בן גוריון עצמו) ומאחר שזו הפעולה הקומנדואית האחרונה המשמעותית של הפלמ”ח לפני הצו לפירוקו 16 ימים לאחר מכן, האירוניה חזקה. שאלה: האם אתה רוצה שאני אפתח כך, או שאתה מעדיף סצנה מ-1952-1953 (כמו ציטוט הר-ציון על</w:t>
      </w:r>
      <w:r>
        <w:t xml:space="preserve"> </w:t>
      </w:r>
      <w:r>
        <w:t xml:space="preserve">“</w:t>
      </w:r>
      <w:r>
        <w:t xml:space="preserve">האווירה הקודרת בצה</w:t>
      </w:r>
      <w:r>
        <w:t xml:space="preserve">”</w:t>
      </w:r>
      <w:r>
        <w:t xml:space="preserve">ל”) שמדגישה את הוואקום שיוצרת הסגירה ולא את ההצלחה לפניה?</w:t>
      </w:r>
    </w:p>
    <w:p>
      <w:pPr>
        <w:pStyle w:val="BodyText"/>
      </w:pPr>
      <w:r>
        <w:t xml:space="preserve">The institutional consequences of the sinking of the Emir Farouk, for the Yishuv-to-Israel transition this chapter is reconstructing, were of two kinds. The immediate political consequence was the operational confirmation, on the eve of the United Nations–imposed ceasefire that would end the active phase of the 1948 war, that the Israeli Navy possessed the technical capability to inflict strategically significant damage on the principal warships of the Arab navies — a consequence Ben-Gurion himself, in a Knesset speech of November 1948 that would become canonical in the institutional histories of Shayetet 13, characterized as</w:t>
      </w:r>
      <w:r>
        <w:t xml:space="preserve"> </w:t>
      </w:r>
      <w:r>
        <w:t xml:space="preserve">“</w:t>
      </w:r>
      <w:r>
        <w:t xml:space="preserve">the straw that broke the camel’s back</w:t>
      </w:r>
      <w:r>
        <w:t xml:space="preserve">”</w:t>
      </w:r>
      <w:r>
        <w:t xml:space="preserve"> </w:t>
      </w:r>
      <w:r>
        <w:t xml:space="preserve">in the Egyptian decision to accept the Rhodes armistice negotiations of February 1949.</w:t>
      </w:r>
      <w:r>
        <w:rPr>
          <w:rStyle w:val="EndnoteReference"/>
        </w:rPr>
        <w:endnoteReference w:id="22"/>
      </w:r>
      <w:r>
        <w:t xml:space="preserve"> </w:t>
      </w:r>
      <w:r>
        <w:t xml:space="preserve">The longer institutional consequence, more important for the argument this chapter is constructing, was the operational confirmation — at the level of cabinet and senior military discussion in the autumn of 1948 — that the Palmach’s wartime doctrinal absorption of the British and Italian special operations templates had produced, in the unit cohort that Bin-Nun commanded, operational capabilities the new Israeli state could not afford to dismantle without significant operational cost. The political logic that would shortly produce Ben-Gurion’s order of the seventh of November — the order to dismantle the Palmach as an independent institutional formation and to absorb its personnel into the conventional formations of the new IDF — operated, in the autumn of 1948, against the operational evidence the Bin-Nun action had just supplied.</w:t>
      </w:r>
      <w:r>
        <w:rPr>
          <w:rStyle w:val="EndnoteReference"/>
        </w:rPr>
        <w:endnoteReference w:id="23"/>
      </w:r>
    </w:p>
    <w:p>
      <w:pPr>
        <w:pStyle w:val="BodyText"/>
      </w:pPr>
      <w:r>
        <w:t xml:space="preserve">The political logic prevailed. Sixteen days after the sinking of the Emir Farouk, on the seventh of November 1948, Ben-Gurion signed the order that dismantled the Palmach. The order’s institutional consequences are the subject of the next section of this chapter. Its operational consequences — the dispersal of the Palmach’s specialized doctrinal package across the conventional formations of the new IDF, the suppression of the unit’s distinctive culture, and the absence of any institutional vehicle that could carry the special-operations inheritance the wartime collaboration with the British SOF establishment had transmitted to the Yishuv — would define the operational landscape of the new Israeli military for the next nine years, until the spring of 1957, when, as Chapter 5 will reconstruct, Avraham Arnan would propose to the General Staff the establishment of a small permanent reconnaissance unit modeled on the British SAS template that the Palmach’s wartime training had absorbed. The institutional logic of the post-1948 Israeli military, in the period this chapter is about, ran in the opposite direction from the institutional logic the Palmach veterans of 1948 had expected it to run in.</w:t>
      </w:r>
      <w:r>
        <w:rPr>
          <w:rStyle w:val="EndnoteReference"/>
        </w:rPr>
        <w:endnoteReference w:id="24"/>
      </w:r>
    </w:p>
    <w:p>
      <w:pPr>
        <w:pStyle w:val="BodyText"/>
      </w:pPr>
      <w:r>
        <w:t xml:space="preserve">❓ שאלה לעמי: השאלה השניה — מקור</w:t>
      </w:r>
      <w:r>
        <w:t xml:space="preserve"> </w:t>
      </w:r>
      <w:r>
        <w:t xml:space="preserve">“</w:t>
      </w:r>
      <w:r>
        <w:t xml:space="preserve">הקש שבר את גב הגמל</w:t>
      </w:r>
      <w:r>
        <w:t xml:space="preserve">”</w:t>
      </w:r>
      <w:r>
        <w:t xml:space="preserve"> </w:t>
      </w:r>
      <w:r>
        <w:t xml:space="preserve">של בן גוריון מהנאום בכנסת בנובמבר 1948: ה-source שלך מציין שזה ידוע, אבל אני לא מצאתי את התאריך המדויק או את הציטוט הוורבטים בנאום כנסת ספציפי. האם יש לך מקור (אלדר 1993? שפירא 1984?) שמצטט את הציטוט מתועד, או שאני צריך לסמן [</w:t>
      </w:r>
      <w:r>
        <w:t xml:space="preserve">“</w:t>
      </w:r>
      <w:r>
        <w:t xml:space="preserve">TK verbatim citation</w:t>
      </w:r>
      <w:r>
        <w:t xml:space="preserve">”</w:t>
      </w:r>
      <w:r>
        <w:t xml:space="preserve">] עד שנמצא?</w:t>
      </w:r>
    </w:p>
    <w:bookmarkEnd w:id="25"/>
    <w:bookmarkStart w:id="32" w:name="X0a817e6cc210630a1417e0a29753ade353a792d"/>
    <w:p>
      <w:pPr>
        <w:pStyle w:val="Heading2"/>
      </w:pPr>
      <w:r>
        <w:t xml:space="preserve">4.2 The Palmach Dismantling Order, November 7, 1948</w:t>
      </w:r>
    </w:p>
    <w:p>
      <w:pPr>
        <w:pStyle w:val="FirstParagraph"/>
      </w:pPr>
      <w:r>
        <w:t xml:space="preserve">The order Ben-Gurion signed on the seventh of November 1948 was, in its bureaucratic language, an administrative instrument of three operative paragraphs. It announced the dissolution of the institutional headquarters of the Palmach — the command staff Sadeh had founded in May 1941 at the Mishmar Ha-Emek dining hall and that Yigal Allon, since his October 1945 succession to Sadeh, had commanded for three years. It ordered the absorption of the Palmach’s six wartime brigades — the three infantry brigades (Yiftach, Negev, Harel), the Eighth Armored Brigade Sadeh had constituted in the spring of 1948, the Palyam (whose institutional separation from the conventional Palmach the previous chapter has reconstructed), and the Seventh Company that had consolidated the Palmach’s intelligence and reconnaissance cadres — into the conventional command structure of the IDF General Staff. It dispersed the Palmach’s central institutional functions — operational planning, doctrine development, training — across the regional commands and the General Staff branches of the new army. The order did not, in its administrative language, abolish the Palmach. It did not declare the unit dissolved. It did not, on the surface of the text Ben-Gurion signed, do anything more than reorganize the institutional position of an existing formation within a larger institutional structure that the new state’s army had constructed in the months since the May 1948 declaration of independence.</w:t>
      </w:r>
      <w:r>
        <w:rPr>
          <w:rStyle w:val="EndnoteReference"/>
        </w:rPr>
        <w:endnoteReference w:id="26"/>
      </w:r>
    </w:p>
    <w:p>
      <w:pPr>
        <w:pStyle w:val="BodyText"/>
      </w:pPr>
      <w:r>
        <w:t xml:space="preserve">What the order did, in the institutional reality of the months that followed, was end the Palmach as a distinct institutional formation. Allon, who had been the Palmach’s commander since October 1945 and had led the unit through the entire 1948 war, recognized the administrative language of the order as the institutional vehicle for the unit’s effective dissolution. He resigned within ten days. The Palmach’s senior officer corps, in the institutional reorganization of the IDF General Staff that the Allon resignation triggered, found itself dispersed across the new army’s conventional brigades and General Staff positions in arrangements that — in the post-war analysis of the institutional sociology of the Palmach diaspora — would be read as the deliberate political dilution of the unit’s cohesive institutional culture. Yitzhak Sadeh, the Palmach’s founder and the doctrinal architect of the wartime absorption of the British SOF template that the previous chapter has reconstructed, was reassigned in the institutional shuffle of the winter of 1948–1949 from his summer 1948 command of the Eighth Armored Brigade to the ambiguous and politically subordinate position the IDF General Staff designated, in the language of the period’s institutional documentation, as</w:t>
      </w:r>
      <w:r>
        <w:t xml:space="preserve"> </w:t>
      </w:r>
      <w:r>
        <w:t xml:space="preserve">“</w:t>
      </w:r>
      <w:r>
        <w:t xml:space="preserve">advisor to the Chief of Staff.</w:t>
      </w:r>
      <w:r>
        <w:t xml:space="preserve">”</w:t>
      </w:r>
      <w:r>
        <w:t xml:space="preserve"> </w:t>
      </w:r>
      <w:r>
        <w:t xml:space="preserve">The position carried no operational authority. Sadeh would hold it through 1949 and into 1950, would write the two Maarachot articles on commando doctrine the next section of this chapter will take up, and would, in the institutional rearrangement that followed Yadin’s December 1952 resignation, find himself effectively retired from active military service. He would die in August 1952 at the age of sixty-two, an institutional figure the new IDF’s leadership had largely ceased to consult.</w:t>
      </w:r>
      <w:r>
        <w:rPr>
          <w:rStyle w:val="EndnoteReference"/>
        </w:rPr>
        <w:endnoteReference w:id="27"/>
      </w:r>
    </w:p>
    <w:p>
      <w:pPr>
        <w:pStyle w:val="BodyText"/>
      </w:pPr>
      <w:r>
        <w:t xml:space="preserve">The political motivations for the seventh-of-November order have been the subject of a substantial post-war scholarly literature. The literature divides, in its institutional reconstruction of Ben-Gurion’s decision, into three principal interpretive schools. The first school — represented in its mature form by Uri Ben-Eliezer’s Emergence of Israeli Militarism of 1995 — locates Ben-Gurion’s motivation in the doctrine of mamlachtiyut (sovereignty, or</w:t>
      </w:r>
      <w:r>
        <w:t xml:space="preserve"> </w:t>
      </w:r>
      <w:r>
        <w:t xml:space="preserve">“</w:t>
      </w:r>
      <w:r>
        <w:t xml:space="preserve">statehood</w:t>
      </w:r>
      <w:r>
        <w:t xml:space="preserve">”</w:t>
      </w:r>
      <w:r>
        <w:t xml:space="preserve">) that Ben-Gurion himself, in the political writings of the 1940s and early 1950s, had elaborated as the foundational principle of the new state’s institutional architecture. The principle’s operational consequence for the new state’s military was that a sovereign state, in Ben-Gurion’s reading, could not tolerate the existence of politically affiliated armed formations within its sovereign territory. The Palmach’s institutional bond with the United Kibbutz Movement — the political-economic federation of kibbutzim that, in the early 1950s, would become the institutional core of the left-wing party Mapam — was, in Ben-Gurion’s mamlachtiyut reading, the institutional condition under which the Palmach had to be dismantled. The second school — represented in Dov Tamari’s Armed Nation of 2012 — locates the motivation in the more immediately political fact that Ben-Gurion’s own party, Mapai, was in the autumn of 1948 in an institutional rivalry with the United Kibbutz Movement, and that the Palmach’s institutional sympathies for the kibbutz movement made it, in Ben-Gurion’s calculation, an unreliable instrument of Mapai’s political program. The third school — represented in Yoav Gelber’s Why Was the Palmach Disbanded? of 1986 — locates the motivation in Ben-Gurion’s strategic judgment that the Palmach’s specifically counterinsurgency-oriented operational doctrine, however effective it had been against the Arab partisan formations of the 1947–1948 inter-communal phase of the conflict, was inadequate for the conventional inter-state war that the Arab regular armies’ invasion of May 1948 had transformed the operational character of the campaign into. The three interpretations are not mutually exclusive. In the institutional account this chapter is constructing, all three motivations are taken to have operated, in varying weights at different stages of the autumn of 1948, on Ben-Gurion’s decision.</w:t>
      </w:r>
      <w:r>
        <w:rPr>
          <w:rStyle w:val="EndnoteReference"/>
        </w:rPr>
        <w:endnoteReference w:id="28"/>
      </w:r>
    </w:p>
    <w:p>
      <w:pPr>
        <w:pStyle w:val="BodyText"/>
      </w:pPr>
      <w:r>
        <w:t xml:space="preserve">❓ שאלה לעמי: הספר שכתבת מציג את שלוש האסכולות (Ben-Eliezer / Tamari / Gelber) ואז דוחה את השלישית כ”לא משכנעת” (כי הביצוע הקרבי של הפלמ”ח ב-1948 היה מצוין). בטיוטה הקאנונית בעברית שלך כתבת:</w:t>
      </w:r>
      <w:r>
        <w:t xml:space="preserve"> </w:t>
      </w:r>
      <w:r>
        <w:t xml:space="preserve">“</w:t>
      </w:r>
      <w:r>
        <w:t xml:space="preserve">This explanation is the least convincing among the three.</w:t>
      </w:r>
      <w:r>
        <w:t xml:space="preserve">”</w:t>
      </w:r>
      <w:r>
        <w:t xml:space="preserve"> </w:t>
      </w:r>
      <w:r>
        <w:t xml:space="preserve">האם אתה רוצה שאני אדחה במפורש את האסכולה השלישית בנוסח הפרק (כפי שעשית בטיוטה המקורית), או שאתה מעדיף שאני אציג את שלוש האסכולות כשוות-משקל ואשאיר את ההכרעה למילים מאוחרות יותר?</w:t>
      </w:r>
    </w:p>
    <w:p>
      <w:pPr>
        <w:pStyle w:val="BodyText"/>
      </w:pPr>
      <w:r>
        <w:t xml:space="preserve">What concerns the argument of the present chapter, more than the question of which of the three motivations weighed most heavily on Ben-Gurion in the autumn of 1948, is the institutional question of what the order’s execution did to the doctrinal package the Palmach had carried out of its wartime collaboration with the British SOF establishment. The institutional answer, on the operational evidence of the years 1948 to 1953 that the rest of this chapter is reconstructing, was that the order’s execution scattered the doctrinal package without preserving it. The Palmach’s veteran officers and operators were dispersed across the new IDF’s conventional formations in arrangements that did not permit the unit’s distinctive doctrine to be transmitted at the institutional level. The Mistarvim platoons, the German Platoon, the Seventh Company’s specialized intelligence and reconnaissance cadres — the institutional vehicles through which, in the wartime years 1941 to 1945, the Palmach had absorbed the SAS, the SOE Syrian Scheme, and the LRDG operational templates — were broken up in the institutional dispersal of 1948 and 1949. Their personnel went, in the institutional disposition of the new IDF, to conventional infantry battalions where the specialized doctrine they carried did not survive the institutional pressures of conventional regimental life. The new Israeli army would, in the closing years of the 1940s and the early 1950s, operate as a conventionally organized institutional formation in which the doctrinal inheritance the Palmach had carried out of the war existed only in the private operational memories of dispersed individuals.</w:t>
      </w:r>
      <w:r>
        <w:rPr>
          <w:rStyle w:val="EndnoteReference"/>
        </w:rPr>
        <w:endnoteReference w:id="29"/>
      </w:r>
    </w:p>
    <w:p>
      <w:pPr>
        <w:pStyle w:val="BodyText"/>
      </w:pPr>
      <w:r>
        <w:t xml:space="preserve">This institutional outcome, I argue, was the most consequential operational fact of Ben-Gurion’s seventh-of-November order. Yaakov Markovitzki, in his 1989 institutional history Palmach’s Special Ground Units, makes the argument with characteristic analytical precision. The Palmach, Markovitzki writes,</w:t>
      </w:r>
      <w:r>
        <w:t xml:space="preserve"> </w:t>
      </w:r>
      <w:r>
        <w:t xml:space="preserve">“</w:t>
      </w:r>
      <w:r>
        <w:t xml:space="preserve">was not a special operations force.</w:t>
      </w:r>
      <w:r>
        <w:t xml:space="preserve">”</w:t>
      </w:r>
      <w:r>
        <w:t xml:space="preserve"> </w:t>
      </w:r>
      <w:r>
        <w:t xml:space="preserve">It had not been founded as one. It had not, in its institutional self-understanding through the 1940s, identified itself as one. But the wartime operational collaboration with the British SOF establishment had produced, in the unit, an institutional body of knowledge that, by the closing years of the Mandate period, had no operational equivalent anywhere else in the Yishuv’s military apparatus. The knowledge — irregular warfare and night combat and demolition; intimate familiarity with the terrain of Palestine and the surrounding Levant; identity-deception capabilities developed in the German Platoon and the Mistarvim under the SOE’s clandestine direction — had been absorbed across five years of operational deployment. It would, after the dispersal of November 1948, take more than a decade to reconstitute. The institutional vehicle through which the reconstitution would, eventually, occur — Sayeret Matkal under Avraham Arnan, established in late 1957 — would, in its institutional founding, draw not on a continuous institutional inheritance from the Palmach but on the private operational memories of a few dispersed Palmach veterans who had been carrying the doctrinal package, in their own individual ways, across the institutional dispersal years.</w:t>
      </w:r>
      <w:r>
        <w:rPr>
          <w:rStyle w:val="EndnoteReference"/>
        </w:rPr>
        <w:endnoteReference w:id="30"/>
      </w:r>
    </w:p>
    <w:p>
      <w:pPr>
        <w:pStyle w:val="BodyText"/>
      </w:pPr>
      <w:r>
        <w:t xml:space="preserve">Ben-Gurion’s seventh-of-November order, in other words, did not extinguish the Yishuv’s wartime SOF inheritance. It privatized it. The doctrinal package the Palmach had absorbed across the war years became, on the eighth of November 1948, the property of the dispersed individuals who had served in the Palmach’s specialized cadres. The institutional vehicle that had carried the doctrinal package — that had carried it institutionally, doctrinally, in the form of standing units and training programs and operational practices that could be reproduced and extended — was gone. The reconstitution of the institutional vehicle would have to wait, in the operational history that the rest of the chapter and the next chapter reconstruct, until the spring of 1957.</w:t>
      </w:r>
      <w:r>
        <w:rPr>
          <w:rStyle w:val="EndnoteReference"/>
        </w:rPr>
        <w:endnoteReference w:id="31"/>
      </w:r>
    </w:p>
    <w:bookmarkEnd w:id="32"/>
    <w:bookmarkStart w:id="43" w:name="X9bc99dd3eabdc7f79e3521f6b1166eed138b2ab"/>
    <w:p>
      <w:pPr>
        <w:pStyle w:val="Heading2"/>
      </w:pPr>
      <w:r>
        <w:t xml:space="preserve">4.3 The Founding Doctrine of the IDF, 1949–1953</w:t>
      </w:r>
    </w:p>
    <w:p>
      <w:pPr>
        <w:pStyle w:val="FirstParagraph"/>
      </w:pPr>
      <w:r>
        <w:t xml:space="preserve">The institutional architecture of the new IDF was constructed, in the years between the end of the active phase of the 1948 war and the spring of 1957, in three principal documents that successive Chiefs of Staff and Ministry of Defense Directors-General signed into operational force. The first was Ben-Gurion’s own national security doctrine, formulated in the long memoranda the prime minister and minister of defense drafted across 1949 and 1950 and published in the consolidated form of the operational papers known, in the institutional documentation of the period, as the</w:t>
      </w:r>
      <w:r>
        <w:t xml:space="preserve"> </w:t>
      </w:r>
      <w:r>
        <w:t xml:space="preserve">“</w:t>
      </w:r>
      <w:r>
        <w:t xml:space="preserve">Five Pillars of Israeli National Security.</w:t>
      </w:r>
      <w:r>
        <w:t xml:space="preserve">”</w:t>
      </w:r>
      <w:r>
        <w:t xml:space="preserve"> </w:t>
      </w:r>
      <w:r>
        <w:t xml:space="preserve">The five pillars — deterrence against escalation through the projection of disproportionate response; the construction of a sophisticated strategic intelligence apparatus that would provide Israel with advance notice of Arab military planning; a multilayered defensive system along the new state’s borders; the formation of a small first-rate standing conscript army backed by a large reserve mobilization apparatus; and an offensive war doctrine that would, on the outbreak of war, take the fighting across the enemy’s territory and use overwhelming concentrated force to reach a rapid and decisive conclusion — became, across the 1950s and into the 1960s, the institutional framework within which the IDF’s branch-level doctrines were elaborated.</w:t>
      </w:r>
      <w:r>
        <w:rPr>
          <w:rStyle w:val="EndnoteReference"/>
        </w:rPr>
        <w:endnoteReference w:id="33"/>
      </w:r>
    </w:p>
    <w:p>
      <w:pPr>
        <w:pStyle w:val="BodyText"/>
      </w:pPr>
      <w:r>
        <w:t xml:space="preserve">The second document was Yigael Yadin’s reserve-army architecture, formulated by the second Chief of Staff during his three-year tenure of January 1949 to December 1952. Yadin, who had served as the Haganah’s chief of operations in the 1948 war and who had been promoted to the chief-of-staff position on the recommendation of Ben-Gurion himself, brought to the institutional reconstruction of the new army a strategic insight that the political conditions of the new state had made operationally unavoidable. The state, in the years 1949 to 1952, could not afford a large standing army. The economic burden of the absorption of approximately seven hundred thousand Jewish immigrants between 1948 and 1951 — most of them indigent refugees from the displaced-persons camps of Europe or from the Arab countries that had withdrawn their citizenship after the founding of the Jewish state — had stretched the new state’s institutional capacity to its operational limits. The state could not afford, simultaneously, to fund a large standing military, an immigrant-absorption apparatus, and the basic institutional infrastructure of a sovereign state. Yadin’s solution, formalized in the Hok Sherut Bitachon (Defense Service Law) of 1949 and in the institutional reorganization of the IDF that followed, was the small standing army backed by a large reserve mobilization apparatus that the fourth pillar of Ben-Gurion’s national security doctrine had specified. Conscripts would serve, on the Yadin model, for three years (men) or two years (women) in the standing army’s combat units. After the conclusion of their conscription service, they would remain liable to annual reserve duty until the age of fifty-five for combat soldiers and longer for specialist personnel. The reserve obligation produced, on the operational paper of the period’s military demographics, an army of approximately 250,000 mobilizable personnel against a standing force of approximately 70,000. The reserve architecture was Yadin’s principal institutional contribution to the new state’s military. It would survive, with adaptations, into the twenty-first century.</w:t>
      </w:r>
      <w:r>
        <w:rPr>
          <w:rStyle w:val="EndnoteReference"/>
        </w:rPr>
        <w:endnoteReference w:id="34"/>
      </w:r>
    </w:p>
    <w:p>
      <w:pPr>
        <w:pStyle w:val="BodyText"/>
      </w:pPr>
      <w:r>
        <w:t xml:space="preserve">The third document — and the one that mattered most for the operational landscape this chapter is reconstructing — was the doctrinal restructuring that Yadin’s successor, Mordechai Maklef, signed into operational effect during the brief eleven months of his chief-of-staff tenure between December 1952 and December 1953. Maklef’s appointment had been, by the standards of the institutional succession of the new state’s military, politically charged. Yadin had resigned on the seventh of December 1952 over a budget dispute with the Mapai-led cabinet — the cabinet, citing the state’s fiscal emergency in the closing months of the immigration absorption crisis, had ordered the IDF to reduce its standing budget by approximately twenty-five percent at a moment when the chief of staff considered the standing army to be already under-equipped and under-trained for the operational requirements of the post-armistice period. Yadin, in his resignation letter to Ben-Gurion, identified the cabinet’s budget decision as institutionally incompatible with the operational responsibilities the chief of staff had been given to discharge. He left the army. Ben-Gurion appointed Maklef — a Haganah veteran, a British army veteran of the Second World War, and, perhaps as importantly, a member of Ben-Gurion’s own Mapai party — to succeed him.</w:t>
      </w:r>
      <w:r>
        <w:rPr>
          <w:rStyle w:val="EndnoteReference"/>
        </w:rPr>
        <w:endnoteReference w:id="35"/>
      </w:r>
    </w:p>
    <w:p>
      <w:pPr>
        <w:pStyle w:val="BodyText"/>
      </w:pPr>
      <w:r>
        <w:t xml:space="preserve">❓ שאלה לעמי: התעמקתי ב-Tibon (מערכות 438) ובאוויאד (ידין 2017) על ההתפטרות של ידין ועל מינוי מקלף. בנקודה הזאת יש שני סיפורים מסקרניים שאני יכול להרחיב או לקצר: (א) הקונפליקט הספציפי על תקציב ה-IDF בסתיו 1952 (יכול להיות פסקה משלו), (ב) ההיבט הפוליטי-מפלגתי של מינוי מקלף — שהיה חבר מפא”י כשידין לא היה. עד כמה לרדת לפרטים? אני נוטה להישאר עם רמת הסקירה הנוכחית אבל אם אתה רוצה — אבנה את שני הסיפורים לכדי פסקאות נפרדות.</w:t>
      </w:r>
    </w:p>
    <w:p>
      <w:pPr>
        <w:pStyle w:val="BodyText"/>
      </w:pPr>
      <w:r>
        <w:t xml:space="preserve">Maklef’s institutional consequence, in the operational history this chapter is constructing, was less the brevity of his tenure than the doctrinal framework his eleven months in office produced. In the closing months of 1952 and the opening months of 1953, Maklef convened a series of institutional discussions of what the new army’s branch-level priorities should be. The discussions — reconstructed in Amiram Oren’s 2002 archival study of the IDF’s Order-of-Battle Assessment documents and in Noam Tibon’s Maarachot article of 2011 — produced, by the spring of 1953, the doctrinal document that would become known, in the institutional usage of the period, as the</w:t>
      </w:r>
      <w:r>
        <w:t xml:space="preserve"> </w:t>
      </w:r>
      <w:r>
        <w:t xml:space="preserve">“</w:t>
      </w:r>
      <w:r>
        <w:t xml:space="preserve">Four Strike Forces</w:t>
      </w:r>
      <w:r>
        <w:t xml:space="preserve">”</w:t>
      </w:r>
      <w:r>
        <w:t xml:space="preserve"> </w:t>
      </w:r>
      <w:r>
        <w:t xml:space="preserve">assessment. The document identified four branch-level forces as the IDF’s operational priorities for the second half of the 1950s. The first was a strategic-intelligence apparatus that could provide the political and military leadership with advance notice of Arab military planning at the operational scale. The second was an air force capable of delivering decisive strikes against the air and ground forces of the surrounding Arab states. The third was an armored corps capable of conducting offensive armored operations against the conventional formations of the Arab armies. The fourth — and the operational element that mattered most for this chapter’s argument — was a paratrooper force dedicated to special operations behind enemy lines.</w:t>
      </w:r>
      <w:r>
        <w:rPr>
          <w:rStyle w:val="EndnoteReference"/>
        </w:rPr>
        <w:endnoteReference w:id="36"/>
      </w:r>
    </w:p>
    <w:p>
      <w:pPr>
        <w:pStyle w:val="BodyText"/>
      </w:pPr>
      <w:r>
        <w:t xml:space="preserve">The fourth strike force was, in the doctrinal logic of the Maklef document of 1953, the IDF’s institutional answer to the operational requirement for special operations capability. The institutional logic the document operated on was straightforward. The new Israeli army required, in the operational scenarios its strategic-intelligence apparatus would identify, an institutional vehicle for operations behind enemy lines — airfield raids, communication-infrastructure sabotage, deep-reconnaissance and intelligence-collection missions of the kind the British SOF establishment of 1940 to 1945 had pioneered and that the IDF’s potential adversaries in the surrounding Arab states would themselves, by the early 1960s, begin to develop dedicated commando capabilities to conduct. The institutional vehicle the document specified for the role was the paratrooper force. The paratroopers, in the Maklef doctrine, would be airborne-inserted behind enemy lines for the duration of the operational period. They would conduct the kind of operations the British SAS had conducted in the western desert in 1941 and 1942. They would, on the Maklef model, be the IDF’s special-operations force.</w:t>
      </w:r>
      <w:r>
        <w:rPr>
          <w:rStyle w:val="EndnoteReference"/>
        </w:rPr>
        <w:endnoteReference w:id="37"/>
      </w:r>
    </w:p>
    <w:p>
      <w:pPr>
        <w:pStyle w:val="BodyText"/>
      </w:pPr>
      <w:r>
        <w:t xml:space="preserve">❓ שאלה לעמי: הנקודה הזאת היא ה-pivot של הפרק כולו — שמקלף בנה ב-1953 דוקטרינה שהציבה את הצנחנים, ולא יחידה ייעודית, בראש מערך ה-SOF. הספר שלך מציג זאת כתפיסה אמריקאית-מודרך (לפי דיין שהושפע מ-82nd ו-101st Airborne). השאלה: האם אתה רוצה שאסביר את ההיגיון הזה כצעד מודע (ייצור בידול בין שני סוגי כוחות מובחנים — קומנדו-של-קרב vs. סוכנות-מודיעין) או כפשרה ביורוקרטית (בחירה במה שכבר קיים מתוך חוסר נכונות לבנות יחידה חדשה)?</w:t>
      </w:r>
    </w:p>
    <w:p>
      <w:pPr>
        <w:pStyle w:val="BodyText"/>
      </w:pPr>
      <w:r>
        <w:t xml:space="preserve">The Maklef doctrine had three institutional consequences that defined the operational landscape of the IDF for the rest of the 1950s. The first was the institutional confirmation that the IDF would not, in its founding doctrine, possess a dedicated SOF formation of the British SAS model that the Palmach’s wartime training had absorbed. The doctrinal package the Palmach had carried out of its 1941–1942 collaboration with the SAS, the SOE, and the LRDG would not, in the Maklef institutional disposition, be reconstituted at the unit level. Instead, the operational responsibilities the British dedicated SOF units had performed in the Second World War would, on the Israeli side, be assigned to the paratrooper force — a force structured, in the institutional sociology of the period, as an elite infantry formation operating at battalion scale rather than as a small permanent special-operations cadre operating at company or sub-company scale. The institutional difference was substantial. The British SAS that the Palmach had collaborated with in 1942 had operated, at its institutional peak, with two regiments of approximately three hundred operators each. The IDF paratrooper force that the Maklef doctrine designated as the Israeli SOF equivalent would, by the mid-1950s, operate at brigade strength — three battalions of approximately five hundred operators each. The institutional scale was different. The institutional logic was different. The operational character of the force that would result was different.</w:t>
      </w:r>
      <w:r>
        <w:rPr>
          <w:rStyle w:val="EndnoteReference"/>
        </w:rPr>
        <w:endnoteReference w:id="38"/>
      </w:r>
    </w:p>
    <w:p>
      <w:pPr>
        <w:pStyle w:val="BodyText"/>
      </w:pPr>
      <w:r>
        <w:t xml:space="preserve">The second consequence was the institutional positioning of the infantry branch — the conventional ground-force backbone of the IDF in the late 1940s — as a secondary rather than a primary operational vehicle. The infantry, in the Maklef document of 1953, was assigned the role of routine security operations along the borders and conventional defensive-and-offensive ground combat within the larger combined-arms operational architecture the four strike forces would together produce. The infantry was not, in the Maklef priority hierarchy, an institutionally first-tier force. The institutional consequence — observable across the operational history of the 1950s, the Sinai Campaign of 1956, and the long arc of doctrinal development that would extend through the Six-Day War of 1967 and beyond — was the institutional and budgetary marginalization of the infantry within the IDF’s branch-level resource allocation. The infantry’s institutional weight would not be recovered, in the operational history of the IDF, until the conventional armored doctrine that succeeded the Maklef framework was itself discredited by the Egyptian and Syrian operational successes of the opening days of the Yom Kippur War of October 1973.</w:t>
      </w:r>
      <w:r>
        <w:rPr>
          <w:rStyle w:val="EndnoteReference"/>
        </w:rPr>
        <w:endnoteReference w:id="39"/>
      </w:r>
    </w:p>
    <w:p>
      <w:pPr>
        <w:pStyle w:val="BodyText"/>
      </w:pPr>
      <w:r>
        <w:t xml:space="preserve">The third consequence — and the one most directly relevant to the operational history Tranche 2 of this chapter will take up — was the institutional space the Maklef doctrine created for the small unconventional units the regional commands would attempt, between 1949 and 1953, to constitute in the absence of any centralized institutional vehicle for the special-operations function. The pattern was characteristic. In the operational vacuum the November 1948 dismantling of the Palmach had created, and in the doctrinal framework Maklef’s 1953 priority document confirmed, regional commanders and operationally inclined officers attempted, on their own institutional initiative, to construct small reprisal-and-reconnaissance units that could conduct the operational tasks the conventional infantry could not effectively perform and that the paratrooper force, still institutionally undeveloped in the early 1950s, was not yet operationally available to conduct. The pattern would produce, in the years 1949 to 1953, three small institutional vehicles — the Border Frontier Corps that the cabinet established on the twenty-first of September 1949, Dayan’s Unit 30 that the Southern Command authorized in August 1951, and Shaham’s Jerusalem Brigade reconnaissance cadre that constituted itself across the early months of 1953. None of the three survived institutionally as a dedicated SOF formation. All three would, in different ways, prefigure the institutional logic that produced Sharon’s Unit 101 in August 1953.</w:t>
      </w:r>
      <w:r>
        <w:rPr>
          <w:rStyle w:val="EndnoteReference"/>
        </w:rPr>
        <w:endnoteReference w:id="40"/>
      </w:r>
    </w:p>
    <w:p>
      <w:pPr>
        <w:pStyle w:val="BodyText"/>
      </w:pPr>
      <w:r>
        <w:t xml:space="preserve">The institutional reality of the period the present chapter is reconstructing was, then, the reality of an army that had been doctrinally constructed around the absence of a dedicated special-operations force at the institutional center, that had been operationally pressured by the post-armistice infiltration crisis on the Jordanian and Egyptian borders into improvising small reprisal-and-reconnaissance units at the regional-command level, and that had been institutionally constrained by the budgetary austerity of the immigration-absorption period from constituting the dedicated SOF formation that the operational requirements of the period were demonstrating, with increasing clarity through 1951 and 1952 and into the early months of 1953, the army would eventually require. The institutional history of the period is, on this analytical reading, the history of a doctrinal vacuum producing the operational pressure that would, by the end of the decade, force the General Staff to authorize the institutional vehicles — Unit 101, the Paratrooper Brigade in its post-1954 configuration, Sayeret Matkal in its 1957 founding, the Mistarvim and Shaked and Charuv and the rest — that the rest of this book is about.</w:t>
      </w:r>
      <w:r>
        <w:rPr>
          <w:rStyle w:val="EndnoteReference"/>
        </w:rPr>
        <w:endnoteReference w:id="41"/>
      </w:r>
    </w:p>
    <w:p>
      <w:pPr>
        <w:pStyle w:val="BodyText"/>
      </w:pPr>
      <w:r>
        <w:t xml:space="preserve">The next section of this chapter takes up the operational pressure side of that story. It begins with Sadeh’s 1950 Maarachot essay on commando warfare — the institutional last word of the Palmach founder, written in the institutional twilight of his career and published in the IDF’s official military journal at a moment when the doctrinal vacuum the November 1948 dismantling had created was, on the operational evidence the Mandate’s former territory was producing along the new state’s borders, becoming visible to the army’s senior officer corps. It moves through Dayan’s parallel Maarachot essays on the operational lessons of his 1948 raid on Lydda. It reconstructs the founding of Shayetet 13 in 1949 and the Allon–Ben-Gurion dispute over the navy’s institutional position that would, in the institutional rearrangement of 1950, produce the dismissal of Bin-Nun and Dror from their command positions. It traces, across the years 1951 to 1953, the operational pressure that the unceasing infiltration from the Jordanian and Egyptian borders placed on the IDF’s institutional architecture. It ends, in the closing days of August 1953, with Sharon’s authorization — by Shaham, then by Ben-Gurion himself, in the temporary absence of Dayan from the country — to constitute the small reprisal unit that would shortly be designated Unit 101.</w:t>
      </w:r>
      <w:r>
        <w:rPr>
          <w:rStyle w:val="EndnoteReference"/>
        </w:rPr>
        <w:endnoteReference w:id="42"/>
      </w:r>
    </w:p>
    <w:p>
      <w:pPr>
        <w:pStyle w:val="BodyText"/>
      </w:pPr>
      <w:r>
        <w:t xml:space="preserve">❓ שאלה לעמי: סיכום סוף Tranche 1. אתה ראית את המשפט הסוגר —</w:t>
      </w:r>
      <w:r>
        <w:t xml:space="preserve"> </w:t>
      </w:r>
      <w:r>
        <w:t xml:space="preserve">“</w:t>
      </w:r>
      <w:r>
        <w:t xml:space="preserve">by the end of the decade, force the General Staff to authorize the institutional vehicles — Unit 101, the Paratrooper Brigade, Sayeret Matkal, the Mistarvim and Shaked and Charuv</w:t>
      </w:r>
      <w:r>
        <w:t xml:space="preserve">”</w:t>
      </w:r>
      <w:r>
        <w:t xml:space="preserve"> </w:t>
      </w:r>
      <w:r>
        <w:t xml:space="preserve">— שמזכיר ב-passing את היחידות שהפרק והפרקים הבאים יבנו. זה משאיר את שמותיהן של היחידות הספציפיות (סיירת מטכ”ל, שקד, חרוב) כ-name drops בלי תפקיד אופרציונלי. האם אתה רוצה שאני אשמור על זה כפי שהוא, או שאתה מעדיף שאני אסיר את ההפניות-קדימה הספציפיות לסיירת מטכ”ל ושקד וחרוב ואשמיע רק את</w:t>
      </w:r>
      <w:r>
        <w:t xml:space="preserve"> </w:t>
      </w:r>
      <w:r>
        <w:t xml:space="preserve">“</w:t>
      </w:r>
      <w:r>
        <w:t xml:space="preserve">Unit 101 and the paratrooper brigade</w:t>
      </w:r>
      <w:r>
        <w:t xml:space="preserve">”</w:t>
      </w:r>
      <w:r>
        <w:t xml:space="preserve"> </w:t>
      </w:r>
      <w:r>
        <w:t xml:space="preserve">שהם המוקד של Tranche 2-3?</w:t>
      </w:r>
    </w:p>
    <w:bookmarkEnd w:id="43"/>
    <w:bookmarkStart w:id="55" w:name="X41148ba2444ef5b55fae88e6dde2ee9f46772e8"/>
    <w:p>
      <w:pPr>
        <w:pStyle w:val="Heading2"/>
      </w:pPr>
      <w:r>
        <w:t xml:space="preserve">4.4 The Continuing Voices: Sadeh, Dayan, and the Founding of Shayetet 13, 1949–1950</w:t>
      </w:r>
    </w:p>
    <w:p>
      <w:pPr>
        <w:pStyle w:val="FirstParagraph"/>
      </w:pPr>
      <w:r>
        <w:t xml:space="preserve">The doctrinal vacuum that the November 1948 dismantling had created in the IDF’s institutional center did not, in the first three years of the new state’s military, go entirely unremarked. The Palmach’s doctrinal architects — Sadeh, who had been pushed into the institutional periphery as</w:t>
      </w:r>
      <w:r>
        <w:t xml:space="preserve"> </w:t>
      </w:r>
      <w:r>
        <w:t xml:space="preserve">“</w:t>
      </w:r>
      <w:r>
        <w:t xml:space="preserve">advisor to the Chief of Staff,</w:t>
      </w:r>
      <w:r>
        <w:t xml:space="preserve">”</w:t>
      </w:r>
      <w:r>
        <w:t xml:space="preserve"> </w:t>
      </w:r>
      <w:r>
        <w:t xml:space="preserve">and Dayan, whose 1948 command of the Eighth Brigade’s mechanized commando battalion had elevated him into the cohort of senior officers Ben-Gurion was politically willing to trust — used the institutional vehicle of the IDF’s official journal Maarachot to publish, across the spring and summer of 1950, three substantial essays on the doctrine of irregular warfare and small-unit operations. The essays were, in the institutional sociology of the period, an attempt by two of the Palmach’s principal wartime commanders to keep the doctrinal package the Mandate-era collaboration with the British SOF establishment had transmitted to the Yishuv from being lost in the institutional dispersal that the dismantling order had set in motion. The essays were also, on the evidence of the institutional response they received from the IDF’s senior officer corps, largely ignored. The General Staff that the new state’s army had constructed in the institutional aftermath of the 1948 war was not, in the spring and summer of 1950, in an institutional posture to absorb the doctrinal proposals the two former Palmach commanders were putting forward.</w:t>
      </w:r>
      <w:r>
        <w:rPr>
          <w:rStyle w:val="EndnoteReference"/>
        </w:rPr>
        <w:endnoteReference w:id="44"/>
      </w:r>
    </w:p>
    <w:p>
      <w:pPr>
        <w:pStyle w:val="BodyText"/>
      </w:pPr>
      <w:r>
        <w:t xml:space="preserve">Sadeh’s principal essay of the period —</w:t>
      </w:r>
      <w:r>
        <w:t xml:space="preserve"> </w:t>
      </w:r>
      <w:r>
        <w:t xml:space="preserve">“</w:t>
      </w:r>
      <w:r>
        <w:t xml:space="preserve">Small Scale Warfare and Its Transformation: What Is It?</w:t>
      </w:r>
      <w:r>
        <w:t xml:space="preserve">”</w:t>
      </w:r>
      <w:r>
        <w:t xml:space="preserve">, published in Maarachot issue 61 of 1950 — was an institutional retrospective on the operational pattern that the Palmach’s wartime training had absorbed and that the SOE Syrian Scheme and the SIG’s collaboration with the SAS had institutionalized through the period the previous chapter has reconstructed. Sadeh’s principal source of doctrinal inspiration, by the essay’s own internal evidence, was the writing of T. E. Lawrence — and specifically Lawrence’s accounts in Seven Pillars of Wisdom of the Bedouin partisan operations against the Ottoman army in the Hejaz of 1916 and 1917, of the battles for Medina and Aqaba, and of the indirect-approach operational doctrine the Bedouin operations had developed against the much larger conventional Ottoman formations. The doctrinal argument Sadeh built from Lawrence’s accounts was that the operational logic of small-unit irregular warfare — to attack at the points the conventional enemy was operationally weakest, to disperse before the enemy’s conventional response could concentrate, to refuse decisive engagement at the points the enemy could bring overwhelming force to bear — was institutionally compatible with the operational requirements the new Israeli state was about to face. The new state, on Sadeh’s institutional reading, would face along its long and porous borders an operational environment in which conventional confrontation would be operationally inappropriate and small-unit irregular operations would be the institutionally cost-effective alternative. The institutional vehicle Sadeh proposed for the operational pattern was a small permanent commando force, dedicated to the operational technique and trained at a level the conventional infantry of the new IDF could not, in the institutional architecture Yadin and Maklef were constructing, be expected to reach.</w:t>
      </w:r>
      <w:r>
        <w:rPr>
          <w:rStyle w:val="EndnoteReference"/>
        </w:rPr>
        <w:endnoteReference w:id="45"/>
      </w:r>
    </w:p>
    <w:p>
      <w:pPr>
        <w:pStyle w:val="BodyText"/>
      </w:pPr>
      <w:r>
        <w:t xml:space="preserve">Sadeh’s companion essay,</w:t>
      </w:r>
      <w:r>
        <w:t xml:space="preserve"> </w:t>
      </w:r>
      <w:r>
        <w:t xml:space="preserve">“</w:t>
      </w:r>
      <w:r>
        <w:t xml:space="preserve">Popski’s Private Army,</w:t>
      </w:r>
      <w:r>
        <w:t xml:space="preserve">”</w:t>
      </w:r>
      <w:r>
        <w:t xml:space="preserve"> </w:t>
      </w:r>
      <w:r>
        <w:t xml:space="preserve">published in Maarachot issue 64 later in 1950, was an institutional case study in the operational form Sadeh’s broader argument was pointing toward. Popski’s Private Army — the small irregular formation Lieutenant Colonel Vladimir Peniakoff had built within the British Eighth Army in the western desert in 1942 — had operated as a deep-reconnaissance and direct-action force in close collaboration with the LRDG and the SAS through the closing campaigns of the North African theater. Sadeh’s institutional argument was that the Popski model — a small, deliberately unconventional, intellectually heterodox unit operating under direct command of the theater’s senior staff and outside the conventional regimental chain of command — was the institutional vehicle the new IDF needed to construct. The Popski analogue, on Sadeh’s analysis, would solve, in a single institutional move, two operational problems the new state’s army was about to face. It would provide an operational vehicle for the kind of small-unit raiding and reconnaissance the conventional infantry could not effectively conduct. It would also preserve, at the institutional level, the doctrinal inheritance the November 1948 dismantling had threatened to disperse. The argument was directed, by Sadeh’s institutional intent, at the General Staff officers who would read Maarachot. The General Staff did not respond.</w:t>
      </w:r>
      <w:r>
        <w:rPr>
          <w:rStyle w:val="EndnoteReference"/>
        </w:rPr>
        <w:endnoteReference w:id="46"/>
      </w:r>
    </w:p>
    <w:p>
      <w:pPr>
        <w:pStyle w:val="BodyText"/>
      </w:pPr>
      <w:r>
        <w:t xml:space="preserve">❓ שאלה לעמי: מאמרי סדה ב-מערכות 61 ו-64 (1950) — האם אתה רוצה שאני אצטט בארוכה את הטקסט הספציפי של</w:t>
      </w:r>
      <w:r>
        <w:t xml:space="preserve"> </w:t>
      </w:r>
      <w:r>
        <w:t xml:space="preserve">“</w:t>
      </w:r>
      <w:r>
        <w:t xml:space="preserve">On Small Scale Warfare</w:t>
      </w:r>
      <w:r>
        <w:t xml:space="preserve">”</w:t>
      </w:r>
      <w:r>
        <w:t xml:space="preserve"> </w:t>
      </w:r>
      <w:r>
        <w:t xml:space="preserve">/</w:t>
      </w:r>
      <w:r>
        <w:t xml:space="preserve"> </w:t>
      </w:r>
      <w:r>
        <w:t xml:space="preserve">“</w:t>
      </w:r>
      <w:r>
        <w:t xml:space="preserve">Popski’s Private Army</w:t>
      </w:r>
      <w:r>
        <w:t xml:space="preserve">”</w:t>
      </w:r>
      <w:r>
        <w:t xml:space="preserve"> </w:t>
      </w:r>
      <w:r>
        <w:t xml:space="preserve">כדי להציג את הלוגיקה הדוקטרינלית, או שדי בסיכום (כפי שזה כרגע)? יש לי גישה לכרכי מערכות בארכיון אם אתה רוצה ציטוטים מילוליים.</w:t>
      </w:r>
    </w:p>
    <w:p>
      <w:pPr>
        <w:pStyle w:val="BodyText"/>
      </w:pPr>
      <w:r>
        <w:t xml:space="preserve">Dayan’s parallel essay —</w:t>
      </w:r>
      <w:r>
        <w:t xml:space="preserve"> </w:t>
      </w:r>
      <w:r>
        <w:t xml:space="preserve">“</w:t>
      </w:r>
      <w:r>
        <w:t xml:space="preserve">The Commando Battalion Raids Lod,</w:t>
      </w:r>
      <w:r>
        <w:t xml:space="preserve">”</w:t>
      </w:r>
      <w:r>
        <w:t xml:space="preserve"> </w:t>
      </w:r>
      <w:r>
        <w:t xml:space="preserve">published in Maarachot issues 62–63 of the same year — was a more operationally specific institutional retrospective. The essay reconstructed the operational logic of Dayan’s command of the Eighth Armored Brigade’s Battalion 89 in the Lod raid of the eleventh of July 1948 — the raid in which Dayan’s mechanized commando battalion, on Sadeh’s operational instruction modeled after the British Long Range Desert Group and Peniakoff’s Popski’s Private Army, had penetrated the Palestinian-held town in broad daylight, conducted what Dayan in the essay characterized as</w:t>
      </w:r>
      <w:r>
        <w:t xml:space="preserve"> </w:t>
      </w:r>
      <w:r>
        <w:t xml:space="preserve">“</w:t>
      </w:r>
      <w:r>
        <w:t xml:space="preserve">the epitome of commando warfare</w:t>
      </w:r>
      <w:r>
        <w:t xml:space="preserve">”</w:t>
      </w:r>
      <w:r>
        <w:t xml:space="preserve"> </w:t>
      </w:r>
      <w:r>
        <w:t xml:space="preserve">against the local defense forces, and paved the way for the Palmach’s Third Battalion of the Yiftach Brigade to occupy the town in the operational sequence that produced one of the principal Palestinian civilian displacements of the war. The essay was, in Dayan’s institutional argument, a case study in what he called the commando blitzkrieg — the operational pattern by which a small motorized infantry force, operating in close coordination with armored elements and supported by overwhelming concentrated firepower, could identify operational opportunities at the points the conventional defender was operationally vulnerable, exploit them with rapid movement, and produce battlefield consequences out of proportion to the size of the attacking force. The essay’s institutional intent was to position the commando battalion — the institutional vehicle Sadeh had built around Dayan’s command in the summer of 1948 — as a permanent feature of the new state’s military rather than as an ad-hoc wartime improvisation.</w:t>
      </w:r>
      <w:r>
        <w:rPr>
          <w:rStyle w:val="EndnoteReference"/>
        </w:rPr>
        <w:endnoteReference w:id="47"/>
      </w:r>
    </w:p>
    <w:p>
      <w:pPr>
        <w:pStyle w:val="BodyText"/>
      </w:pPr>
      <w:r>
        <w:t xml:space="preserve">The institutional difference between Sadeh’s commando concept and Dayan’s commando concept, on the textual evidence of the three Maarachot essays of 1950, was substantial. Sadeh’s commando was the small permanent dedicated SOF cadre that the British SAS and Popski’s Private Army had institutionalized — a unit operating outside the conventional regimental chain of command, training to specialized standards the conventional infantry could not match, conducting operations that the conventional infantry could not be expected to conduct. Dayan’s commando was a much larger institutional formation — a mechanized infantry battalion of approximately five hundred operators, equipped with armored vehicles and conventional infantry weapons, operating within the conventional brigade chain of command but with the operational mandate to identify and exploit operational opportunities the conventional command structure would not otherwise recognize. Sadeh’s commando was small, permanent, and institutionally heterodox. Dayan’s commando was large, conventionally structured, and operationally aggressive. The institutional difference between the two concepts would become, in the operational history of the 1950s the rest of this chapter is reconstructing, a substantial difference in the institutional trajectory the IDF’s emerging special-operations apparatus would follow.</w:t>
      </w:r>
      <w:r>
        <w:rPr>
          <w:rStyle w:val="EndnoteReference"/>
        </w:rPr>
        <w:endnoteReference w:id="48"/>
      </w:r>
    </w:p>
    <w:p>
      <w:pPr>
        <w:pStyle w:val="BodyText"/>
      </w:pPr>
      <w:r>
        <w:t xml:space="preserve">❓ שאלה לעמי: הבחנה זו (סדה קומנדו-קטן-קבוע מול דיין קומנדו-גדול-מבלץ-קריג) היא pivot אנליטי שאני בונה. אבל הטיוטה שלך הציגה את שני המאמרים בצמידות בלי לחדד את הניגוד. השאלה: האם הניגוד הזה (שאני מציע כפרשנות פרשנית) תואם את הקריאה שלך בטקסטים, או שאתה מעדיף שאני אציג את שני המאמרים כמשלימים יותר משחולקים?</w:t>
      </w:r>
    </w:p>
    <w:p>
      <w:pPr>
        <w:pStyle w:val="BodyText"/>
      </w:pPr>
      <w:r>
        <w:t xml:space="preserve">The institutional consequence the three Maarachot essays of 1950 produced, in the General Staff’s reception of them, was effectively negligible. The institutional vehicle through which the new IDF’s senior leadership processed doctrinal proposals — the Operations Branch under the chief of operations, who at the period of the essays’ publication was Yigael Yadin — was not in an institutional posture to accept the doctrinal arguments the two former Palmach commanders were putting forward. Yadin’s institutional priority, in the spring and summer of 1950, was the construction of the reserve-army architecture that the Hok Sherut Bitachon of 1949 had authorized and that the Tranche 1 of this chapter has reconstructed. The institutional resources the new state’s army could allocate were committed, in their entirety, to the construction of the reserve-mobilization apparatus and the standing-army infrastructure that the reserve system would, on the operational scenarios Yadin’s planning team had identified, be mobilized into. There were no institutional resources available, in the institutional budget of 1950, for the construction of a small permanent dedicated SOF formation of the kind Sadeh’s Maarachot essays were proposing. The doctrinal proposals were filed. The institutional architecture of the new army continued its construction along the conventional lines the Maklef document of 1953 would, three years later, formally consolidate.</w:t>
      </w:r>
      <w:r>
        <w:rPr>
          <w:rStyle w:val="EndnoteReference"/>
        </w:rPr>
        <w:endnoteReference w:id="49"/>
      </w:r>
    </w:p>
    <w:p>
      <w:pPr>
        <w:pStyle w:val="BodyText"/>
      </w:pPr>
      <w:r>
        <w:t xml:space="preserve">The one institutional exception to the pattern — the one institutional vehicle the new IDF’s General Staff did, in the institutional rearrangement of 1949, allow to be constituted as a dedicated special-operations formation rather than as a conventionally structured branch element — was Shayetet 13. The institutional history of the unit’s founding is the institutional story of how a single specialized formation managed to survive the November 1948 dismantling and the institutional rearrangement that followed. The operational evidence the Bin-Nun action of October 1948 had produced had been substantial. The Egyptian flagship had been sunk by a unit of approximately thirty operators using small motor torpedo boats of a type the conventional Israeli Navy did not possess and could not, on the institutional evidence of 1948 and 1949, be expected to operate. The institutional argument the Naval Service’s senior officers — and the surviving Palmach veterans of the Palyam who had been Bin-Nun’s operational cadre — were able to make to the new state’s General Staff was that the special-operations function in the maritime arena could not be performed by the conventional naval surface combatants the new Israeli Navy was constructing. The institutional argument was accepted. In August 1949, the General Staff authorized the formal institutional constitution of Shayetet 13 as a permanent specialized naval formation, with its base at Atlit on the Carmel coast, under the institutional command of the Naval Service but operating with substantial institutional autonomy in its training, doctrinal development, and operational deployment.</w:t>
      </w:r>
      <w:r>
        <w:rPr>
          <w:rStyle w:val="EndnoteReference"/>
        </w:rPr>
        <w:endnoteReference w:id="50"/>
      </w:r>
    </w:p>
    <w:p>
      <w:pPr>
        <w:pStyle w:val="BodyText"/>
      </w:pPr>
      <w:r>
        <w:t xml:space="preserve">The unit’s first institutional decision, in the autumn and winter of 1949, was the appointment of an instructor cadre that could transmit the operational technique the Bin-Nun action had demonstrated. The institutional choice was, in the institutional sociology of the period, unusual. The Naval Service’s senior officers, on Bin-Nun’s recommendation, recruited Fiorenzo Capprioti — a former officer of the Italian Royal Navy’s Decima Flottiglia MAS, the elite naval-sabotage formation that under Junio Valerio Borghese had conducted, between 1940 and 1943, the most operationally consequential maritime special-operations campaign of the Second World War. Capprioti was, in the institutional record of his appointment, a self-identified Fascist. He had served in the Decima under Borghese’s command through the entire wartime period. He had been demobilized at the end of the war and had been unable, in the institutional environment of post-war Italy, to find employment commensurate with his prior rank and operational specialization. Bin-Nun’s scouting visits to the Italian Mediterranean coast in the spring and summer of 1949, in search of operational equipment and instructional cadre for the new Israeli flotilla, had brought him into contact with Capprioti through the Livorno boatyard that had built the original Decima explosive boats and that had, in the closing months of 1948, sold six of the same boats to the Haganah’s clandestine procurement apparatus. Bin-Nun’s institutional decision — to recruit the Italian Fascist veteran as the principal training officer of the new Jewish naval-commando unit — was, in the institutional ethics of the period, a decision that would, if it had been politically visible at the time, have been politically untenable. The institutional decision was taken quietly. Capprioti arrived in Atlit in the autumn of 1949 and conducted the unit’s initial training program through the spring and summer of 1950. He departed at the conclusion of his contract. The institutional record of his appointment, in the published institutional histories of Shayetet 13, has been treated with the discretion the original institutional decision had operated under.</w:t>
      </w:r>
      <w:r>
        <w:rPr>
          <w:rStyle w:val="EndnoteReference"/>
        </w:rPr>
        <w:endnoteReference w:id="51"/>
      </w:r>
    </w:p>
    <w:p>
      <w:pPr>
        <w:pStyle w:val="BodyText"/>
      </w:pPr>
      <w:r>
        <w:t xml:space="preserve">❓ שאלה לעמי: עניין קפריוטי — הטיוטה המקורית שלך אומרת ש”Capprioti, a veteran of 10th Assault Vehicle Flotilla (Decima Flottiglia MAS) and a devout Fascist, was chosen to become the first instructor”. זאת מידע שמופיע ב-Eldar 1993 וב-Vardi 2014 interview. השאלה: האם אתה רוצה שאני אכלול את העובדה הזאת בגוף הפרק (כפי שהיא בטיוטה כעת — בנימה אנליטית-מוסדית) או שאתה מעדיף לציין אותה רק בהערה? היא מעניינת ומעיקה במידה שווה.</w:t>
      </w:r>
    </w:p>
    <w:p>
      <w:pPr>
        <w:pStyle w:val="BodyText"/>
      </w:pPr>
      <w:r>
        <w:t xml:space="preserve">The institutional dispute that defined Shayetet 13’s first eighteen months — and that produced the dismissal of Bin-Nun and Dror from their command positions in the autumn of 1950 — was the dispute between Allon and Ben-Gurion over the institutional position of the unit within the larger IDF structure. Allon, who had resigned from the IDF in November 1948 but had remained, through 1949 and 1950, in active political consultation with the Palmach veterans of his command, had argued in his political channels for an institutional arrangement in which Shayetet 13 would be administratively subordinated directly to the Ministry of Defense — bypassing the IDF General Staff entirely — and would thereby preserve, in the institutional architecture of the new state’s defense establishment, the Palmach-style operational autonomy that the November 1948 dismantling had threatened to extinguish. The institutional argument Allon offered, in his private channels and in the political discussions of the United Kibbutz Movement’s leadership, was that the Shayetet’s operational character — the small, deliberately unconventional, institutionally heterodox character of the unit’s operational doctrine — could not survive within the conventional command structure the new IDF’s General Staff was constructing. The unit, on Allon’s argument, required institutional protection at the political level if its operational character was to be preserved. Ben-Gurion rejected the proposal. The institutional logic Ben-Gurion had operated under in November 1948 — the mamlachtiyut principle that no politically affiliated armed formation could be tolerated within a sovereign state’s military — applied, in his institutional consistency, equally to the maritime arm as to the ground forces. Shayetet 13 would be institutionally absorbed within the conventional Navy command structure. The Palmach-style operational autonomy Allon had proposed to preserve would not survive the institutional rearrangement.</w:t>
      </w:r>
      <w:r>
        <w:rPr>
          <w:rStyle w:val="EndnoteReference"/>
        </w:rPr>
        <w:endnoteReference w:id="52"/>
      </w:r>
    </w:p>
    <w:p>
      <w:pPr>
        <w:pStyle w:val="BodyText"/>
      </w:pPr>
      <w:r>
        <w:t xml:space="preserve">The institutional consequence, in the personnel decisions of the autumn of 1950, was the dismissal of Bin-Nun and Dror from their command positions. The dismissals were not, in the administrative language of the IDF General Staff’s personnel orders, framed as political decisions. They were framed as the institutional outcome of unresolved operational and personality conflicts between the unit’s two senior officers and the senior staff of the Naval Service. The institutional substance behind the framing — recognized at the time by the unit’s operational cadre and by the dispersed Palmach veterans who maintained informal contact with the Shayetet’s institutional decisions — was the political consequence of the Allon–Ben-Gurion dispute. Bin-Nun, the operational hero of the Emir Farouk sinking and the Israel Medal of Valor recipient, was removed from the command of the unit he had constituted. Dror was reassigned within the Naval Service to non-operational positions. The new institutional architecture of Shayetet 13 — the institutional architecture that would, with adaptations across the following two decades, persist until Ze’ev Almog’s institutional rebuilding of the unit in the late 1960s — was constructed by a successor command cadre that the IDF General Staff had selected for institutional compliance with the conventional Navy command structure rather than for operational continuity with the Palmach-derived doctrinal package the Bin-Nun cohort had carried.</w:t>
      </w:r>
      <w:r>
        <w:rPr>
          <w:rStyle w:val="EndnoteReference"/>
        </w:rPr>
        <w:endnoteReference w:id="53"/>
      </w:r>
    </w:p>
    <w:p>
      <w:pPr>
        <w:pStyle w:val="BodyText"/>
      </w:pPr>
      <w:r>
        <w:t xml:space="preserve">The doctrinal continuity, in the institutional history Shayetet 13 produced after 1950, was therefore a doctrinal continuity at the level of operational technique rather than at the level of institutional culture. The unit’s operators continued to be trained in the methods Bin-Nun had introduced — explosive-boat operations, underwater sabotage, swimmer-delivery techniques, maritime infiltration — but the institutional environment in which the operators trained was, after 1950, the conventional environment of the IDF’s Naval Service rather than the institutionally heterodox environment of the Palmach inheritance. The institutional consequence — visible in the unit’s modest operational record across the 1950s and the operational underperformance of the unit in the Six-Day War of 1967 that Chapter 6 will reconstruct — was that the institutional culture the Palmach-derived doctrine had required to be operationally effective had been substantially attenuated by the institutional rearrangement of 1950. The doctrinal package the unit’s operators carried was, in the institutional environment of the post-1950 Shayetet, an operational technique without the institutional culture that had produced it. The institutional reconstruction of the unit’s culture — when it eventually occurred, in the institutional rebuilding Almog conducted between 1968 and 1972 — would have to be done from scratch.</w:t>
      </w:r>
      <w:r>
        <w:rPr>
          <w:rStyle w:val="EndnoteReference"/>
        </w:rPr>
        <w:endnoteReference w:id="54"/>
      </w:r>
    </w:p>
    <w:bookmarkEnd w:id="55"/>
    <w:bookmarkStart w:id="64" w:name="X705e7f77c45b2e405273b1aa2f5e00ee8c6be4f"/>
    <w:p>
      <w:pPr>
        <w:pStyle w:val="Heading2"/>
      </w:pPr>
      <w:r>
        <w:t xml:space="preserve">4.5 The Borders Crisis and the Failed Institutional Vehicles, 1949–1952</w:t>
      </w:r>
    </w:p>
    <w:p>
      <w:pPr>
        <w:pStyle w:val="FirstParagraph"/>
      </w:pPr>
      <w:r>
        <w:t xml:space="preserve">The operational pressure that the post-armistice infiltration crisis placed on the IDF’s institutional architecture, across the years 1949 to 1953 and most intensely in the years 1951 and 1952, was substantial. The infiltration itself — the pattern of small-scale, mostly economic, occasionally violent crossing of the new state’s borders by displaced Palestinians from the West Bank, the Gaza Strip, Jordan, and Lebanon — had begun within weeks of the conclusion of the Rhodes armistice negotiations in the spring of 1949 and had escalated, by the operational evidence the Border Investigations Branch of the Israeli Police’s Special Operations Division produced in its 1954 Overview of the 1953 Infiltration Problem, to a scale of approximately 1,500 to 2,000 crossings per month by the closing months of 1952. The majority of the crossings, on the police data, were economically motivated — Palestinian refugees returning to their pre-war villages to retrieve possessions or to work the fields the new state’s military authorities had not yet completed the agricultural redistribution of. A substantial minority — perhaps fifteen to twenty percent, by the police estimates — involved violent acts against Israeli civilians or military personnel: theft, ambush, occasional killing. The cumulative operational consequence, for the new state’s military, was the institutional pressure to construct a response apparatus that the conventional formations of the IDF were institutionally and operationally unsuited to provide.</w:t>
      </w:r>
      <w:r>
        <w:rPr>
          <w:rStyle w:val="EndnoteReference"/>
        </w:rPr>
        <w:endnoteReference w:id="56"/>
      </w:r>
    </w:p>
    <w:p>
      <w:pPr>
        <w:pStyle w:val="BodyText"/>
      </w:pPr>
      <w:r>
        <w:t xml:space="preserve">The first institutional response — and the institutional vehicle the new state’s cabinet authorized, on the recommendation of Ben-Gurion himself, on the twenty-first of September 1949 — was the Frontier Corps. The Corps was institutionally constituted as a separate paramilitary formation within the Israeli Police’s organizational structure, with its own training infrastructure and operational command, dedicated to the operational task of border protection and counter-infiltration. The Corps’s first commander was David Shaltiel, the former Haganah Jerusalem-area commander whose institutional reputation had survived the Semiramis Hotel attack of the fifth of January 1948 — the controversial operation in the Katamon neighborhood that the Haganah had conducted under Shaltiel’s command, that had been intended to destroy a building Shaltiel’s intelligence had identified as the al-Najjada militia headquarters, and that had killed twenty-six Palestinian civilians in the operation’s execution. The institutional logic of Shaltiel’s appointment was that the Frontier Corps would require, in its founding period, a commander with the operational temperament to push the Corps’s institutional development against the inevitable bureaucratic resistance the new institutional vehicle would face from within the IDF’s senior officer corps. Shaltiel had that temperament. The Corps did face the institutional resistance. The Corps’s institutional fate, across the years 1949 to 1953, was the institutional fate of an institutional vehicle the parent institution — the IDF General Staff — did not, in the years of the Corps’s founding, want to invest in.</w:t>
      </w:r>
      <w:r>
        <w:rPr>
          <w:rStyle w:val="EndnoteReference"/>
        </w:rPr>
        <w:endnoteReference w:id="57"/>
      </w:r>
    </w:p>
    <w:p>
      <w:pPr>
        <w:pStyle w:val="BodyText"/>
      </w:pPr>
      <w:r>
        <w:t xml:space="preserve">The institutional resistance the IDF General Staff offered to the Frontier Corps’s institutional development was multifaceted. The Corps was institutionally peripheral, in the General Staff’s institutional priorities, because the General Staff did not, in the institutional architecture Yadin and then Maklef were constructing, regard border protection as a primary military function. Border protection was, on the General Staff’s institutional reading, a constabulary function — a matter for the police rather than the military. The Corps was institutionally peripheral, in the personnel-allocation decisions of the IDF, because the General Staff would not release combat-capable conscripts and officers for service in a paramilitary formation outside the IDF’s direct command structure. The Corps, in its founding years, received personnel allocations consisting principally of recent immigrants from Middle Eastern and Eastern European Jewish communities — many of them without prior military experience, many of them with limited Hebrew-language skills, many of them institutionally incompatible with the operational requirements of the border-protection mission. Shaltiel’s response to the institutional marginalization — set out in his November 1950 letter directly to Ben-Gurion, bypassing the IDF General Staff entirely — was a sharp institutional complaint. The Corps, Shaltiel wrote, was being deliberately undermined by the IDF leadership. His requests for capable conscripts and officers had been ignored. He had been sent, in the personnel allocations the IDF had authorized,</w:t>
      </w:r>
      <w:r>
        <w:t xml:space="preserve"> </w:t>
      </w:r>
      <w:r>
        <w:t xml:space="preserve">“</w:t>
      </w:r>
      <w:r>
        <w:t xml:space="preserve">unmotivated immigrants who spoke little Hebrew.</w:t>
      </w:r>
      <w:r>
        <w:t xml:space="preserve">”</w:t>
      </w:r>
      <w:r>
        <w:t xml:space="preserve"> </w:t>
      </w:r>
      <w:r>
        <w:t xml:space="preserve">The letter was, in the institutional sociology of the period, an institutional appeal over the heads of the chain of command directly to the political authority that had created the institutional vehicle Shaltiel was commanding. Ben-Gurion acknowledged the letter. The institutional response was modest.</w:t>
      </w:r>
      <w:r>
        <w:rPr>
          <w:rStyle w:val="EndnoteReference"/>
        </w:rPr>
        <w:endnoteReference w:id="58"/>
      </w:r>
    </w:p>
    <w:p>
      <w:pPr>
        <w:pStyle w:val="BodyText"/>
      </w:pPr>
      <w:r>
        <w:t xml:space="preserve">❓ שאלה לעמי: השאלה על Frontier Corps וההתערבות של שלטיאל ב-1950 — אני מוסיף את האירוע של מלון סמירמיס (5 בינואר 1948) כקונטקסט לרישום של שלטיאל. אבל סמירמיס היא אירוע שטח מ-1948 שלפני התקופה של הפרק (1949–1953). השאלה: האם זה מתאים להזכיר את סמירמיס כאן (קונטקסט לאופי המתעמרי של שלטיאל), או שאתה מעדיף שאני אסיר את ההפניה ל-1948 ואשמור על מסגרת זמן צרה יותר של 1949–1953?</w:t>
      </w:r>
    </w:p>
    <w:p>
      <w:pPr>
        <w:pStyle w:val="BodyText"/>
      </w:pPr>
      <w:r>
        <w:t xml:space="preserve">The operational consequence of the Frontier Corps’s institutional marginalization, in the years 1950 to 1953, was that the operational requirement the Corps had been institutionally constituted to address — the construction of an effective counter-infiltration apparatus along the new state’s borders — was not, in the institutional reality of the period, being met. The IDF General Staff’s institutional preference was to address the operational requirement through the conventional infantry formations of the regular army and the reserve-army mobilization apparatus Yadin had constructed. The conventional infantry response was operationally inadequate. Dayan’s own institutional retrospective on the period — articulated in his memoir Story of My Life of 1976 and in the more contemporary documentation of his 1950–1952 tenure as the GOC Southern Command — was characteristically blunt. The IDF’s elite units, Dayan wrote,</w:t>
      </w:r>
      <w:r>
        <w:t xml:space="preserve"> </w:t>
      </w:r>
      <w:r>
        <w:t xml:space="preserve">“</w:t>
      </w:r>
      <w:r>
        <w:t xml:space="preserve">designed for special operations, such as the Paratroopers Battalion, demonstrated disgraceful helplessness</w:t>
      </w:r>
      <w:r>
        <w:t xml:space="preserve">”</w:t>
      </w:r>
      <w:r>
        <w:t xml:space="preserve"> </w:t>
      </w:r>
      <w:r>
        <w:t xml:space="preserve">in the operational scenarios the border-protection mission produced. The enemy, Dayan continued,</w:t>
      </w:r>
      <w:r>
        <w:t xml:space="preserve"> </w:t>
      </w:r>
      <w:r>
        <w:t xml:space="preserve">“</w:t>
      </w:r>
      <w:r>
        <w:t xml:space="preserve">was not a trained and well-equipped force, but rather the</w:t>
      </w:r>
      <w:r>
        <w:t xml:space="preserve"> </w:t>
      </w:r>
      <w:r>
        <w:t xml:space="preserve">‘</w:t>
      </w:r>
      <w:r>
        <w:t xml:space="preserve">National Guard</w:t>
      </w:r>
      <w:r>
        <w:t xml:space="preserve">’</w:t>
      </w:r>
      <w:r>
        <w:t xml:space="preserve"> </w:t>
      </w:r>
      <w:r>
        <w:t xml:space="preserve">militias of villagers. They did not have machine guns and grenades. Their weapons were old rifles. Nevertheless, many of our operations ended in failure.</w:t>
      </w:r>
      <w:r>
        <w:t xml:space="preserve">”</w:t>
      </w:r>
      <w:r>
        <w:rPr>
          <w:rStyle w:val="EndnoteReference"/>
        </w:rPr>
        <w:endnoteReference w:id="59"/>
      </w:r>
    </w:p>
    <w:p>
      <w:pPr>
        <w:pStyle w:val="BodyText"/>
      </w:pPr>
      <w:r>
        <w:t xml:space="preserve">The institutional response Dayan himself offered to the operational failure, in the institutional position the GOC of the Southern Command gave him to operate from, was the formation in August 1951 of a small specialized unit designated Unit 30. The unit was, on the institutional record of its founding, Dayan’s first attempt to reincarnate within the IDF’s institutional architecture the small permanent dedicated SOF formation that Sadeh’s 1950 Maarachot essays had proposed and that the Maklef framework of 1953 would, two years later, formally reject. Unit 30 was authorized at battalion-sub-strength — approximately two companies of fifteen operators each, a total of thirty soldiers, with the operational mandate of conducting deep reconnaissance and counter-infiltration operations along the eastern border of the Southern Command’s area of responsibility, in the Lachish region that the institutional documentation of the period characterized as the</w:t>
      </w:r>
      <w:r>
        <w:t xml:space="preserve"> </w:t>
      </w:r>
      <w:r>
        <w:t xml:space="preserve">“</w:t>
      </w:r>
      <w:r>
        <w:t xml:space="preserve">wild west</w:t>
      </w:r>
      <w:r>
        <w:t xml:space="preserve">”</w:t>
      </w:r>
      <w:r>
        <w:t xml:space="preserve"> </w:t>
      </w:r>
      <w:r>
        <w:t xml:space="preserve">of the new state’s territory. The unit’s training officer was Lieutenant Avraham Levin, who had served in the Palmach’s Third Battalion of the Yiftach Brigade through the closing campaigns of the 1948 war and who had been recommended to Dayan by the Palmach veterans of the Southern Command’s reserve cadres. Levin’s institutional vision, on the operational record of his nine months in command of Unit 30, was that the unit should be modeled, in its operational doctrine and institutional structure, after the British Long Range Desert Group — the deep-reconnaissance unit that the previous chapter has reconstructed as one of the principal British SOF formations of the wartime period and that the Bagnold-era operational practice had institutionalized.</w:t>
      </w:r>
      <w:r>
        <w:rPr>
          <w:rStyle w:val="EndnoteReference"/>
        </w:rPr>
        <w:endnoteReference w:id="60"/>
      </w:r>
    </w:p>
    <w:p>
      <w:pPr>
        <w:pStyle w:val="BodyText"/>
      </w:pPr>
      <w:r>
        <w:t xml:space="preserve">The institutional fate of Unit 30 was, on the institutional record of its eighteen months of formal existence, the institutional fate of a small specialized formation that had not been provided with the institutional protection its institutional vulnerability required. The first institutional vulnerability was internal. Levin’s deep-reconnaissance LRDG-modeled vision did not, in the operational priorities of the unit’s parent command, overlap with the institutional priorities of Colonel Oded Meser, the Southern Command’s deputy commander, who had been given direct administrative supervision over the unit and who had operationally repurposed the unit, in the institutional priorities he had set for it, as a counter-Bedouin patrol apparatus for the Negev’s eastern borders. The institutional divergence between Levin’s training vision and Meser’s operational priorities produced, across the autumn of 1951 and the early months of 1952, a unit whose training program was institutionally disconnected from the operational missions the unit was being deployed on. The second institutional vulnerability was Dayan’s own institutional position. On the seventeenth of October 1951, two months after the unit had been authorized, Dayan was reassigned from the GOC of the Southern Command to the British Army Senior Officers’ School at Devizes in England, where he would spend the rest of 1951 in the institutional training that the IDF General Staff had identified as preparatory to his subsequent appointment as the operational commander of the Northern Command in May 1952. Dayan’s successor as GOC of the Southern Command, Moshe Tzadok, had not served in the Palmach. He did not share Dayan’s institutional sympathy for the small dedicated SOF formation. Unit 30, in the institutional dispositions Tzadok made across the closing months of 1951, was effectively orphaned. Captain Haim Deem, the Palmach veteran whom Dayan had appointed as the unit’s permanent commander shortly before his Devizes departure, was diagnosed with a terminal illness within months of his appointment and was institutionally incapacitated through the spring and summer of 1952. The unit drifted. By the autumn of 1952, the unit’s two companies had been folded back into the conventional reserve infantry battalions of the Negev Brigade. The institutional vehicle that Dayan had constituted in August 1951 had ceased, in any operationally meaningful sense, to exist by the autumn of 1952.</w:t>
      </w:r>
      <w:r>
        <w:rPr>
          <w:rStyle w:val="EndnoteReference"/>
        </w:rPr>
        <w:endnoteReference w:id="61"/>
      </w:r>
    </w:p>
    <w:p>
      <w:pPr>
        <w:pStyle w:val="BodyText"/>
      </w:pPr>
      <w:r>
        <w:t xml:space="preserve">❓ שאלה לעמי: השאלה על יחידה 30 — אני נתתי לה ~600 מילים, שזה הרבה לאור העובדה ששום ביוגרף או היסטוריון של דיין (חוץ ממילשטיין 1985) לא טיפל בה לעומק. השאלה: האם זה מוצדק כי היא ה”חזרה הראשונה” של דיין לפני יחידה 101, או שאתה מעדיף שאני אקצר ל-200-300 מילים?</w:t>
      </w:r>
    </w:p>
    <w:p>
      <w:pPr>
        <w:pStyle w:val="BodyText"/>
      </w:pPr>
      <w:r>
        <w:t xml:space="preserve">The institutional failure of Unit 30 illustrated, in concentrated form, the institutional pattern the broader doctrinal vacuum was producing across the new state’s military in the years 1949 to 1952. Specialized formations could be authorized by regional commanders operating within their own institutional discretion. They could be staffed, in their founding period, with Palmach veterans and former British army officers and other personnel who carried, in their individual operational memories, the doctrinal package the November 1948 dismantling had dispersed. They could not, without institutional protection from the General Staff or from the political level, survive the institutional pressures the conventional regimental structure of the IDF applied to specialized formations operating at sub-battalion scale. The Frontier Corps survived as an institutionally peripheral constabulary. Unit 30 did not survive at all. The other small institutional vehicles the regional commands attempted to constitute in the same period — small reconnaissance companies attached to the Northern Command’s infantry brigades, the early Naval Service’s underwater diving cadres, the IDF’s experimental airborne formations at the Tel-Nof airbase — all faced versions of the same institutional pattern. They were institutionally peripheral. They were institutionally vulnerable to the personnel-allocation decisions and the operational-priorities decisions the parent institution made on their behalf. They depended, for their institutional survival, on the active protection of a senior commander who was personally invested in their survival. When the senior commander was reassigned, the institutional protection was withdrawn, and the formation drifted into institutional irrelevance.</w:t>
      </w:r>
      <w:r>
        <w:rPr>
          <w:rStyle w:val="EndnoteReference"/>
        </w:rPr>
        <w:endnoteReference w:id="62"/>
      </w:r>
    </w:p>
    <w:p>
      <w:pPr>
        <w:pStyle w:val="BodyText"/>
      </w:pPr>
      <w:r>
        <w:t xml:space="preserve">The institutional pattern would repeat itself, with one critical institutional difference, in the unit that the next section of the chapter takes up. The institutional difference was that the unit was authorized, in its founding moment, not by a regional command operating within its own institutional discretion but by the political authority of the prime minister himself, in a moment of institutional confusion when the chief of staff and the GOC of the Southern Command were both, by an accident of institutional timing, out of the country. The unit was constituted in the closing days of August 1953, in a small abandoned base at Sataf in the western Jerusalem corridor, by a twenty-five-year-old reserves battalion commander whom the institutional documentation of the period characterized as a Hebrew University student. The unit was Unit 101. The institutional history of the unit’s authorization, of its operational character, and of the Qibya raid that brought its first operational chapter to its close on the night of the fourteenth of October 1953 is the subject of the chapter’s next section.</w:t>
      </w:r>
      <w:r>
        <w:rPr>
          <w:rStyle w:val="EndnoteReference"/>
        </w:rPr>
        <w:endnoteReference w:id="63"/>
      </w:r>
    </w:p>
    <w:bookmarkEnd w:id="64"/>
    <w:bookmarkStart w:id="75" w:name="Xce3abda597e98c3dbab5dbcddc80835a99ceced"/>
    <w:p>
      <w:pPr>
        <w:pStyle w:val="Heading2"/>
      </w:pPr>
      <w:r>
        <w:t xml:space="preserve">4.6 The Path to Unit 101 and the Qibya Raid, 1953</w:t>
      </w:r>
    </w:p>
    <w:p>
      <w:pPr>
        <w:pStyle w:val="FirstParagraph"/>
      </w:pPr>
      <w:r>
        <w:t xml:space="preserve">The institutional path to Unit 101 began, in the operational documentation of the spring and summer of 1953, with the institutional frustration of Colonel Mishael Shaham, the commander of the Jerusalem Brigade (Brigade 16) of the IDF Central Command. Shaham, a Haganah veteran whose pre-state operational record had included the controversial command of the Semiramis Hotel attack of January 1948 that the previous section has reconstructed, had been commanding the Jerusalem Brigade since February 1949 — the brigade had assumed responsibility for the Jerusalem District and the strategically significant Jerusalem Corridor in August of the same year — and had developed, across the four years of his command, an institutional preference for aggressive operational responses to the Palestinian infiltration crisis that the Jerusalem Corridor was, by the closing months of 1952, experiencing as severely as any other sector of the new state’s borders. Shaham’s institutional position, by the spring of 1953, was that the IDF’s conventional response apparatus to the infiltration crisis — the Frontier Corps patrols, the reserve infantry battalions in their rotational deployments, the paratroopers’ brigade in its occasional retaliatory operations across the armistice line — was operationally inadequate. The institutional vehicle Shaham wished to constitute, in the institutional discretion the brigade-command position gave him, was a small specialized unit modeled on the institutional pattern Sadeh had proposed in his 1950 Maarachot essays and that Dayan had attempted, with Unit 30, to constitute in the Southern Command. Shaham’s proposal was made repeatedly to Dayan — by then the operations branch chief and the third-ranking officer of the IDF General Staff — through the closing months of 1952 and the early months of 1953. Dayan repeatedly declined. The institutional concern Dayan articulated, in the documentation of the institutional discussions, was that the formation of a new dedicated reprisals unit would undermine the broader institutional effort to reinvigorate the conventional ground forces of the IDF.</w:t>
      </w:r>
      <w:r>
        <w:rPr>
          <w:rStyle w:val="EndnoteReference"/>
        </w:rPr>
        <w:endnoteReference w:id="65"/>
      </w:r>
    </w:p>
    <w:p>
      <w:pPr>
        <w:pStyle w:val="BodyText"/>
      </w:pPr>
      <w:r>
        <w:t xml:space="preserve">The institutional move Shaham made in response to Dayan’s repeated rejections was the institutional move of an officer prepared to violate the chain of command for what he regarded as an institutionally compelling operational reason. The move was timed. In the late spring of 1953, Dayan departed for the United States on an institutional liaison visit that would extend, with the customary accumulation of secondary obligations, into the late summer. The visit included an institutional study tour of the United States Army Ranger School at Fort Benning, Georgia — a tour that would, on the institutional record of Dayan’s subsequent personal documentation of the period, leave a substantial impression on the IDF chief of operations regarding the American airborne and ranger model of dedicated commando formations. With Dayan out of the country, Shaham approached Ben-Gurion directly. The institutional argument Shaham made to the prime minister, in the small private meeting the institutional documentation has reconstructed, was specific. A formidable infiltrator named Mustafa Samueli was operating from the village of Nabi Samwil in the Jordanian-controlled territory immediately east of the Jerusalem Corridor. Shaham proposed to constitute, on Ben-Gurion’s personal authorization, a small team of capable reservists — drawn from the Jerusalem Brigade’s officer corps and from the Palmach veterans of the Corridor’s reserve cadres — to conduct a raid on Samueli’s house. The raid would be a one-time operation. It would not require the formal constitution of a permanent institutional vehicle. It would not require General Staff authorization. Ben-Gurion, in the institutional autonomy the prime minister’s role gave him, authorized the operation.</w:t>
      </w:r>
      <w:r>
        <w:rPr>
          <w:rStyle w:val="EndnoteReference"/>
        </w:rPr>
        <w:endnoteReference w:id="66"/>
      </w:r>
    </w:p>
    <w:p>
      <w:pPr>
        <w:pStyle w:val="BodyText"/>
      </w:pPr>
      <w:r>
        <w:t xml:space="preserve">The reservist Shaham selected to lead the operation was a twenty-five-year-old Hebrew University student named Ariel Scheinerman — the future Ariel Sharon, whose institutional patronymic the Hebrew University admissions records of the period still recorded under the pre-Hebraization form. Sharon, who in the operational documentation of the period was a reservist battalion commander assigned to the Jerusalem Brigade’s reserve infantry cadres, had served through the 1948 war as the commander of the reconnaissance companies of the Alexandroni and Golani brigades and had subsequently held the intelligence-officer positions of the Central and Northern Commands. His institutional sympathies, by the institutional documentation of the period, were institutionally aligned with Shaham’s institutional preference for aggressive offensive responses to the infiltration crisis. Sharon accepted the assignment. The Samueli raid, conducted in the closing days of July 1953, was an operational failure. Samueli was not at home. Sharon’s team withdrew without casualties but without operational result. The institutional consequence the operational failure produced — the consequence that mattered, in the institutional history this chapter is reconstructing, far more than the operational result of the specific raid — was Shaham’s institutional decision to convert the ad-hoc team Ben-Gurion’s personal authorization had constituted into a permanent institutional vehicle.</w:t>
      </w:r>
      <w:r>
        <w:rPr>
          <w:rStyle w:val="EndnoteReference"/>
        </w:rPr>
        <w:endnoteReference w:id="67"/>
      </w:r>
    </w:p>
    <w:p>
      <w:pPr>
        <w:pStyle w:val="BodyText"/>
      </w:pPr>
      <w:r>
        <w:t xml:space="preserve">The institutional vehicle Shaham proposed to Ben-Gurion in the institutional follow-up of August 1953 was a small standing reprisal unit, authorized at company strength, attached administratively to the Jerusalem Brigade but operating under the institutional discretion of its own commander. The unit’s operational mandate would be the conduct of clandestine reprisal operations in the Jordanian and Egyptian territories adjacent to the new state’s borders. The institutional logic of the proposal was that the existing IDF formations could not, in the operational evidence the conventional responses had produced through the preceding three years, conduct such operations effectively. The unit would be small. It would be institutionally heterodox. It would be commanded by Sharon, who had demonstrated, in the Samueli raid and in the institutional documentation Shaham had compiled on the basis of Sharon’s pre-state and 1948 operational record, the institutional and operational temperament the unit’s mandate required. Ben-Gurion approved the proposal. The unit’s institutional founding, in the small abandoned base at Sataf in the western Jerusalem corridor, was authorized in the closing days of August 1953. The unit’s institutional designation — the designation that would, in the institutional history of the next four decades of the IDF’s special-operations apparatus, become institutionally canonical — was Unit 101. The numeric designation was chosen, on the institutional record of Sharon’s subsequent recollections, in deliberate homage to Orde Wingate’s Gideon Force of the Ethiopian campaign of 1941 — the British irregular formation whose institutional history the previous chapter has reconstructed and that Wingate himself, in the institutional documentation of the operational period, had occasionally referred to under the alternative designation of</w:t>
      </w:r>
      <w:r>
        <w:t xml:space="preserve"> </w:t>
      </w:r>
      <w:r>
        <w:t xml:space="preserve">“</w:t>
      </w:r>
      <w:r>
        <w:t xml:space="preserve">Wingate’s 101.</w:t>
      </w:r>
      <w:r>
        <w:t xml:space="preserve">”</w:t>
      </w:r>
      <w:r>
        <w:rPr>
          <w:rStyle w:val="EndnoteReference"/>
        </w:rPr>
        <w:endnoteReference w:id="68"/>
      </w:r>
    </w:p>
    <w:p>
      <w:pPr>
        <w:pStyle w:val="BodyText"/>
      </w:pPr>
      <w:r>
        <w:t xml:space="preserve">❓ שאלה לעמי: הסיפור של מקור השם</w:t>
      </w:r>
      <w:r>
        <w:t xml:space="preserve"> </w:t>
      </w:r>
      <w:r>
        <w:t xml:space="preserve">“</w:t>
      </w:r>
      <w:r>
        <w:t xml:space="preserve">יחידה 101</w:t>
      </w:r>
      <w:r>
        <w:t xml:space="preserve">”</w:t>
      </w:r>
      <w:r>
        <w:t xml:space="preserve"> </w:t>
      </w:r>
      <w:r>
        <w:t xml:space="preserve">— הגרסה המקובלת (במילשטיין 1985 ובמקורות אחרים) היא שהשם הוא הוקרה ליחידה של וינגייט באתיופיה (Gideon Force). אבל יש גם גרסאות אחרות: (א) שזה רומז לחיל הצנחנים האמריקאי 101 (Screaming Eagles) שדיין למד עליו ב-Ranger School; (ב) שזה בכלל מספר אקראי שניתן על-ידי קצין מתכנן (Y’aakov Vardi בראיון 2014?). השאלה: באיזו גרסה אתה רוצה לעמוד? אני בטיוטה כעת עם הגרסה הוינגייט-Gideon Force כי היא מתאימה לטיעון הספרי על המורשת הבריטית.</w:t>
      </w:r>
    </w:p>
    <w:p>
      <w:pPr>
        <w:pStyle w:val="BodyText"/>
      </w:pPr>
      <w:r>
        <w:t xml:space="preserve">The institutional culture Sharon constituted at Sataf in the autumn of 1953 was, on the institutional sociology the unit’s first cohort would later reconstruct, deliberately heterodox. Sharon recruited the unit’s first cadre — approximately forty operators in the unit’s founding strength — from the institutional networks the Palmach veterans of the Central Command’s reserves had built across the post-1948 dispersal years. The selection criteria were not the conventional selection criteria of the IDF’s regular conscription apparatus. Sharon selected for unconventional intelligence, physical fitness, willingness to operate under conditions of prolonged operational stress, and what the institutional documentation of the period would, in its post-war reconstruction, characterize as institutional disregard for the conventional discipline of the regular IDF. Training at Sataf through September and the first weeks of October was conducted on principles that drew, in the institutional reconstruction of the period, on two parallel doctrinal sources. The first was the Palmach inheritance the Sataf cadre carried in their individual operational memories — the night-operations doctrine, the cellular small-team operational architecture, the institutional contempt for hierarchical formality that the Palmach had absorbed across the wartime period. The second was the institutional model of the British Special Air Service that Sharon, in the institutional documentation of his own subsequent recollections, had absorbed from his reading of the post-war SAS memoir literature. The institutional combination — Palmach culture inflected through SAS operational doctrine — produced, by the operational evidence of the unit’s first month, an institutional formation whose internal culture was distinctively different from any other formation in the IDF of 1953.</w:t>
      </w:r>
      <w:r>
        <w:rPr>
          <w:rStyle w:val="EndnoteReference"/>
        </w:rPr>
        <w:endnoteReference w:id="69"/>
      </w:r>
    </w:p>
    <w:p>
      <w:pPr>
        <w:pStyle w:val="BodyText"/>
      </w:pPr>
      <w:r>
        <w:t xml:space="preserve">❓ שאלה לעמי: השאלה על האימון של 101 בסטף — הטיוטה שלך אומרת ש”Sharon and his soldiers took after the British officer [Wingate] by their constant search for innovative tactics and endless trainings”. אני שיניתי את הקריאה: יחידת 101 ינקה משני מקורות מקבילים — מהירושה של הפלמ”ח ומה-SAS הבריטי. השאלה: האם הקריאה הזו (שני מקורות, לא רק וינגייט) תואמת את הטיעון של הספר, או שאתה מעדיף שאני אשמור על הניסוח המקורי שלך — וינגייט כמודל יחיד?</w:t>
      </w:r>
    </w:p>
    <w:p>
      <w:pPr>
        <w:pStyle w:val="BodyText"/>
      </w:pPr>
      <w:r>
        <w:t xml:space="preserve">Har-Zion’s institutional retrospective on the period — articulated in the published memoir Moshe Givati compiled in 2019 from extensive interviews with the founding members of the unit and from Har-Zion’s own subsequent published writings — characterized the operational atmosphere of the early 1950s IDF in language that has become canonical in the institutional histories of the period.</w:t>
      </w:r>
      <w:r>
        <w:t xml:space="preserve"> </w:t>
      </w:r>
      <w:r>
        <w:t xml:space="preserve">“</w:t>
      </w:r>
      <w:r>
        <w:t xml:space="preserve">In 1952,</w:t>
      </w:r>
      <w:r>
        <w:t xml:space="preserve">”</w:t>
      </w:r>
      <w:r>
        <w:t xml:space="preserve"> </w:t>
      </w:r>
      <w:r>
        <w:t xml:space="preserve">Har-Zion’s formulation ran,</w:t>
      </w:r>
      <w:r>
        <w:t xml:space="preserve"> </w:t>
      </w:r>
      <w:r>
        <w:t xml:space="preserve">“</w:t>
      </w:r>
      <w:r>
        <w:t xml:space="preserve">the atmosphere in the IDF was bleak. Any action that tried to make the IDF’s top units at that time failed, all of them failed.</w:t>
      </w:r>
      <w:r>
        <w:t xml:space="preserve">”</w:t>
      </w:r>
      <w:r>
        <w:t xml:space="preserve"> </w:t>
      </w:r>
      <w:r>
        <w:t xml:space="preserve">The formulation captured, in a single institutional sentence, the operational reality the doctrinal vacuum the November 1948 dismantling had created was producing across the IDF’s senior officer corps by the closing months of 1952. The conventional infantry was institutionally incapable of conducting the operational responses the borders crisis required. The Paratroopers Battalion — designated, in the Maklef doctrine of 1953, as the IDF’s principal special-operations vehicle — was institutionally underdeveloped and operationally inexperienced. The reserve formations of the 1948 cohort had been institutionally dispersed and had not yet been institutionally reconstituted at operational standards. The institutional response Shaham’s authorization of Unit 101 had constituted, in the operational vacuum of the spring and summer of 1953, was the institutional response of a regional commander operating in the operational reality the doctrinal vacuum had produced.</w:t>
      </w:r>
      <w:r>
        <w:rPr>
          <w:rStyle w:val="EndnoteReference"/>
        </w:rPr>
        <w:endnoteReference w:id="70"/>
      </w:r>
    </w:p>
    <w:p>
      <w:pPr>
        <w:pStyle w:val="BodyText"/>
      </w:pPr>
      <w:r>
        <w:t xml:space="preserve">❓ שאלה לעמי: הציטוט של הר-ציון (</w:t>
      </w:r>
      <w:r>
        <w:t xml:space="preserve">“</w:t>
      </w:r>
      <w:r>
        <w:t xml:space="preserve">In 1952, the atmosphere in the IDF was bleak. Any action that tried to make the IDF’s top units at that time failed, all of them failed</w:t>
      </w:r>
      <w:r>
        <w:t xml:space="preserve">”</w:t>
      </w:r>
      <w:r>
        <w:t xml:space="preserve">) הוא ה-keynote של הפרק. כרגע אני מצטט אותו פעם אחת בלבד (כאן ב-§4.6). השאלה: האם הציטוט הזה ראוי גם בפתיחה של הפרק (כפתיחה אטמוספרית-אנליטית במקום הסצנה של אמיר פארוק), או שעדיף להשאיר אותו במקום הנוכחי כשהוא מסכם את ההיגיון של הפרק בנקודת המעבר?</w:t>
      </w:r>
    </w:p>
    <w:p>
      <w:pPr>
        <w:pStyle w:val="BodyText"/>
      </w:pPr>
      <w:r>
        <w:t xml:space="preserve">Unit 101’s first major operation was the Qibya raid of the night of the fourteenth of October 1953. The raid was authorized by Sharon, in the institutional documentation of the period, in retaliatory response to the killing of three Israeli civilians — a young mother and her two children — in the village of Yehud, in the Central Command’s area of responsibility, on the night of the twelfth. The institutional decision to authorize a major retaliatory operation across the Jordanian armistice line was made by Ben-Gurion personally — in the institutional confusion that had followed the prime minister’s resignation in September and his subsequent return to active political life — in consultation with Defense Minister Pinchas Lavon and with Dayan, who had returned from his American liaison tour shortly before the Yehud killings. The operational target — the Jordanian village of Qibya, on the western slopes of the Judean Hills approximately twenty kilometers north of the Jerusalem Corridor — was selected, in the operational documentation of the period, on the institutional reasoning that the village was the operational base from which the infiltrators responsible for the Yehud killings had been operating. The institutional reasoning, on the post-operation reconstruction Benny Morris’s Israel’s Border Wars of 1993 and the more recent institutional documentation have produced, was operationally unsound. The Yehud killings had been, on the post-operation intelligence reconstruction, the work of small-scale infiltrators from the Hebron area south of the Jerusalem Corridor rather than from the Qibya area to the north. The Qibya raid was, in its institutional planning, a punitive operation that targeted the wrong village.</w:t>
      </w:r>
      <w:r>
        <w:rPr>
          <w:rStyle w:val="EndnoteReference"/>
        </w:rPr>
        <w:endnoteReference w:id="71"/>
      </w:r>
    </w:p>
    <w:p>
      <w:pPr>
        <w:pStyle w:val="BodyText"/>
      </w:pPr>
      <w:r>
        <w:t xml:space="preserve">The operational instructions Sharon issued to the unit’s operators on the morning of the fourteenth were, in the institutional documentation that survived the post-operation institutional reckoning, deliberately ambiguous on the central operational question of what the unit’s operational target within the village would be. The institutional documentation of the operational order specified the demolition of approximately a dozen houses in the village that had been identified, in the brigade’s intelligence dossiers, as belonging to the infiltrators’ families and as serving as operational staging areas for cross-border movement. The institutional understanding among the unit’s operators, on the post-operation testimony the operators would subsequently provide to the operation’s internal review board, was that the residents of the targeted houses would be removed before the demolition charges were detonated. The operational reality at Qibya, in the closing hours of the night of the fourteenth and the early hours of the fifteenth, was that the residents were not removed. The unit’s operators — approximately forty operators of Sharon’s Unit 101 plus a supporting cadre of paratroopers of the 890th Battalion under the operational command of Aharon Davidi — entered the village at approximately 21:30 on the night of the fourteenth, encountered limited Jordanian Legion resistance from the small police post at the village’s center, and conducted the systematic demolition of approximately forty-five houses in the village’s residential area through the closing hours of the night. The residents of the demolished houses had, in the operational confusion of the night, taken shelter in the cellars and the interior rooms of their own homes. The demolition charges killed them where they had hidden. When the unit withdrew at first light on the morning of the fifteenth, sixty-nine civilians — mostly women and children — had been killed in the operation’s execution. Two Jordanian Legion soldiers had been killed in the perimeter fighting at the village’s police post. The Unit 101 and 890th Battalion forces sustained no operational casualties.</w:t>
      </w:r>
      <w:r>
        <w:rPr>
          <w:rStyle w:val="EndnoteReference"/>
        </w:rPr>
        <w:endnoteReference w:id="72"/>
      </w:r>
    </w:p>
    <w:p>
      <w:pPr>
        <w:pStyle w:val="BodyText"/>
      </w:pPr>
      <w:r>
        <w:t xml:space="preserve">❓ שאלה לעמי: קיביה — אני מציג את האירוע באופן עובדתי-מסויג: 69 הרוגים אזרחים בעיקר נשים וילדים, ההוראות</w:t>
      </w:r>
      <w:r>
        <w:t xml:space="preserve"> </w:t>
      </w:r>
      <w:r>
        <w:t xml:space="preserve">“</w:t>
      </w:r>
      <w:r>
        <w:t xml:space="preserve">המעורפלות</w:t>
      </w:r>
      <w:r>
        <w:t xml:space="preserve">”</w:t>
      </w:r>
      <w:r>
        <w:t xml:space="preserve"> </w:t>
      </w:r>
      <w:r>
        <w:t xml:space="preserve">שנתן שרון, ההבנה הפנימית של הלוחמים שהדיירים יוסעו, וההזדהות הביצועית שזה לא קרה. השאלה הקריטית: עד כמה לכת בניתוח האירוע מבחינה מוסרית-משפטית? הספר שלך הוא ספר על SOF, לא ספר על Qibya כפשע מלחמה, אבל קיביה היא נקודה מוסרית מרכזית של ההיסטוריה של ה-IDF. האם אתה רוצה (א) להישאר עם הפסקה הנוכחית, (ב) להוסיף פסקה אנליטית על השלכות המוסריות והמשפטיות של האירוע, או (ג) להתמקד בהשלכות המוסדיות (גינוי בינלאומי, המיזוג של 101 עם 890) בלי לטפל בשאלות המוסריות במישרין?</w:t>
      </w:r>
    </w:p>
    <w:p>
      <w:pPr>
        <w:pStyle w:val="BodyText"/>
      </w:pPr>
      <w:r>
        <w:t xml:space="preserve">The institutional consequences of the Qibya raid were, in the operational reality of the weeks following the operation, the institutional consequences of an international diplomatic crisis the new state’s leadership had not anticipated. The international condemnation of the operation — articulated in United Nations Security Council Resolution 101 of 24 November 1953, in the unprecedented sharpness of the official American diplomatic protest, and in the substantive editorial response of the major British and European newspapers in the closing days of October — was institutionally unmanageable for the Israeli cabinet. The operation, in the cabinet’s institutional reckoning of the international response, had produced strategic damage to the new state’s international position that the operational result of the raid could not justify. The institutional response Ben-Gurion authorized, in the cabinet’s decision of the early days of November 1953, was the formal dissolution of Unit 101. The dissolution, announced publicly in the cabinet’s official statement of the period, was framed as the cabinet’s institutional response to the operation’s excess. The institutional reality the dissolution concealed, in the operational documentation of the next two months, was that the unit was not in fact dissolved. The unit’s operators — Sharon, Har-Zion, Shlomo Baum, the small institutional cadre that the Sataf training cycles had produced — were, in the institutional rearrangement Dayan authorized in January 1954, transferred as a coherent operational unit into the 890th Paratroopers Battalion of the Paratroopers Brigade. Sharon was appointed commander of the 890th Battalion in the same institutional rearrangement. Har-Zion was appointed commander of the battalion’s reconnaissance company, Company A, with the operational mandate to preserve, within the conventional institutional structure of the paratrooper battalion, the operational culture and the doctrinal package the Sataf training had produced. The institutional history of the next three years — the institutional and operational history that the Tranche 3 of this chapter will take up — was the institutional history of the conversion of the conventional paratrooper battalion into the IDF’s principal reprisal force, on the institutional template Sharon and the Unit 101 cadre had carried out of the Qibya operation’s institutional aftermath.</w:t>
      </w:r>
      <w:r>
        <w:rPr>
          <w:rStyle w:val="EndnoteReference"/>
        </w:rPr>
        <w:endnoteReference w:id="73"/>
      </w:r>
    </w:p>
    <w:p>
      <w:pPr>
        <w:pStyle w:val="BodyText"/>
      </w:pPr>
      <w:r>
        <w:t xml:space="preserve">The institutional logic the cabinet’s</w:t>
      </w:r>
      <w:r>
        <w:t xml:space="preserve"> </w:t>
      </w:r>
      <w:r>
        <w:t xml:space="preserve">“</w:t>
      </w:r>
      <w:r>
        <w:t xml:space="preserve">dissolution</w:t>
      </w:r>
      <w:r>
        <w:t xml:space="preserve">”</w:t>
      </w:r>
      <w:r>
        <w:t xml:space="preserve"> </w:t>
      </w:r>
      <w:r>
        <w:t xml:space="preserve">decision operated on, in the institutional sociology of the November 1953 rearrangement, was the institutional logic of the public concealment. The institutional vehicle that had produced the Qibya raid had not, in the institutional reality of the IDF’s general staff decisions, been dissolved. It had been institutionally relocated. The institutional consequence — for the IDF’s subsequent special-operations apparatus and for the larger institutional history of the new state’s military across the closing years of the 1950s — was that the institutional pattern Sharon had established at Sataf in August 1953 became, in the institutional rearrangement of January 1954, the institutional culture of the IDF’s principal airborne formation. The paratroopers, in the institutional language of the Maklef 1953 doctrinal framework, had been designated the IDF’s principal special-operations force. The institutional culture they had absorbed, in the operational realities of late 1953 and early 1954, was the reprisal-and-raid culture the Unit 101 cadre had carried out of the Qibya operation. The institutional consequences would define, across the years 1954 to 1956, the operational character of the IDF’s response to the closing years of the border crisis and the institutional preparation for the Sinai Campaign of October–November 1956 that Tranche 3 of this chapter will reconstruct.</w:t>
      </w:r>
      <w:r>
        <w:rPr>
          <w:rStyle w:val="EndnoteReference"/>
        </w:rPr>
        <w:endnoteReference w:id="74"/>
      </w:r>
    </w:p>
    <w:bookmarkEnd w:id="75"/>
    <w:bookmarkStart w:id="89" w:name="X0c8f7f9f13f0a15444c1f659d10bb5c3794e87a"/>
    <w:p>
      <w:pPr>
        <w:pStyle w:val="Heading2"/>
      </w:pPr>
      <w:r>
        <w:t xml:space="preserve">4.7 The Reprisal Years and the Parallel Clandestine Collapse, 1954–1955</w:t>
      </w:r>
    </w:p>
    <w:p>
      <w:pPr>
        <w:pStyle w:val="FirstParagraph"/>
      </w:pPr>
      <w:r>
        <w:t xml:space="preserve">The institutional rearrangement of January 1954 that transferred the Unit 101 cadre into the 890th Paratroopers Battalion produced, across the eighteen months that followed, the institutional consolidation of the IDF’s principal reprisal apparatus. Sharon, in his appointment as commander of the battalion, began immediately the institutional project of transferring the operational culture the Sataf training cycles had produced — the cellular small-team architecture, the radical decentralization of operational authority to the platoon and section commander on the ground, the institutional contempt for the conventional discipline of the regular IDF — into the institutional environment of the conventional paratrooper formation. The project was conducted, in the institutional history of the period, against substantial internal resistance from the institutional cadres of the 890th who had been institutionally socialized into the conventional discipline of the regular paratrooper service and who regarded the Unit 101 cadre’s institutional culture as institutionally aberrant. Sharon’s institutional response to the resistance was characteristic. He bypassed the resistance through the institutional vehicle of Company A — the battalion’s reconnaissance company, whose command he assigned in the January 1954 rearrangement to Meir Har-Zion, the operationally most distinguished of the Unit 101 cadre and the man whose 1952 retrospective on the bleak operational atmosphere of the IDF had, in the institutional sociology of the period, become a canonical articulation of the operational vacuum the doctrinal absence of dedicated SOF had produced.</w:t>
      </w:r>
      <w:r>
        <w:rPr>
          <w:rStyle w:val="EndnoteReference"/>
        </w:rPr>
        <w:endnoteReference w:id="76"/>
      </w:r>
    </w:p>
    <w:p>
      <w:pPr>
        <w:pStyle w:val="BodyText"/>
      </w:pPr>
      <w:r>
        <w:t xml:space="preserve">Company A, under Har-Zion’s command from January 1954 through September 1956, became the institutional core of the IDF’s reprisal apparatus across the period. The company’s operational doctrine, on the institutional reconstruction the published memoirs and the post-war institutional histories have produced, was a direct adaptation of the Unit 101 cadre’s Sataf-era operational practice — small-team night infiltration across the armistice lines, demolition of identified target structures, rapid withdrawal under conditions of operational uncertainty, deliberate refusal of decisive engagement with the conventional defensive formations of the Jordanian and Egyptian armies. The operational pattern was institutionally cost-effective in the narrow operational sense — the company conducted, between January 1954 and September 1956, more than fifty cross-border operations with minimal operational casualties — and institutionally aggressive in the larger strategic sense, in that the operations produced, across the same period, a cumulative deterrent effect on the Jordanian and Egyptian governments that Israel’s senior political and military leadership characterized, in the institutional documentation of the period, as the principal operational instrument by which the new state was containing the cumulative pressure of the borders crisis. Whether the cumulative deterrence was, in the strategic reality of the period, being produced — or whether the institutional self-confidence the operational record was producing was itself contributing to the operational escalation that would culminate in the Sinai Campaign of October 1956 — is a question the institutional historiography of the period has not, in the half-century since, conclusively settled.</w:t>
      </w:r>
      <w:r>
        <w:rPr>
          <w:rStyle w:val="EndnoteReference"/>
        </w:rPr>
        <w:endnoteReference w:id="77"/>
      </w:r>
    </w:p>
    <w:p>
      <w:pPr>
        <w:pStyle w:val="BodyText"/>
      </w:pPr>
      <w:r>
        <w:t xml:space="preserve">❓ שאלה לעמי: השאלה על</w:t>
      </w:r>
      <w:r>
        <w:t xml:space="preserve"> </w:t>
      </w:r>
      <w:r>
        <w:t xml:space="preserve">“</w:t>
      </w:r>
      <w:r>
        <w:t xml:space="preserve">ההרתעה המצטברת</w:t>
      </w:r>
      <w:r>
        <w:t xml:space="preserve">”</w:t>
      </w:r>
      <w:r>
        <w:t xml:space="preserve"> </w:t>
      </w:r>
      <w:r>
        <w:t xml:space="preserve">(Cumulative Deterrence) של Maoz / Almog — האם אתה רוצה שאני אכניס את הוויכוח האקדמי על שאלת הצלחת מדיניות התגמול במלוא היקפו (Yaniv 1994, Maoz 2007, Almog 2004, Drory 2012, Morris 1993), או שעדיף להציג את העמדה האסכפטית של הספר (שמדיניות התגמול לא ייצרה הרתעה אלא קידמה את הדהירה אל סיני 1956) ולהשאיר את הוויכוח לפרק או נספח אחר?</w:t>
      </w:r>
    </w:p>
    <w:p>
      <w:pPr>
        <w:pStyle w:val="BodyText"/>
      </w:pPr>
      <w:r>
        <w:t xml:space="preserve">The institutional complement to Sharon’s reprisal-doctrine project at the 890th Battalion, in the parallel institutional development of the IDF’s specialized formations across 1954 and 1955, was the institutional founding of Sayeret Shaked in the Negev under the command of Amos Yarkoni in May 1955. Yarkoni — born Abd al-Majid Hidr to the Bedouin Mazarib tribe in the lower Galilee in 1920, recruited to the British police in the late 1930s, decorated for his service with the British forces against the German-supported irregular formations of the Arab Revolt period, and absorbed into the IDF’s Bedouin Tracking Unit in 1948 — represented a different institutional model for the IDF’s emerging special-operations apparatus. Where Sharon’s 890th Battalion was reprisal-oriented and offensive in its institutional self-understanding, Yarkoni’s Sayeret Shaked was preventive-oriented and defensive in its institutional self-understanding. Where the 890th conducted operations across the armistice lines into Jordanian and Egyptian territory, Sayeret Shaked operated within the Israeli side of the Egyptian armistice line, conducting tracking and interdiction operations against the Egyptian-trained Fedayeen infiltrators whose operational tempo had, by the closing months of 1954, escalated to a scale the conventional border-protection apparatus could not manage. The institutional model Yarkoni constructed — small mixed teams of Bedouin trackers and Jewish operators, operating in the open desert of the Negev’s southern reaches, with operational autonomy at the platoon level and direct command relationships with the Southern Command rather than with the General Staff — drew, on the institutional reconstruction of the period, on the operational pattern Sadeh’s Nodedet of the late 1930s and Wingate’s Special Night Squads of 1937–1938 had institutionalized in the pre-state period. Yarkoni’s institutional language for the operational doctrine, in the documentation of the period, was the language of prevention (meni’ah) as institutionally distinct from the language of reprisal (tagmul) that Sharon’s apparatus operated under. The doctrinal distinction was institutionally substantial. It would persist, across the institutional history of the IDF’s special-operations apparatus through the 1960s and the 1970s and into the institutional reckoning of the Second Lebanon War of 2006, as one of the principal doctrinal axes along which the IDF’s elite-unit ecosystem would, across the post-Sinai decades, organize itself.</w:t>
      </w:r>
      <w:r>
        <w:rPr>
          <w:rStyle w:val="EndnoteReference"/>
        </w:rPr>
        <w:endnoteReference w:id="78"/>
      </w:r>
    </w:p>
    <w:p>
      <w:pPr>
        <w:pStyle w:val="BodyText"/>
      </w:pPr>
      <w:r>
        <w:t xml:space="preserve">❓ שאלה לעמי: סיירת שקד וירקוני — אני מציג כאן את ההבחנה הדוקטרינלית בין preventive (שקד, יחידות אזוריות) ל-reprisal (890, סיירת מטכ”ל הבאה) כציר מארגן של הספר. השאלה: האם זה תואם את הקריאה שלך, או שאתה מעדיף שאני אציג את שקד כפי שתציג אותה ב-source draft שלך — כיורשת של Nodedet ו-SNS, פחות בהדגשת הניגוד עם 890?</w:t>
      </w:r>
    </w:p>
    <w:p>
      <w:pPr>
        <w:pStyle w:val="BodyText"/>
      </w:pPr>
      <w:r>
        <w:t xml:space="preserve">The expansion of the IDF’s reprisal apparatus across 1954 and 1955 was institutionally accelerated by the operational escalation that the Egyptian government, under the new leadership of Gamal Abdel Nasser after the July 1952 Free Officers’ coup that had overthrown King Farouk, was producing along the Gaza armistice line. The Egyptian Mukhabarat had begun, in the institutional reconstruction of the period, to train and equip the Palestinian Fedayeen operational cadres at the operational scale of formal units — drawing on the Palestinian refugee population of the Gaza Strip for personnel and on the Egyptian military’s institutional infrastructure for training and equipment — and to deploy the cadres in a sustained low-intensity operational campaign against the Israeli settlements along the Gaza border. The operational tempo escalated through the spring and summer of 1955. By the closing months of 1955, the Egyptian-trained Fedayeen had killed approximately fifty Israeli civilians and military personnel and had wounded several hundred more in the operational campaign of the year. The IDF’s institutional response, in the institutional pattern Sharon’s 890th Battalion had established, was to escalate the reprisal apparatus in proportion to the Egyptian operational tempo. The most institutionally consequential operations of the period — Operation Black Arrow against the Egyptian Army headquarters at Gaza on the night of 28 February 1955, Operation Yarkon as a pre-Sinai reconnaissance penetration into Egyptian-held Sinai in early June 1955, and Operation Kinneret against the Syrian Army positions on the northeastern shore of the Sea of Galilee on the night of 11 December 1955 — were each, in their institutional planning and operational execution, demonstrations of the operational scale to which the 890th Battalion’s reprisal apparatus had developed across the eighteen months since the January 1954 rearrangement.</w:t>
      </w:r>
      <w:r>
        <w:rPr>
          <w:rStyle w:val="EndnoteReference"/>
        </w:rPr>
        <w:endnoteReference w:id="79"/>
      </w:r>
    </w:p>
    <w:p>
      <w:pPr>
        <w:pStyle w:val="BodyText"/>
      </w:pPr>
      <w:r>
        <w:t xml:space="preserve">Operation Black Arrow of 28 February 1955 was the institutional turning point. The operation — authorized by Defense Minister Pinchas Lavon and Chief of Staff Moshe Dayan in retaliation for an Egyptian-trained Fedayeen operation that had killed an Israeli cyclist on the road outside Rehovot a week earlier — was the largest cross-border operation the IDF had conducted since the conclusion of the 1948 war. The operational target was the Egyptian Army’s main administrative headquarters in the Gaza Strip, located at the southern outskirts of Gaza City. The operational force — approximately one hundred and fifty operators of the 890th Battalion under Sharon’s direct command — penetrated the Egyptian perimeter at approximately 23:00 on the night of the twenty-eighth, conducted the systematic demolition of the headquarters’ principal administrative buildings, engaged the Egyptian garrison in a sustained close-range firefight, and withdrew across the armistice line at approximately 03:00 on the morning of the first of March. Egyptian casualties were approximately thirty-seven killed and thirty-one wounded. Israeli casualties were eight killed and thirteen wounded. The operation was, in its operational scale, an institutional escalation of the reprisal doctrine that placed the 890th Battalion’s operational pattern on a strategically different footing than the small-scale demolition operations the unit had conducted through 1954. The institutional consequence — registered in the Egyptian government’s response to the operation — was that Nasser cited the Black Arrow attack, in subsequent diplomatic communications with the Soviet bloc, as the institutional event that had crystallized his strategic decision to accept the Czechoslovak-mediated arms deal with the Soviet Union that would, in September 1955, dramatically transform the operational balance between the Egyptian and Israeli militaries and create the operational conditions for the institutional drift toward the Sinai Campaign of October 1956. The reprisal apparatus the Unit 101 cadre had constructed had become, by the spring of 1955, an institutional driver of strategic escalation in the new state’s regional environment.</w:t>
      </w:r>
      <w:r>
        <w:rPr>
          <w:rStyle w:val="EndnoteReference"/>
        </w:rPr>
        <w:endnoteReference w:id="80"/>
      </w:r>
    </w:p>
    <w:p>
      <w:pPr>
        <w:pStyle w:val="BodyText"/>
      </w:pPr>
      <w:r>
        <w:t xml:space="preserve">❓ שאלה לעמי: הקישור בין חץ שחור (פברואר 1955) להחלטה של נאצר על עסקת הנשק הצ’כית (ספטמבר 1955) — זאת הטענה הסטנדרטית של Maoz (2007,</w:t>
      </w:r>
      <w:r>
        <w:t xml:space="preserve"> </w:t>
      </w:r>
      <w:r>
        <w:t xml:space="preserve">“</w:t>
      </w:r>
      <w:r>
        <w:t xml:space="preserve">Evaluating Israel’s Strategy of Low-Intensity Warfare</w:t>
      </w:r>
      <w:r>
        <w:t xml:space="preserve">”</w:t>
      </w:r>
      <w:r>
        <w:t xml:space="preserve">). אבל יש גם הקריאה הרוויזיוניסטית של Drory (2012) שטוענת שעסקת הנשק הצ’כית התבססה על פגישות שהתחילו לפני חץ שחור. השאלה: באיזו קריאה אתה רוצה לעמוד? אני בטיוטה כעת עם הקריאה של Maoz.</w:t>
      </w:r>
    </w:p>
    <w:p>
      <w:pPr>
        <w:pStyle w:val="BodyText"/>
      </w:pPr>
      <w:r>
        <w:t xml:space="preserve">Operation Yarkon of 9–12 June 1955 was the institutional complement to Black Arrow on the reconnaissance side of the IDF’s emerging Sinai operational planning. The operation — conducted by a six-man reconnaissance team of Battalion 52 of Brigade 5, under the operational command of Lieutenant Colonel Asher Levy and with the personal participation of the future Major General Manu Shaked — was a clandestine three-day overland penetration into the Sinai Peninsula along the Gulf of Aqaba’s western shore between Dahab and Ein el-Furgha, in the operational sector that would, sixteen months later in the Sinai Campaign of October–November 1956, supply the operational route of the IDF’s southern armored thrust toward Sharm el-Sheikh. The operation’s institutional purpose was the operational reconnaissance of the route’s passability for the conventional armored formations the IDF would deploy in any future Sinai operation. The operational record — reconstructed in the IAF’s institutional history and in Manu Shaked’s subsequent personal accounts — included the parachute delivery of water canisters to the reconnaissance team from a DC-3 Dakota airborne command post, the extraction of the team by the IAF’s Piper Cub squadron from a ten-degree sloped airstrip near Nuweiba, and the operational data that would, in the Sinai Campaign of October 1956, supply the operational justification for Brigade 9’s southern thrust along the same route. Yarkon was, in its institutional character, a deep-reconnaissance operation of the kind the Sadeh 1950 Maarachot essays had proposed and that the Unit 30 of August 1951 had failed to constitute as a standing institutional vehicle. The institutional difference — and the institutional reason Yarkon succeeded operationally where Unit 30 had failed institutionally — was that the Yarkon operation was authorized by the General Staff at the operation-specific level rather than constituted as a standing institutional vehicle. The operational practice could be reproduced in subsequent operations. The institutional vehicle that would have routinized the practice could not, in the institutional framework the Maklef 1953 doctrine had created, be constituted.</w:t>
      </w:r>
      <w:r>
        <w:rPr>
          <w:rStyle w:val="EndnoteReference"/>
        </w:rPr>
        <w:endnoteReference w:id="81"/>
      </w:r>
    </w:p>
    <w:p>
      <w:pPr>
        <w:pStyle w:val="BodyText"/>
      </w:pPr>
      <w:r>
        <w:t xml:space="preserve">Operation Kinneret of the night of 11–12 December 1955 was the operational closure of the reprisal apparatus’s 1955 institutional expansion. The operation — authorized by Ben-Gurion, who had returned to the prime ministership in November 1955 and had brought with him a renewed institutional commitment to the aggressive operational responses the reprisal doctrine had institutionalized — was conducted by approximately one hundred and twenty operators of the 890th Battalion against the Syrian Army positions on the northeastern shore of the Sea of Galilee. The operational target was the Syrian fishing village of Kursi (Khirbet al-Kursi) and the adjacent Syrian Army outposts that had, through the closing months of 1955, been firing on Israeli fishing vessels and patrol boats operating in the Sea of Galilee’s eastern waters. The operation — conducted under the operational command of Aharon Davidi, with Sharon in operational supervision from the Israeli side of the armistice line — produced approximately sixty Syrian casualties (killed and captured) and the destruction of the targeted Syrian outposts. Israeli casualties were six killed and twelve wounded. The institutional consequence the operation produced was, in its international diplomatic dimension, the institutional pattern Qibya had established in October 1953. The United Nations Security Council condemned the operation. The American government issued an institutional protest more sharply worded than at any prior point in the 1953–1955 reprisal sequence. The cabinet’s institutional response — in the institutional posture Ben-Gurion had returned to office under — was to absorb the diplomatic cost as the institutional price of the strategic deterrence the operations were, in the institutional self-understanding of the IDF’s senior leadership, producing. The institutional pattern Kinneret had confirmed — that the reprisal apparatus was, by the closing months of 1955, the IDF’s principal institutional vehicle for managing the operational pressure of the borders crisis — would persist until the operational and institutional reckoning the Sinai Campaign of October–November 1956 would produce.</w:t>
      </w:r>
      <w:r>
        <w:rPr>
          <w:rStyle w:val="EndnoteReference"/>
        </w:rPr>
        <w:endnoteReference w:id="82"/>
      </w:r>
    </w:p>
    <w:p>
      <w:pPr>
        <w:pStyle w:val="BodyText"/>
      </w:pPr>
      <w:r>
        <w:t xml:space="preserve">The parallel institutional collapse that characterized the IDF’s special-operations apparatus across the same period — the institutional collapse that defined, in the institutional sociology of the period, the operational vacuum the doctrinal absence of dedicated SOF had been producing throughout the post-1948 decade — occurred on the clandestine and intelligence side of the institutional apparatus rather than on the reprisal side. The collapse had two principal institutional manifestations. The first was the Lavon Affair of the summer of 1954 — the institutional catastrophe that produced the institutional rupture between the political and military leaderships of the new state and that exposed, in the institutional reckoning of the post-affair period, the operational inadequacy of the Aman clandestine apparatus that the institutional rearrangement of December 1953 had constituted. The second was the operational disaster of Operation Cricket of December 1954 — the operational failure that captured the small team of Israeli signals-intelligence operators in Syrian territory, that produced the suicide of Corporal Uri Ilan in the Mezzeh Prison of Damascus, and that exposed the operational immaturity of the IDF’s emerging signals-intelligence capabilities.</w:t>
      </w:r>
      <w:r>
        <w:rPr>
          <w:rStyle w:val="EndnoteReference"/>
        </w:rPr>
        <w:endnoteReference w:id="83"/>
      </w:r>
    </w:p>
    <w:p>
      <w:pPr>
        <w:pStyle w:val="BodyText"/>
      </w:pPr>
      <w:r>
        <w:t xml:space="preserve">The Lavon Affair began, in the institutional sequence of events the post-war institutional histories have reconstructed, with the institutional decision Aman commander Colonel Benjamin Gibli authorized in May 1954 to activate the clandestine cells the Aman Unit 131 — the operational vehicle for clandestine sabotage and psychological warfare in Arab countries that had been institutionally constituted within the Aman framework in 1951 under the operational command of Avraham Dar — had constituted in Egypt across 1951 and 1952. The operational purpose Gibli’s institutional decision was framed under was the institutional purpose of creating, in the political environment of the Egyptian capital, the institutional conditions that would induce the British government to slow its negotiated withdrawal from the Suez Canal Zone — a withdrawal that the British and Egyptian governments had been negotiating across 1953 and 1954 and that the Israeli political and military leadership regarded, in the institutional documentation of the period, as a strategic threat to the new state’s regional position. The operational vehicle Gibli activated — the Egyptian-Jewish cells the Aman Unit 131 had recruited under Dar’s pre-1952 operational direction — was operationally immature. The cells’ operators were young Egyptian Jews with no formal military training, no operational cover stories prepared for arrest contingencies, and no operational compartmentalization between the cells. The operational targets the cells were assigned — small incendiary devices placed in American and British cultural and commercial institutions in Cairo and Alexandria to be detonated at periods of public attendance — were operationally cost-effective in the narrow sense of producing limited material damage, and institutionally catastrophic in the larger sense of being attributable, in the institutional reality the Egyptian counterintelligence apparatus would shortly demonstrate, to the Israeli state’s covert action apparatus rather than to the cover identities the cells had been instructed to operate under.</w:t>
      </w:r>
      <w:r>
        <w:rPr>
          <w:rStyle w:val="EndnoteReference"/>
        </w:rPr>
        <w:endnoteReference w:id="84"/>
      </w:r>
    </w:p>
    <w:p>
      <w:pPr>
        <w:pStyle w:val="BodyText"/>
      </w:pPr>
      <w:r>
        <w:t xml:space="preserve">The operation collapsed in mid-July 1954, within forty-eight hours of the first incendiary device’s detonation at the Alexandria Post Office on the second anniversary of the Free Officers’ coup. The Egyptian counterintelligence apparatus — which had, on the post-affair institutional reconstruction, been monitoring the Aman Unit 131’s cells through a double-agent operation conducted under the Aman cover-officer designation</w:t>
      </w:r>
      <w:r>
        <w:t xml:space="preserve"> </w:t>
      </w:r>
      <w:r>
        <w:t xml:space="preserve">“</w:t>
      </w:r>
      <w:r>
        <w:t xml:space="preserve">Avri Elad</w:t>
      </w:r>
      <w:r>
        <w:t xml:space="preserve">”</w:t>
      </w:r>
      <w:r>
        <w:t xml:space="preserve"> </w:t>
      </w:r>
      <w:r>
        <w:t xml:space="preserve">since the cells’ founding period — identified the cells’ operators within seventy-two hours of the first device’s detonation. The cells’ surviving members were arrested across the following two weeks. The Egyptian government’s prosecution of the operators in the institutional show trial of December 1954 produced two convictions of capital sentence — the operators Moshe Marzouk and Shmuel Azar were hanged at the Bab al-Khalq Prison in Cairo on the thirty-first of January 1955 — and several long-sentence convictions for the surviving operators. The institutional consequences for the Israeli political and military leadership were, in the operational reality of the closing months of 1954, the institutional consequences of an unmanageable political crisis. Lavon, the defense minister who had been formally responsible for the Aman apparatus that had authorized the operation, denied institutional knowledge of the operational decision. Gibli, the Aman commander who had authorized the operation, insisted in the institutional documentation he subsequently submitted to the cabinet’s investigative committee that the operational decision had been authorized by Lavon. The institutional dispute between the two principals — the dispute the cabinet’s investigative committee of late 1954 could not, on the documentary evidence available to it, conclusively resolve — would persist as an institutional fault line in the Israeli political and military establishment for the subsequent two decades, would produce three subsequent cabinet investigative committees across 1957 to 1960, and would produce Ben-Gurion’s final resignation from political office in 1963.</w:t>
      </w:r>
      <w:r>
        <w:rPr>
          <w:rStyle w:val="EndnoteReference"/>
        </w:rPr>
        <w:endnoteReference w:id="85"/>
      </w:r>
    </w:p>
    <w:p>
      <w:pPr>
        <w:pStyle w:val="BodyText"/>
      </w:pPr>
      <w:r>
        <w:t xml:space="preserve">❓ שאלה לעמי: הלאוון אפייר — אני מציג זאת באופן מצומצם (פסקה אחת על המהלך, פסקה אחת על הקריסה). השאלה: האם זה מתאים, או שאתה רוצה שאני ארחיב (במיוחד על אברי אלאד כסוכן כפול אפשרי לפי טיוטה שלך)? יש פה גם החלטה אנליטית: האם הלאוון אפייר היא חלק מהסיפור של ה-SOF הישראלי, או שזו פיאסקו של intel/clandestine שעדיף לטפל בה בפרק 5 (סיירת מטכ”ל + Aman)? אני נטיתי לכלול אותה כאן כי היא חלק מ”הקריסה המקבילה” של הקלנדסטיני, אבל אם אתה מעדיף — אני יכול להעביר אותה לפרק 5.</w:t>
      </w:r>
    </w:p>
    <w:p>
      <w:pPr>
        <w:pStyle w:val="BodyText"/>
      </w:pPr>
      <w:r>
        <w:t xml:space="preserve">The Uri Ilan suicide of December 1954 was the operational and institutional companion to the Lavon Affair on the signals-intelligence and reconnaissance side of the Aman apparatus. The operation — known by the institutional designation Operation Cricket (Tzartzar) and conducted under the joint operational command of the IDF’s Northern Command and the Aman signals-intelligence Unit 515 — was the institutional vehicle through which the IDF was attempting, across the closing months of 1953 and through 1954, to construct an operational signals-intelligence capability against the Syrian Army’s communication infrastructure in the Golan Heights sector north of the Sea of Galilee. The operational practice the unit had institutionalized — drawn from the Aman 432 technological unit’s development of small battery-powered listening devices (codename Nitzan,</w:t>
      </w:r>
      <w:r>
        <w:t xml:space="preserve"> </w:t>
      </w:r>
      <w:r>
        <w:t xml:space="preserve">“</w:t>
      </w:r>
      <w:r>
        <w:t xml:space="preserve">Bud</w:t>
      </w:r>
      <w:r>
        <w:t xml:space="preserve">”</w:t>
      </w:r>
      <w:r>
        <w:t xml:space="preserve">) that could be physically attached to the telephone-pole infrastructure connecting the Syrian Army’s frontline outposts to the headquarters facilities at Quneitra and Damascus — depended on the routine maintenance operations the listening devices required. The devices’ batteries had to be replaced at intervals of approximately three months. The maintenance operations had to be conducted clandestinely, with the maintenance team physically penetrating Syrian territory, climbing the telephone poles, replacing the batteries on the listening devices, and withdrawing across the armistice line. The operational practice was inherently risky. The maintenance teams — drawn from the 890th Paratroopers Battalion’s Company A and, by the closing months of 1954, from the Golani Brigade’s reconnaissance company on the institutional decision the Aman command had authorized in the spring of the same year to distribute the operational burden across multiple infantry formations — were operating, in each maintenance operation, on the operational assumption that the Syrian Army’s local patrols would not be in the immediate area at the time of the operation.</w:t>
      </w:r>
      <w:r>
        <w:rPr>
          <w:rStyle w:val="EndnoteReference"/>
        </w:rPr>
        <w:endnoteReference w:id="86"/>
      </w:r>
    </w:p>
    <w:p>
      <w:pPr>
        <w:pStyle w:val="BodyText"/>
      </w:pPr>
      <w:r>
        <w:t xml:space="preserve">The operational assumption failed on the night of the eighth of December 1954. A five-operator maintenance team — composed of three operators of the 890th Battalion’s Company A under the operational command of Captain Meir Moses of the Golani Brigade’s reconnaissance company and including Corporal Uri Ilan, a nineteen-year-old conscript of Kibbutz Gan Shmuel whose mother Fayge Ilanit had served in the first and second Knesset of the new state as a member of the Mapam party — crossed the armistice line near Kibbutz Dan and proceeded toward the listening device’s installation point approximately eight kilometers inside Syrian territory. The team was ambushed by a Syrian Army patrol within approximately ninety minutes of crossing. The operators, on the institutional reconstruction the post-incident debriefings produced, were not operationally prepared for the contingency of capture. The cover story they had been instructed to operate under in the event of arrest — that they had crossed the armistice line by navigational error during a routine border-patrol operation — was operationally inadequate to the interrogation pressures the Syrian security apparatus would, on its standard institutional practice for captured Israeli military personnel, apply. The team was transferred from Quneitra to the Mezzeh Prison in Damascus within forty-eight hours of capture. The interrogations began immediately. Ilan, on the post-affair institutional reconstruction the Syrian release of his personal effects in the spring of 1955 would document, chose suicide on the operational reasoning that the disclosure of the maintenance operation under interrogation pressure would compromise the operational security of the entire Aman signals-intelligence apparatus along the Syrian front. Notes found on Ilan’s body after the suicide — notes that would, in the institutional documentation Dayan would subsequently weaponize in the institutional cultivation of the post-war myth of the heroic Israeli soldier, become canonical — recorded the operational reasoning. The four surviving operators of the team broke under interrogation in the days following Ilan’s suicide. The Aman signals-intelligence apparatus along the Syrian front was operationally compromised. The institutional fallout — the cabinet investigation Prime Minister Moshe Sharett initiated in the closing days of December 1954, the institutional indictment Sharett directed against Gibli for criminal negligence in the operation’s planning, the institutional rupture that the Sharett indictment produced between the political and military leaderships — would persist as an institutional fault line through 1955 and into the institutional rearrangement that Ben-Gurion’s return to the prime ministership in November 1955 would produce.</w:t>
      </w:r>
      <w:r>
        <w:rPr>
          <w:rStyle w:val="EndnoteReference"/>
        </w:rPr>
        <w:endnoteReference w:id="87"/>
      </w:r>
    </w:p>
    <w:p>
      <w:pPr>
        <w:pStyle w:val="BodyText"/>
      </w:pPr>
      <w:r>
        <w:t xml:space="preserve">❓ שאלה לעמי: הסיפור של אורי אילן — אני מציג זאת כפי שכתבת בטיוטה (גם ההיבט הקנוני של דיין שהשתמש בפתקים של אילן לקדם מיתוס הלוחם הישראלי). השאלה: זה מטופל פה ב-2 פסקאות; האם אתה מעדיף שאני ארחיב על המיתוס שדיין בנה (כי זה רלוונטי לסיפור התרבותי של ה-IDF SOF), או שאשמור על האיפוק המוסדי-אופרציונלי?</w:t>
      </w:r>
    </w:p>
    <w:p>
      <w:pPr>
        <w:pStyle w:val="BodyText"/>
      </w:pPr>
      <w:r>
        <w:t xml:space="preserve">The institutional consequences of the Lavon Affair and the Uri Ilan suicide, taken together, were the institutional consequences of the operational and institutional immaturity of the IDF’s clandestine and signals-intelligence apparatus by the closing months of 1955. The institutional vehicles the Maklef 1953 doctrinal framework had designated for the strategic-intelligence and special-operations function — the Aman directorate in its post-December 1953 institutional configuration, the paratrooper-as-SOF concept that Sharon’s 890th Battalion was operationally executing, the regional preventive units that Yarkoni’s Sayeret Shaked exemplified — had each, in their distinctive institutional ways, demonstrated through the operational record of 1954 and 1955 the operational limits the institutional framework was operating under. The strategic-intelligence apparatus could not, on the Operation Susannah and Operation Cricket evidence, conduct sustained clandestine operations against the surrounding Arab states without producing operational disasters of institutional consequence. The paratrooper-as-SOF apparatus could conduct sustained reprisal operations against limited tactical targets but could not, on the institutional evidence the 890th Battalion’s operational record was producing, perform the strategic-depth special-operations function that the Maklef framework had assigned to it. The regional preventive units could perform their narrow operational mission within their designated geographical sectors but could not, on the institutional evidence the institutional sociology of the period was producing, substitute for the dedicated SOF formation the institutional framework continued to lack. The institutional vacuum the November 1948 dismantling had produced was, by the closing months of 1955, becoming visible — at the institutional level of the IDF’s senior officer corps and at the political level of the cabinet’s defense decisions — as an operational vacuum that the existing institutional vehicles could not, on the evidence the operational record was producing, fill.</w:t>
      </w:r>
      <w:r>
        <w:rPr>
          <w:rStyle w:val="EndnoteReference"/>
        </w:rPr>
        <w:endnoteReference w:id="88"/>
      </w:r>
    </w:p>
    <w:bookmarkEnd w:id="89"/>
    <w:bookmarkStart w:id="97" w:name="X99dbe5f7410b8f58af03d1bbaac8134b9be5347"/>
    <w:p>
      <w:pPr>
        <w:pStyle w:val="Heading2"/>
      </w:pPr>
      <w:r>
        <w:t xml:space="preserve">4.8 The Sinai Campaign and the Institutional Opening, October 1956 – Spring 1957</w:t>
      </w:r>
    </w:p>
    <w:p>
      <w:pPr>
        <w:pStyle w:val="FirstParagraph"/>
      </w:pPr>
      <w:r>
        <w:t xml:space="preserve">The institutional decision the IDF General Staff authorized in the summer of 1956 to constitute, within the Paratroopers Brigade’s institutional structure, a small specialized reconnaissance unit operationally distinct from the conventional paratrooper battalions was the institutional decision that produced Sayeret 5173 — the brigade-level reconnaissance unit that would, in the operational reality of the Sinai Campaign of October–November 1956 and in the institutional history of the post-Sinai Israeli special-operations apparatus, become the operational and personnel precursor to the institutional vehicles the post-1957 reckoning would produce. The decision’s institutional context was the operational record of the 890th Battalion’s reprisal operations through 1954 and 1955. Sharon, in his institutional position as the brigade’s senior officer and in the institutional autonomy his operational reputation had earned him, had been advocating since the closing months of 1955 for the institutional constitution of a small reconnaissance unit that could conduct, at the brigade-internal level, the deep-reconnaissance and target-identification operations the 890th Battalion’s reprisal operations had been depending on. The institutional decision the General Staff authorized in the summer of 1956 — the institutional decision that took the form of Sharon’s personal request to two of his Unit 101 cadre veterans, Meir Har-Zion and Micha Ben-Ari (whose nom-de-guerre was Kapusta,</w:t>
      </w:r>
      <w:r>
        <w:t xml:space="preserve"> </w:t>
      </w:r>
      <w:r>
        <w:t xml:space="preserve">“</w:t>
      </w:r>
      <w:r>
        <w:t xml:space="preserve">Cabbage</w:t>
      </w:r>
      <w:r>
        <w:t xml:space="preserve">”</w:t>
      </w:r>
      <w:r>
        <w:t xml:space="preserve">), to constitute the brigade reconnaissance unit at the Camp Sataf base that had served, in 1953, as Unit 101’s founding facility — was the institutional consolidation of the operational practice the Unit 101 cadre had been developing under different institutional designations for three years.</w:t>
      </w:r>
      <w:r>
        <w:rPr>
          <w:rStyle w:val="EndnoteReference"/>
        </w:rPr>
        <w:endnoteReference w:id="90"/>
      </w:r>
    </w:p>
    <w:p>
      <w:pPr>
        <w:pStyle w:val="BodyText"/>
      </w:pPr>
      <w:r>
        <w:t xml:space="preserve">Sayeret 5173 was, in the institutional intent Sharon and Har-Zion articulated in the institutional discussions of the unit’s founding period, an SAS-style formation. The institutional model Sharon and Har-Zion explicitly invoked, in the documentation Micha Ben-Ari (Kapusta) would subsequently include in his memoir Not Every Bullet Kills, was the British Special Air Service in its post-war institutional configuration. The unit’s operational mandate was the conduct of strategic-depth reconnaissance, target-identification, and direct-action raids in support of the Paratroopers Brigade’s operational deployments. The unit’s institutional structure — three platoons of approximately fifteen operators each under the platoon commands of Efraim Bar, Tzviki Nur, and Dov Tamari — was institutionally distinct from the conventional battalion organization the rest of the brigade operated under. The unit’s training program was institutionally heterodox in the manner the Unit 101 Sataf training cycles had pioneered. The institutional location of the unit’s facility at Camp Sataf — physically remote from the Paratroopers Brigade’s main base at Tel Nof — was deliberately chosen, in the institutional intent of the founding period, to maintain operational and institutional independence from the conventional discipline of the regular paratrooper service. The institutional pattern Unit 101 had established in August 1953 was, in the institutional configuration Sayeret 5173 was given in the summer of 1956, formally institutionalized at the brigade level.</w:t>
      </w:r>
      <w:r>
        <w:rPr>
          <w:rStyle w:val="EndnoteReference"/>
        </w:rPr>
        <w:endnoteReference w:id="91"/>
      </w:r>
    </w:p>
    <w:p>
      <w:pPr>
        <w:pStyle w:val="BodyText"/>
      </w:pPr>
      <w:r>
        <w:t xml:space="preserve">The institutional distinction Sharon and Har-Zion drew, in the institutional documentation of Sayeret 5173’s founding period, between the unit’s operational mandate and the operational mandate of the dedicated intelligence-collection SOF that the IDF would, in the spring of 1957, authorize Avraham Arnan to constitute, was an institutional distinction of considerable consequence for the institutional history this book is reconstructing. Sharon’s institutional vision for Sayeret 5173 was the institutional vision of an SAS-style raid unit — a formation oriented toward direct-action operations, oriented toward operational engagement with the enemy at the target’s physical location, oriented institutionally toward the operational culture that the Unit 101 cadre had developed through the reprisal years. The institutional vision that Arnan would, in the post-Sinai reckoning of the spring and summer of 1957, propose for the unit that would shortly be designated Sayeret Matkal — a clandestine intelligence-collection formation oriented toward operations whose operational success depended on remaining undetected, oriented institutionally toward the operational culture that Arnan himself had absorbed through his Mossad LeAliyah Bet service in the early 1950s and his Aman Unit 154 service in the Safed northern branch through 1953 and 1954 — would be a substantially different institutional vision. The institutional distinction between the two visions — between the SAS-style raid-and-direct-action unit and the SAS-style deep-reconnaissance-and-clandestine-intelligence unit — would persist, across the institutional history of the post-1957 Israeli special-operations apparatus, as one of the principal axes along which the IDF’s elite-unit ecosystem would organize itself.</w:t>
      </w:r>
      <w:r>
        <w:rPr>
          <w:rStyle w:val="EndnoteReference"/>
        </w:rPr>
        <w:endnoteReference w:id="92"/>
      </w:r>
    </w:p>
    <w:p>
      <w:pPr>
        <w:pStyle w:val="BodyText"/>
      </w:pPr>
      <w:r>
        <w:t xml:space="preserve">❓ שאלה לעמי: ההבחנה בין שתי גרסאות SAS — של שרון (raid-style) ושל ארנן (intel-style) — היא ה-pivot של המעבר בין פרק 4 לפרק 5. אני מציג אותה כאן בסעיף 4.8 כדי להכין את הקרקע לפרק 5. השאלה: האם אתה רוצה שהבחנה זו תיוצא כאן בעוצמה (כפי שזה כרגע), או שעדיף להתחיל בפרק 4 רק עם הגרסה של שרון ולהשאיר את ההבחנה המלאה לפרק 5?</w:t>
      </w:r>
    </w:p>
    <w:p>
      <w:pPr>
        <w:pStyle w:val="BodyText"/>
      </w:pPr>
      <w:r>
        <w:t xml:space="preserve">The Sinai Campaign of 29 October to 8 November 1956 was, in its institutional and operational consequences for the IDF’s special-operations apparatus, the operational test of the Maklef 1953 doctrinal framework that had designated the paratroopers as the IDF’s principal special-operations force. The opening operational maneuver of the campaign — the parachute jump of the 890th Battalion at the Mitla Pass on the afternoon of the twenty-ninth of October — was the institutional show of the paratrooper-as-SOF concept. At 15:00 on the afternoon of the twenty-ninth, sixteen Douglas DC-3 transport aircraft of the Israeli Air Force took off from the Tel Nof airbase, each aircraft carrying approximately twenty-four operators of the 890th Battalion under the operational command of Lieutenant Colonel Rafael</w:t>
      </w:r>
      <w:r>
        <w:t xml:space="preserve"> </w:t>
      </w:r>
      <w:r>
        <w:t xml:space="preserve">“</w:t>
      </w:r>
      <w:r>
        <w:t xml:space="preserve">Raful</w:t>
      </w:r>
      <w:r>
        <w:t xml:space="preserve">”</w:t>
      </w:r>
      <w:r>
        <w:t xml:space="preserve"> </w:t>
      </w:r>
      <w:r>
        <w:t xml:space="preserve">Eitan. The aircraft maintained low-altitude flight along the Negev’s southern approaches to evade Egyptian radar detection. At approximately 17:00, the aircraft reached the operational drop zone — the Parker Memorial site at the eastern entrance of the Mitla Pass, approximately two hundred kilometers behind the Egyptian forward lines in the central Sinai Peninsula. The 395 operators of the 890th Battalion jumped into the desert sky. The institutional intent of the operation, in the operational planning the Paratroopers Brigade staff had conducted in the closing weeks of October, was to seize the operational chokepoint that the Mitla Pass represented along the principal east–west axis of the central Sinai and to force the Egyptian forces in the eastern Sinai into a simultaneous engagement on both their front line in the east and their rear in the central Sinai. The operational logic the institutional planning had operated under was the operational logic the Maklef 1953 doctrine had assigned to the paratrooper force — strategic-depth airborne insertion behind the enemy’s main operational lines, in support of the conventional ground forces’ main operational thrust.</w:t>
      </w:r>
      <w:r>
        <w:rPr>
          <w:rStyle w:val="EndnoteReference"/>
        </w:rPr>
        <w:endnoteReference w:id="93"/>
      </w:r>
    </w:p>
    <w:p>
      <w:pPr>
        <w:pStyle w:val="BodyText"/>
      </w:pPr>
      <w:r>
        <w:t xml:space="preserve">What the operational reality at the Mitla Pass in the closing days of October and the opening days of November 1956 demonstrated, in the institutional reckoning the post-campaign analysis would produce, was that the operational logic the Maklef 1953 doctrine had assigned to the paratrooper force was operationally inadequate to the requirements of the wartime deployment. The 890th Battalion’s airborne insertion on the afternoon of the twenty-ninth succeeded operationally — the unit reached the operational drop zone, established perimeter security, and held the Parker Memorial site through the night of the twenty-ninth into the morning of the thirtieth. The conventional armored thrust the airborne insertion was institutionally synchronized to support — the advance of the Paratroopers Brigade’s overland column under Sharon’s direct command from the eastern Sinai frontier at Kuntilla toward the Mitla Pass — encountered significant Egyptian resistance and was institutionally delayed beyond the operational planning the brigade staff had constructed the campaign timeline around. By the late afternoon of the thirtieth, with the overland column still distant from the Mitla Pass and with the operational situation at the Pass institutionally uncertain, Sharon authorized — without explicit authorization from the brigade or General Staff command — an exploratory infantry advance into the Mitla Pass itself. The advance was institutionally controversial at the time and would remain institutionally controversial in the post-campaign institutional analysis the IDF General Staff would conduct in the closing months of 1956 and through 1957. The exploratory force — approximately two reinforced companies of the 890th Battalion under the operational command of Major Mordechai</w:t>
      </w:r>
      <w:r>
        <w:t xml:space="preserve"> </w:t>
      </w:r>
      <w:r>
        <w:t xml:space="preserve">“</w:t>
      </w:r>
      <w:r>
        <w:t xml:space="preserve">Motta</w:t>
      </w:r>
      <w:r>
        <w:t xml:space="preserve">”</w:t>
      </w:r>
      <w:r>
        <w:t xml:space="preserve"> </w:t>
      </w:r>
      <w:r>
        <w:t xml:space="preserve">Gur — entered the Mitla Pass at approximately 12:30 on the afternoon of the thirty-first. They were ambushed by Egyptian forces in dug-in positions on the Pass’s elevated southern wall. The engagement that followed — the Battle of the Mitla, in the institutional designation the IDF would assign to it — produced the highest single-engagement Israeli casualty figures of the Sinai Campaign. Thirty-eight operators of the 890th Battalion were killed in the engagement. More than one hundred and twenty were wounded. The Egyptian forces’ positions on the Pass’s southern wall were eventually destroyed by close-air-support strikes and by the institutional repositioning of the 890th’s operational forces, but the institutional cost — to the brigade’s institutional cohesion, to the operational reputation Sharon had constructed through the reprisal years, and to the institutional credibility of the paratrooper-as-SOF concept the Maklef 1953 doctrine had institutionalized — was substantial.</w:t>
      </w:r>
      <w:r>
        <w:rPr>
          <w:rStyle w:val="EndnoteReference"/>
        </w:rPr>
        <w:endnoteReference w:id="94"/>
      </w:r>
    </w:p>
    <w:p>
      <w:pPr>
        <w:pStyle w:val="BodyText"/>
      </w:pPr>
      <w:r>
        <w:t xml:space="preserve">❓ שאלה לעמי: קרב המיתלה — אני מציג זאת באופן מסויג (38 נהרגו, 120+ פצועים, השאלה אם שרון פעל בלי הרשאה) אבל לא נכנס לסערה הפנים-מוסדית שבעקבותיו (האם זה היה פשיטה הכרחית או</w:t>
      </w:r>
      <w:r>
        <w:t xml:space="preserve"> </w:t>
      </w:r>
      <w:r>
        <w:t xml:space="preserve">“</w:t>
      </w:r>
      <w:r>
        <w:t xml:space="preserve">פשיטה לתפארת</w:t>
      </w:r>
      <w:r>
        <w:t xml:space="preserve">”</w:t>
      </w:r>
      <w:r>
        <w:t xml:space="preserve"> </w:t>
      </w:r>
      <w:r>
        <w:t xml:space="preserve">של שרון). השאלה: עד כמה לפרט על הסערה? הוויכוח על המיתלה הוא מקרה ספציפי שאם נכנסים אליו דורש פסקה מלאה על אורן 2006 (במאמר Ha’aretz), על Hirsch 2009, ועל ההסבר של שרון עצמו. אני בטיוטה כעת ברמת סקירה.</w:t>
      </w:r>
    </w:p>
    <w:p>
      <w:pPr>
        <w:pStyle w:val="BodyText"/>
      </w:pPr>
      <w:r>
        <w:t xml:space="preserve">The institutional consequences of the Mitla engagement, in the post-campaign institutional reckoning the IDF General Staff conducted across November and December 1956 and through the closing months of the Sinai withdrawal of March 1957, were the institutional consequences of an operational failure that compelled the institutional reconsideration of the doctrinal framework the engagement had been conducted under. The institutional conclusions the General Staff drew, in the institutional documentation of the post-campaign analysis, were specific. The paratrooper force, in the institutional configuration the Maklef 1953 doctrine had constructed, was not — on the operational evidence of the Mitla engagement — institutionally adequate to perform the strategic-depth special-operations function the Maklef framework had assigned to it. The unit was institutionally too large, operationally too conventional in its training and doctrinal practice, and institutionally too vulnerable to the operational and command pressures of a wartime deployment to perform the operational function that a small permanent dedicated SOF formation could perform on the institutional model the British Special Air Service of the Second World War period had institutionalized. The institutional conclusion the General Staff drew — in the institutional documentation of the closing months of 1956 and the early months of 1957 — was that the IDF required, as a complement rather than as a replacement to the paratrooper force, a small permanent dedicated SOF formation oriented toward the strategic-depth operations the paratrooper force could not effectively conduct. The institutional vehicle the General Staff authorized for the constitution of the new formation, in the institutional discussions of the spring and summer of 1957, was the Aman directorate’s collection branch — the institutional vehicle Avraham Arnan would, in the institutional decision the chief of Aman Yehoshafat Harkabi authorized in the closing months of 1957, exploit to constitute the small permanent dedicated formation that would shortly be designated Sayeret Matkal.</w:t>
      </w:r>
      <w:r>
        <w:rPr>
          <w:rStyle w:val="EndnoteReference"/>
        </w:rPr>
        <w:endnoteReference w:id="95"/>
      </w:r>
    </w:p>
    <w:p>
      <w:pPr>
        <w:pStyle w:val="BodyText"/>
      </w:pPr>
      <w:r>
        <w:t xml:space="preserve">The chapter closes, then, on the institutional opening the Sinai Campaign’s operational reckoning produced. The doctrinal vacuum that Ben-Gurion’s seventh-of-November order had created in 1948 had persisted, through the institutional and operational history this chapter has reconstructed, across the nine years that separated the Palmach’s dismantling from the post-Sinai institutional reckoning of 1957. The institutional vehicles the IDF had constituted in the interim — the Frontier Corps of September 1949, Dayan’s Unit 30 of August 1951, Sharon’s Unit 101 of August 1953 and its successor formation in the 890th Paratroopers Battalion from January 1954, Yarkoni’s Sayeret Shaked of May 1955, Sayeret 5173 of the summer of 1956 — had each, in their distinctive institutional ways, performed institutional functions the doctrinal vacuum had created the operational requirement for. None of them had constituted the institutional vehicle the Sadeh 1950 Maarachot essays had proposed and that the institutional history of the British SAS the Palmach’s wartime training had absorbed had institutionalized as the institutional pattern for dedicated SOF. The institutional vehicle the post-Sinai institutional reckoning would authorize — the institutional vehicle Arnan would, in the spring and summer of 1957, exploit the institutional opening the Mitla Pass operational failure had produced to constitute — would be that institutional vehicle. The institutional history of its founding, of its institutional and operational development across the late 1950s and the 1960s, and of the institutional and personnel paths through which the doctrinal package the Palmach’s wartime training had absorbed would, by the institutional initiative of a small number of dispersed Palmach veterans and Aman officers who had been carrying the doctrinal package in their individual operational memories, be reconstituted at the institutional level the Israeli state’s military had not, in the nine years since the November 1948 dismantling, succeeded in constituting — is the subject of the chapter that follows.</w:t>
      </w:r>
      <w:r>
        <w:rPr>
          <w:rStyle w:val="EndnoteReference"/>
        </w:rPr>
        <w:endnoteReference w:id="96"/>
      </w:r>
    </w:p>
    <w:p>
      <w:pPr>
        <w:pStyle w:val="BodyText"/>
      </w:pPr>
      <w:r>
        <w:t xml:space="preserve">❓ שאלה לעמי: הסגירה של הפרק (פסקה אחרונה ~330 מילים) היא אנליטית-סינתטית, ומקדימה את פרק 5 באופן ישיר. השאלה: האם אתה רוצה שאני אסגור בסצנה (כמו שעשיתי בפרק 2 — אלון ודיין בגבת ברנר; וכמו שהצעת בפרק 3 — מיין בקלפי באולסטר אוקטובר 1945), או שעדיף סגירה אנליטית כפי שזה כרגע? אם סצנה — אני מציע שתי אפשרויות: (א) ארנן בקפה בבית הכרם בירושלים בקיץ 1957, מנסח את הצעתו לאמ”ן (פתיחה לפרק 5); (ב) שרון על כיסא במשרד פיקוד המרכז באחד מהימים הראשונים של מרץ 1957, אחרי הנסיגה מסיני, קורא את הדוח הפנימי על קרב המיתלה.</w:t>
      </w:r>
    </w:p>
    <w:p>
      <w:pPr>
        <w:pStyle w:val="BodyText"/>
      </w:pPr>
      <w:r>
        <w:t xml:space="preserve">The chapter as a whole now stands at approximately 19,500 body words plus notes — comparable in scale to Chapter 2 (~21,200) and Chapter 3 (~21,000). Once Ami’s questions on all three tranches are answered, the chapter will be consolidated into the canonical Chapter_04_The_Marginalization.md file and exported with Chapter 3 to Scrivener-compatible DOCX.</w:t>
      </w:r>
    </w:p>
    <w:bookmarkEnd w:id="97"/>
    <w:bookmarkStart w:id="98" w:name="notes"/>
    <w:p>
      <w:pPr>
        <w:pStyle w:val="Heading2"/>
      </w:pPr>
      <w:r>
        <w:t xml:space="preserve">Notes</w:t>
      </w:r>
    </w:p>
    <w:bookmarkEnd w:id="98"/>
    <w:bookmarkEnd w:id="99"/>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Mike Eldar, Flotilla 13: The Story of Israel’s Naval Commandos [in Hebrew] (Tel Aviv: Maʻariv Book Guild, 1993), 168–69. See chapter 3, §3.7. Eldar, Flotilla 13, 59, 64.</w:t>
      </w:r>
    </w:p>
  </w:endnote>
  <w:endnote w:id="21">
    <w:p>
      <w:pPr>
        <w:pStyle w:val="EndnoteText"/>
      </w:pPr>
      <w:r>
        <w:rPr>
          <w:rStyle w:val="EndnoteReference"/>
        </w:rPr>
        <w:endnoteRef/>
      </w:r>
      <w:r>
        <w:t xml:space="preserve"> </w:t>
      </w:r>
      <w:r>
        <w:t xml:space="preserve">Eldar, Flotilla 13, 168–82; the citation file in the IDF Archives, Bin-Nun personnel record; Eldar, Flotilla 13, 165; Benny Morris, 1948: A History of the First Arab-Israeli War (New Haven: Yale University Press, 2008), chap. 8.</w:t>
      </w:r>
    </w:p>
  </w:endnote>
  <w:endnote w:id="22">
    <w:p>
      <w:pPr>
        <w:pStyle w:val="EndnoteText"/>
      </w:pPr>
      <w:r>
        <w:rPr>
          <w:rStyle w:val="EndnoteReference"/>
        </w:rPr>
        <w:endnoteRef/>
      </w:r>
      <w:r>
        <w:t xml:space="preserve"> </w:t>
      </w:r>
      <w:r>
        <w:t xml:space="preserve">Eldar, Flotilla 13, 197.</w:t>
      </w:r>
    </w:p>
  </w:endnote>
  <w:endnote w:id="23">
    <w:p>
      <w:pPr>
        <w:pStyle w:val="EndnoteText"/>
      </w:pPr>
      <w:r>
        <w:rPr>
          <w:rStyle w:val="EndnoteReference"/>
        </w:rPr>
        <w:endnoteRef/>
      </w:r>
      <w:r>
        <w:t xml:space="preserve"> </w:t>
      </w:r>
      <w:r>
        <w:t xml:space="preserve">Anita Shapira, Yigal Allon, Native Son: A Biography, trans. Evelyn Abel (Philadelphia: University of Pennsylvania Press, 2008), chaps. 13–15; Anita Shapira, The Army Controversy, 1948 [in Hebrew] (Tel Aviv: Ha-Kibutz Ha-meuhad, 1984); Avner Yaniv, Politics and Strategy in Israel [in Hebrew] (Tel Aviv: Sifriyat Poalim, 1994), 40–41.</w:t>
      </w:r>
    </w:p>
  </w:endnote>
  <w:endnote w:id="24">
    <w:p>
      <w:pPr>
        <w:pStyle w:val="EndnoteText"/>
      </w:pPr>
      <w:r>
        <w:rPr>
          <w:rStyle w:val="EndnoteReference"/>
        </w:rPr>
        <w:endnoteRef/>
      </w:r>
      <w:r>
        <w:t xml:space="preserve"> </w:t>
      </w:r>
      <w:r>
        <w:t xml:space="preserve">Yaakov Markovitzki, Palmach’s Special Ground Units [in Hebrew] (Tel-Aviv: Ministry of Defense, 1989), 7–10. See chapter 5, §§5.1–5.3.</w:t>
      </w:r>
    </w:p>
  </w:endnote>
  <w:endnote w:id="26">
    <w:p>
      <w:pPr>
        <w:pStyle w:val="EndnoteText"/>
      </w:pPr>
      <w:r>
        <w:rPr>
          <w:rStyle w:val="EndnoteReference"/>
        </w:rPr>
        <w:endnoteRef/>
      </w:r>
      <w:r>
        <w:t xml:space="preserve"> </w:t>
      </w:r>
      <w:r>
        <w:t xml:space="preserve">IDF Archives, file 1948/Palmach Dissolution; Shapira, Yigal Allon, Native Son, 405–10; Shapira, Army Controversy; Yoav Gelber, Why Was the Palmach Disbanded? – The Jewish Military Force in the Transition from a Yishuv to a State 1947–1949 [in Hebrew] (Tel-Aviv: Schocken, 1986); Meir Pa’il, Palmach: The Standing Army of the Haganah [in Hebrew] (Tel-Aviv: Ministry of Defense, 1995).</w:t>
      </w:r>
    </w:p>
  </w:endnote>
  <w:endnote w:id="27">
    <w:p>
      <w:pPr>
        <w:pStyle w:val="EndnoteText"/>
      </w:pPr>
      <w:r>
        <w:rPr>
          <w:rStyle w:val="EndnoteReference"/>
        </w:rPr>
        <w:endnoteRef/>
      </w:r>
      <w:r>
        <w:t xml:space="preserve"> </w:t>
      </w:r>
      <w:r>
        <w:t xml:space="preserve">Shapira, Yigal Allon, Native Son; Zvika Dror, The Life and Times of Yitzhak Sadeh [in Hebrew] (Tel-Aviv: Hakibbutz Hameuchad, 1996); Anita Shapira, Berl: The Biography of a Socialist Zionist, trans. Haya Galai (Cambridge: Cambridge University Press, 1984); Tom Segev, 1949: The First Israelis [in Hebrew] (Jerusalem: Domino, 1984).</w:t>
      </w:r>
    </w:p>
  </w:endnote>
  <w:endnote w:id="28">
    <w:p>
      <w:pPr>
        <w:pStyle w:val="EndnoteText"/>
      </w:pPr>
      <w:r>
        <w:rPr>
          <w:rStyle w:val="EndnoteReference"/>
        </w:rPr>
        <w:endnoteRef/>
      </w:r>
      <w:r>
        <w:t xml:space="preserve"> </w:t>
      </w:r>
      <w:r>
        <w:t xml:space="preserve">Uri Ben-Eliezer, The Emergence of Israeli Militarism [in Hebrew] (Tel-Aviv: Dvir, 1995), 247–51 (English: The Making of Israeli Militarism [Bloomington: Indiana University Press, 1998]); Dov Tamari, The Armed Nation: The Rise and Decline of the Israeli Reserve System [in Hebrew] (Moshav Ben-Shemen, Tel Aviv: Modan/Maarachot, 2012), 112; Gelber, Why Was the Palmach Disbanded?</w:t>
      </w:r>
    </w:p>
  </w:endnote>
  <w:endnote w:id="29">
    <w:p>
      <w:pPr>
        <w:pStyle w:val="EndnoteText"/>
      </w:pPr>
      <w:r>
        <w:rPr>
          <w:rStyle w:val="EndnoteReference"/>
        </w:rPr>
        <w:endnoteRef/>
      </w:r>
      <w:r>
        <w:t xml:space="preserve"> </w:t>
      </w:r>
      <w:r>
        <w:t xml:space="preserve">Mordechai Bar-On, In New Uniforms: The Development of the Israel Defense Forces After the End of Israel’s War of Independence 1949–1953 [in Hebrew] (Jerusalem: Yad Ben Zvi, 2017); Shapira, Yigal Allon, Native Son; Pa’il, Palmach; Markovitzki, Palmach’s Special Ground Units.</w:t>
      </w:r>
    </w:p>
  </w:endnote>
  <w:endnote w:id="30">
    <w:p>
      <w:pPr>
        <w:pStyle w:val="EndnoteText"/>
      </w:pPr>
      <w:r>
        <w:rPr>
          <w:rStyle w:val="EndnoteReference"/>
        </w:rPr>
        <w:endnoteRef/>
      </w:r>
      <w:r>
        <w:t xml:space="preserve"> </w:t>
      </w:r>
      <w:r>
        <w:t xml:space="preserve">Markovitzki, Palmach’s Special Ground Units, 7–8.</w:t>
      </w:r>
    </w:p>
  </w:endnote>
  <w:endnote w:id="31">
    <w:p>
      <w:pPr>
        <w:pStyle w:val="EndnoteText"/>
      </w:pPr>
      <w:r>
        <w:rPr>
          <w:rStyle w:val="EndnoteReference"/>
        </w:rPr>
        <w:endnoteRef/>
      </w:r>
      <w:r>
        <w:t xml:space="preserve"> </w:t>
      </w:r>
      <w:r>
        <w:t xml:space="preserve">See chapter 5, §§5.1–5.3; §§4.4–4.7.</w:t>
      </w:r>
    </w:p>
  </w:endnote>
  <w:endnote w:id="33">
    <w:p>
      <w:pPr>
        <w:pStyle w:val="EndnoteText"/>
      </w:pPr>
      <w:r>
        <w:rPr>
          <w:rStyle w:val="EndnoteReference"/>
        </w:rPr>
        <w:endnoteRef/>
      </w:r>
      <w:r>
        <w:t xml:space="preserve"> </w:t>
      </w:r>
      <w:r>
        <w:t xml:space="preserve">Avner Yaniv, Politics and Strategy in Israel [in Hebrew] (Tel Aviv: Sifriyat Poalim, 1994), 40–41; Zeev Maoz, Defending the Holy Land: A Critical Analysis of Israel’s Security &amp; Foreign Policy (Ann Arbor: University of Michigan Press, 2009); Israel Tal, National Security: The Israeli Experience (Westport, CT: Praeger, 2000).</w:t>
      </w:r>
    </w:p>
  </w:endnote>
  <w:endnote w:id="34">
    <w:p>
      <w:pPr>
        <w:pStyle w:val="EndnoteText"/>
      </w:pPr>
      <w:r>
        <w:rPr>
          <w:rStyle w:val="EndnoteReference"/>
        </w:rPr>
        <w:endnoteRef/>
      </w:r>
      <w:r>
        <w:t xml:space="preserve"> </w:t>
      </w:r>
      <w:r>
        <w:t xml:space="preserve">Guy Aviad, Major General Yigael Yadin IDF Second Chief of Staff (IDF: Department of Military Tactics, 2017); Neil Asher Silberman, A Prophet from Amongst You: The Life of Yigael Yadin (Reading, MA: Addison-Wesley, 1993); Dov Tamari, The Armed Nation, chaps. 4–6; Tom Segev, 1949: The First Israelis.</w:t>
      </w:r>
    </w:p>
  </w:endnote>
  <w:endnote w:id="35">
    <w:p>
      <w:pPr>
        <w:pStyle w:val="EndnoteText"/>
      </w:pPr>
      <w:r>
        <w:rPr>
          <w:rStyle w:val="EndnoteReference"/>
        </w:rPr>
        <w:endnoteRef/>
      </w:r>
      <w:r>
        <w:t xml:space="preserve"> </w:t>
      </w:r>
      <w:r>
        <w:t xml:space="preserve">Noam Tibon,</w:t>
      </w:r>
      <w:r>
        <w:t xml:space="preserve"> </w:t>
      </w:r>
      <w:r>
        <w:t xml:space="preserve">“</w:t>
      </w:r>
      <w:r>
        <w:t xml:space="preserve">1953 — The Year in Which the IDF Was Shaped,</w:t>
      </w:r>
      <w:r>
        <w:t xml:space="preserve">”</w:t>
      </w:r>
      <w:r>
        <w:t xml:space="preserve"> </w:t>
      </w:r>
      <w:r>
        <w:t xml:space="preserve">Maarachot 438 (2011): 21; Aviad, Major General Yigael Yadin; Yoram Peri, Between Battles and Ballots: Israeli Military in Politics (Cambridge: Cambridge University Press, 1983), 63.</w:t>
      </w:r>
    </w:p>
  </w:endnote>
  <w:endnote w:id="36">
    <w:p>
      <w:pPr>
        <w:pStyle w:val="EndnoteText"/>
      </w:pPr>
      <w:r>
        <w:rPr>
          <w:rStyle w:val="EndnoteReference"/>
        </w:rPr>
        <w:endnoteRef/>
      </w:r>
      <w:r>
        <w:t xml:space="preserve"> </w:t>
      </w:r>
      <w:r>
        <w:t xml:space="preserve">Amiram Oren,</w:t>
      </w:r>
      <w:r>
        <w:t xml:space="preserve"> </w:t>
      </w:r>
      <w:r>
        <w:t xml:space="preserve">“</w:t>
      </w:r>
      <w:r>
        <w:t xml:space="preserve">The Order of Battle — An Assessment, 1953–1960 Document Towards the Enhancement of Israel’s Defense Policy in the 1950s,</w:t>
      </w:r>
      <w:r>
        <w:t xml:space="preserve">”</w:t>
      </w:r>
      <w:r>
        <w:t xml:space="preserve"> </w:t>
      </w:r>
      <w:r>
        <w:t xml:space="preserve">Iyunim 12 (2002): 123–46; Tibon,</w:t>
      </w:r>
      <w:r>
        <w:t xml:space="preserve"> </w:t>
      </w:r>
      <w:r>
        <w:t xml:space="preserve">“</w:t>
      </w:r>
      <w:r>
        <w:t xml:space="preserve">1953 — The Year in Which the IDF Was Shaped,</w:t>
      </w:r>
      <w:r>
        <w:t xml:space="preserve">”</w:t>
      </w:r>
      <w:r>
        <w:t xml:space="preserve"> </w:t>
      </w:r>
      <w:r>
        <w:t xml:space="preserve">Maarachot 438 (2011): 18–27; Oren, esp. 125–32; Tibon, esp. 21.</w:t>
      </w:r>
    </w:p>
  </w:endnote>
  <w:endnote w:id="37">
    <w:p>
      <w:pPr>
        <w:pStyle w:val="EndnoteText"/>
      </w:pPr>
      <w:r>
        <w:rPr>
          <w:rStyle w:val="EndnoteReference"/>
        </w:rPr>
        <w:endnoteRef/>
      </w:r>
      <w:r>
        <w:t xml:space="preserve"> </w:t>
      </w:r>
      <w:r>
        <w:t xml:space="preserve">Oren,</w:t>
      </w:r>
      <w:r>
        <w:t xml:space="preserve"> </w:t>
      </w:r>
      <w:r>
        <w:t xml:space="preserve">“</w:t>
      </w:r>
      <w:r>
        <w:t xml:space="preserve">Order of Battle Assessment</w:t>
      </w:r>
      <w:r>
        <w:t xml:space="preserve">”</w:t>
      </w:r>
      <w:r>
        <w:t xml:space="preserve">; Tibon,</w:t>
      </w:r>
      <w:r>
        <w:t xml:space="preserve"> </w:t>
      </w:r>
      <w:r>
        <w:t xml:space="preserve">“</w:t>
      </w:r>
      <w:r>
        <w:t xml:space="preserve">1953</w:t>
      </w:r>
      <w:r>
        <w:t xml:space="preserve">”</w:t>
      </w:r>
      <w:r>
        <w:t xml:space="preserve">; Mordechai Bar-On, Moshe Dayan: A Biography 1915–1981 [in Hebrew] (Tel-Aviv: Am Oved, 2014), 130; Moshe Dayan, Story of My Life (London: Weidenfeld and Nicolson, 1976), 130.</w:t>
      </w:r>
    </w:p>
  </w:endnote>
  <w:endnote w:id="38">
    <w:p>
      <w:pPr>
        <w:pStyle w:val="EndnoteText"/>
      </w:pPr>
      <w:r>
        <w:rPr>
          <w:rStyle w:val="EndnoteReference"/>
        </w:rPr>
        <w:endnoteRef/>
      </w:r>
      <w:r>
        <w:t xml:space="preserve"> </w:t>
      </w:r>
      <w:r>
        <w:t xml:space="preserve">See chapter 3, §§3.5 and 3.8; §§4.4–4.7.</w:t>
      </w:r>
    </w:p>
  </w:endnote>
  <w:endnote w:id="39">
    <w:p>
      <w:pPr>
        <w:pStyle w:val="EndnoteText"/>
      </w:pPr>
      <w:r>
        <w:rPr>
          <w:rStyle w:val="EndnoteReference"/>
        </w:rPr>
        <w:endnoteRef/>
      </w:r>
      <w:r>
        <w:t xml:space="preserve"> </w:t>
      </w:r>
      <w:r>
        <w:t xml:space="preserve">Gil-Li Vardi,</w:t>
      </w:r>
      <w:r>
        <w:t xml:space="preserve"> </w:t>
      </w:r>
      <w:r>
        <w:t xml:space="preserve">“</w:t>
      </w:r>
      <w:r>
        <w:t xml:space="preserve">‘</w:t>
      </w:r>
      <w:r>
        <w:t xml:space="preserve">Pounding Their Feet</w:t>
      </w:r>
      <w:r>
        <w:t xml:space="preserve">’</w:t>
      </w:r>
      <w:r>
        <w:t xml:space="preserve">: Israeli Military Culture as Reflected in Early IDF Combat History,</w:t>
      </w:r>
      <w:r>
        <w:t xml:space="preserve">”</w:t>
      </w:r>
      <w:r>
        <w:t xml:space="preserve"> </w:t>
      </w:r>
      <w:r>
        <w:t xml:space="preserve">Journal of Strategic Studies 31, no. 2 (2008): 295–324; Maoz, Defending the Holy Land, chaps. 5–7.</w:t>
      </w:r>
    </w:p>
  </w:endnote>
  <w:endnote w:id="40">
    <w:p>
      <w:pPr>
        <w:pStyle w:val="EndnoteText"/>
      </w:pPr>
      <w:r>
        <w:rPr>
          <w:rStyle w:val="EndnoteReference"/>
        </w:rPr>
        <w:endnoteRef/>
      </w:r>
      <w:r>
        <w:t xml:space="preserve"> </w:t>
      </w:r>
      <w:r>
        <w:t xml:space="preserve">Yosef Argaman, The Border: The History of the Border Guard [in Hebrew] (Tel Aviv: Ministry of Defense, 1996); Uri Milstein, Unit 101: The War of Independence and the Reprisal Operations, vol. 1 of The History of the Israeli Paratroopers — From the War of Independence to the Lebanon War [in Hebrew] (Tel-Aviv: Shalgi, 1985). See §4.5.</w:t>
      </w:r>
    </w:p>
  </w:endnote>
  <w:endnote w:id="41">
    <w:p>
      <w:pPr>
        <w:pStyle w:val="EndnoteText"/>
      </w:pPr>
      <w:r>
        <w:rPr>
          <w:rStyle w:val="EndnoteReference"/>
        </w:rPr>
        <w:endnoteRef/>
      </w:r>
      <w:r>
        <w:t xml:space="preserve"> </w:t>
      </w:r>
      <w:r>
        <w:t xml:space="preserve">See §§4.4–4.6.</w:t>
      </w:r>
    </w:p>
  </w:endnote>
  <w:endnote w:id="42">
    <w:p>
      <w:pPr>
        <w:pStyle w:val="EndnoteText"/>
      </w:pPr>
      <w:r>
        <w:rPr>
          <w:rStyle w:val="EndnoteReference"/>
        </w:rPr>
        <w:endnoteRef/>
      </w:r>
      <w:r>
        <w:t xml:space="preserve"> </w:t>
      </w:r>
      <w:r>
        <w:t xml:space="preserve">See §§4.4–4.6.</w:t>
      </w:r>
    </w:p>
  </w:endnote>
  <w:endnote w:id="44">
    <w:p>
      <w:pPr>
        <w:pStyle w:val="EndnoteText"/>
      </w:pPr>
      <w:r>
        <w:rPr>
          <w:rStyle w:val="EndnoteReference"/>
        </w:rPr>
        <w:endnoteRef/>
      </w:r>
      <w:r>
        <w:t xml:space="preserve"> </w:t>
      </w:r>
      <w:r>
        <w:t xml:space="preserve">Zvika Dror, The Life and Times of Yitzhak Sadeh [in Hebrew] (Tel-Aviv: Hakibbutz Hameuchad, 1996); Martin Van Creveld, Moshe Dayan (London: Weidenfeld &amp; Nicolson, 2004); Avi Kober,</w:t>
      </w:r>
      <w:r>
        <w:t xml:space="preserve"> </w:t>
      </w:r>
      <w:r>
        <w:t xml:space="preserve">“</w:t>
      </w:r>
      <w:r>
        <w:t xml:space="preserve">The Intellectual and Modern Focus in Israeli Military Thinking as Reflected in Ma’arachot Articles, 1948–2000,</w:t>
      </w:r>
      <w:r>
        <w:t xml:space="preserve">”</w:t>
      </w:r>
      <w:r>
        <w:t xml:space="preserve"> </w:t>
      </w:r>
      <w:r>
        <w:t xml:space="preserve">Armed Forces &amp; Society 30, no. 1 (2003): 141–60.</w:t>
      </w:r>
    </w:p>
  </w:endnote>
  <w:endnote w:id="45">
    <w:p>
      <w:pPr>
        <w:pStyle w:val="EndnoteText"/>
      </w:pPr>
      <w:r>
        <w:rPr>
          <w:rStyle w:val="EndnoteReference"/>
        </w:rPr>
        <w:endnoteRef/>
      </w:r>
      <w:r>
        <w:t xml:space="preserve"> </w:t>
      </w:r>
      <w:r>
        <w:t xml:space="preserve">Yitzhak Sadeh,</w:t>
      </w:r>
      <w:r>
        <w:t xml:space="preserve"> </w:t>
      </w:r>
      <w:r>
        <w:t xml:space="preserve">“</w:t>
      </w:r>
      <w:r>
        <w:t xml:space="preserve">Small Scale Warfare and Its Transformation: What Is It?</w:t>
      </w:r>
      <w:r>
        <w:t xml:space="preserve">”</w:t>
      </w:r>
      <w:r>
        <w:t xml:space="preserve"> </w:t>
      </w:r>
      <w:r>
        <w:t xml:space="preserve">[in Hebrew], Maarachot 61 (1950); Kober,</w:t>
      </w:r>
      <w:r>
        <w:t xml:space="preserve"> </w:t>
      </w:r>
      <w:r>
        <w:t xml:space="preserve">“</w:t>
      </w:r>
      <w:r>
        <w:t xml:space="preserve">Intellectual and Modern Focus</w:t>
      </w:r>
      <w:r>
        <w:t xml:space="preserve">”</w:t>
      </w:r>
      <w:r>
        <w:t xml:space="preserve">; Dror, Life and Times of Yitzhak Sadeh; T. E. Lawrence, Seven Pillars of Wisdom: A Triumph (London: Jonathan Cape, 1935), chaps. 33 and following.</w:t>
      </w:r>
    </w:p>
  </w:endnote>
  <w:endnote w:id="46">
    <w:p>
      <w:pPr>
        <w:pStyle w:val="EndnoteText"/>
      </w:pPr>
      <w:r>
        <w:rPr>
          <w:rStyle w:val="EndnoteReference"/>
        </w:rPr>
        <w:endnoteRef/>
      </w:r>
      <w:r>
        <w:t xml:space="preserve"> </w:t>
      </w:r>
      <w:r>
        <w:t xml:space="preserve">Yitzhak Sadeh,</w:t>
      </w:r>
      <w:r>
        <w:t xml:space="preserve"> </w:t>
      </w:r>
      <w:r>
        <w:t xml:space="preserve">“</w:t>
      </w:r>
      <w:r>
        <w:t xml:space="preserve">Popski’s Private Army</w:t>
      </w:r>
      <w:r>
        <w:t xml:space="preserve">”</w:t>
      </w:r>
      <w:r>
        <w:t xml:space="preserve"> </w:t>
      </w:r>
      <w:r>
        <w:t xml:space="preserve">[in Hebrew], Maarachot 64 (1950): 50–55; Vladimir Peniakoff, Private Army (London: Jonathan Cape, 1950). See chapter 3, §§3.4–3.5.</w:t>
      </w:r>
    </w:p>
  </w:endnote>
  <w:endnote w:id="47">
    <w:p>
      <w:pPr>
        <w:pStyle w:val="EndnoteText"/>
      </w:pPr>
      <w:r>
        <w:rPr>
          <w:rStyle w:val="EndnoteReference"/>
        </w:rPr>
        <w:endnoteRef/>
      </w:r>
      <w:r>
        <w:t xml:space="preserve"> </w:t>
      </w:r>
      <w:r>
        <w:t xml:space="preserve">Moshe Dayan,</w:t>
      </w:r>
      <w:r>
        <w:t xml:space="preserve"> </w:t>
      </w:r>
      <w:r>
        <w:t xml:space="preserve">“</w:t>
      </w:r>
      <w:r>
        <w:t xml:space="preserve">The Commando Battalion Raids Lod</w:t>
      </w:r>
      <w:r>
        <w:t xml:space="preserve">”</w:t>
      </w:r>
      <w:r>
        <w:t xml:space="preserve"> </w:t>
      </w:r>
      <w:r>
        <w:t xml:space="preserve">[in Hebrew], Maarachot 62–63 (1950): 34–40; Michael Bar-Zohar, Ben-Gurion, 3 vols. (Tel Aviv: Am Oved, 1975), vol. 2, 816; Ari Shavit, My Promised Land: The Triumph and Tragedy of Israel (New York: Random House, 2013), 99–134; Benny Morris,</w:t>
      </w:r>
      <w:r>
        <w:t xml:space="preserve"> </w:t>
      </w:r>
      <w:r>
        <w:t xml:space="preserve">“</w:t>
      </w:r>
      <w:r>
        <w:t xml:space="preserve">Operation Dani and the Palestinian Exodus from Lydda and Ramle in 1948,</w:t>
      </w:r>
      <w:r>
        <w:t xml:space="preserve">”</w:t>
      </w:r>
      <w:r>
        <w:t xml:space="preserve"> </w:t>
      </w:r>
      <w:r>
        <w:t xml:space="preserve">Middle East Journal 40, no. 1 (1986): 82–109; Martin Kramer,</w:t>
      </w:r>
      <w:r>
        <w:t xml:space="preserve"> </w:t>
      </w:r>
      <w:r>
        <w:t xml:space="preserve">“</w:t>
      </w:r>
      <w:r>
        <w:t xml:space="preserve">What Happened at Lydda,</w:t>
      </w:r>
      <w:r>
        <w:t xml:space="preserve">”</w:t>
      </w:r>
      <w:r>
        <w:t xml:space="preserve"> </w:t>
      </w:r>
      <w:r>
        <w:t xml:space="preserve">Mosaic Magazine, 1 July 2014.</w:t>
      </w:r>
    </w:p>
  </w:endnote>
  <w:endnote w:id="48">
    <w:p>
      <w:pPr>
        <w:pStyle w:val="EndnoteText"/>
      </w:pPr>
      <w:r>
        <w:rPr>
          <w:rStyle w:val="EndnoteReference"/>
        </w:rPr>
        <w:endnoteRef/>
      </w:r>
      <w:r>
        <w:t xml:space="preserve"> </w:t>
      </w:r>
      <w:r>
        <w:t xml:space="preserve">See notes 23 and 25; §§4.5–4.7.</w:t>
      </w:r>
    </w:p>
  </w:endnote>
  <w:endnote w:id="49">
    <w:p>
      <w:pPr>
        <w:pStyle w:val="EndnoteText"/>
      </w:pPr>
      <w:r>
        <w:rPr>
          <w:rStyle w:val="EndnoteReference"/>
        </w:rPr>
        <w:endnoteRef/>
      </w:r>
      <w:r>
        <w:t xml:space="preserve"> </w:t>
      </w:r>
      <w:r>
        <w:t xml:space="preserve">Guy Aviad, Major General Yigael Yadin IDF Second Chief of Staff (IDF: Department of Military Tactics, 2017); Neil Asher Silberman, A Prophet from Amongst You: The Life of Yigael Yadin (Reading, MA: Addison-Wesley, 1993); Dov Tamari, The Armed Nation: The Rise and Decline of the Israeli Reserve System [in Hebrew] (Moshav Ben-Shemen: Modan/Maarachot, 2012), chaps. 4–6.</w:t>
      </w:r>
    </w:p>
  </w:endnote>
  <w:endnote w:id="50">
    <w:p>
      <w:pPr>
        <w:pStyle w:val="EndnoteText"/>
      </w:pPr>
      <w:r>
        <w:rPr>
          <w:rStyle w:val="EndnoteReference"/>
        </w:rPr>
        <w:endnoteRef/>
      </w:r>
      <w:r>
        <w:t xml:space="preserve"> </w:t>
      </w:r>
      <w:r>
        <w:t xml:space="preserve">Mike Eldar, Flotilla 13: The Story of Israel’s Naval Commandos [in Hebrew] (Tel Aviv: Ma’ariv Book Guild, 1993), 168–82; Zeʼev Almog, Flotilla 13: Israeli Naval Commandos in the Red Sea, 1967–1973 (Annapolis: Naval Institute Press, 2010), chap. 1.</w:t>
      </w:r>
    </w:p>
  </w:endnote>
  <w:endnote w:id="51">
    <w:p>
      <w:pPr>
        <w:pStyle w:val="EndnoteText"/>
      </w:pPr>
      <w:r>
        <w:rPr>
          <w:rStyle w:val="EndnoteReference"/>
        </w:rPr>
        <w:endnoteRef/>
      </w:r>
      <w:r>
        <w:t xml:space="preserve"> </w:t>
      </w:r>
      <w:r>
        <w:t xml:space="preserve">Eldar, Flotilla 13, 197–215; Yaakov Vardi, personal interview with the author, 2014; Marc’Antonio Bragadin, The Italian Navy in World War II (Annapolis: Naval Institute Press, 1957); Jack Greene and Alessandro Massignani, The Black Prince and the Sea Devils: The Story of Valerio Borghese and the Elite Units of the Decima MAS (Cambridge, MA: Da Capo Press, 2004).</w:t>
      </w:r>
    </w:p>
  </w:endnote>
  <w:endnote w:id="52">
    <w:p>
      <w:pPr>
        <w:pStyle w:val="EndnoteText"/>
      </w:pPr>
      <w:r>
        <w:rPr>
          <w:rStyle w:val="EndnoteReference"/>
        </w:rPr>
        <w:endnoteRef/>
      </w:r>
      <w:r>
        <w:t xml:space="preserve"> </w:t>
      </w:r>
      <w:r>
        <w:t xml:space="preserve">Anita Shapira, The Army Controversy, 1948 [in Hebrew] (Tel Aviv: Ha-Kibutz Ha-meuhad, 1984), 21–35; Anita Shapira, Yigal Allon, Native Son: A Biography, trans. Evelyn Abel (Philadelphia: University of Pennsylvania Press, 2008), chaps. 15–17; Uri Ben-Eliezer, The Emergence of Israeli Militarism [in Hebrew] (Tel-Aviv: Dvir, 1995), 247–51.</w:t>
      </w:r>
    </w:p>
  </w:endnote>
  <w:endnote w:id="53">
    <w:p>
      <w:pPr>
        <w:pStyle w:val="EndnoteText"/>
      </w:pPr>
      <w:r>
        <w:rPr>
          <w:rStyle w:val="EndnoteReference"/>
        </w:rPr>
        <w:endnoteRef/>
      </w:r>
      <w:r>
        <w:t xml:space="preserve"> </w:t>
      </w:r>
      <w:r>
        <w:t xml:space="preserve">Eldar, Flotilla 13, 197–98; Almog, Flotilla 13 in the Red Sea, chap. 1.</w:t>
      </w:r>
    </w:p>
  </w:endnote>
  <w:endnote w:id="54">
    <w:p>
      <w:pPr>
        <w:pStyle w:val="EndnoteText"/>
      </w:pPr>
      <w:r>
        <w:rPr>
          <w:rStyle w:val="EndnoteReference"/>
        </w:rPr>
        <w:endnoteRef/>
      </w:r>
      <w:r>
        <w:t xml:space="preserve"> </w:t>
      </w:r>
      <w:r>
        <w:t xml:space="preserve">See chapter 6, §§6.3–6.5. Almog, Flotilla 13 in the Red Sea, chaps. 2–4; Eldar, Flotilla 13, chaps. 14–17.</w:t>
      </w:r>
    </w:p>
  </w:endnote>
  <w:endnote w:id="56">
    <w:p>
      <w:pPr>
        <w:pStyle w:val="EndnoteText"/>
      </w:pPr>
      <w:r>
        <w:rPr>
          <w:rStyle w:val="EndnoteReference"/>
        </w:rPr>
        <w:endnoteRef/>
      </w:r>
      <w:r>
        <w:t xml:space="preserve"> </w:t>
      </w:r>
      <w:r>
        <w:t xml:space="preserve">“</w:t>
      </w:r>
      <w:r>
        <w:t xml:space="preserve">Overview of the 1953 Infiltration Problem,</w:t>
      </w:r>
      <w:r>
        <w:t xml:space="preserve">”</w:t>
      </w:r>
      <w:r>
        <w:t xml:space="preserve"> </w:t>
      </w:r>
      <w:r>
        <w:t xml:space="preserve">Israel Police, Organization Division, Special Roles and Minorities Department, Tel-Aviv, 1954, IDF Archives; Shaul Bartal, The Fedayeen Emerge: The Palestine-Israel Conflict, 1949–1956 [in Hebrew] (Jerusalem: Carmel, 2011), 36–37; Benny Morris, Israel’s Border Wars, 1949–1956: Arab Infiltration, Israeli Retaliation, and the Countdown to the Suez War (New York: Oxford University Press, 1993).</w:t>
      </w:r>
    </w:p>
  </w:endnote>
  <w:endnote w:id="57">
    <w:p>
      <w:pPr>
        <w:pStyle w:val="EndnoteText"/>
      </w:pPr>
      <w:r>
        <w:rPr>
          <w:rStyle w:val="EndnoteReference"/>
        </w:rPr>
        <w:endnoteRef/>
      </w:r>
      <w:r>
        <w:t xml:space="preserve"> </w:t>
      </w:r>
      <w:r>
        <w:t xml:space="preserve">Yosef Argaman, The Border: The History of the Border Guard [in Hebrew] (Tel Aviv: Ministry of Defense, 1996); Uri Milstein, Unit 101: The War of Independence and the Reprisal Operations, vol. 1 of The History of the Israeli Paratroopers — From the War of Independence to the Lebanon War [in Hebrew] (Tel-Aviv: Shalgi, 1985), 208; Yoav Gelber, The Emergence of a Jewish Army — The Veterans of the British Army in the IDF [in Hebrew] (Jerusalem: Yad Izhak Ben-Zvi, 1986), 97.</w:t>
      </w:r>
    </w:p>
  </w:endnote>
  <w:endnote w:id="58">
    <w:p>
      <w:pPr>
        <w:pStyle w:val="EndnoteText"/>
      </w:pPr>
      <w:r>
        <w:rPr>
          <w:rStyle w:val="EndnoteReference"/>
        </w:rPr>
        <w:endnoteRef/>
      </w:r>
      <w:r>
        <w:t xml:space="preserve"> </w:t>
      </w:r>
      <w:r>
        <w:t xml:space="preserve">Argaman, The Border; David Tal, Israel’s Day-to-Day Security Conception: Its Origin and Development [in Hebrew] (Beer Sheva: Ben-Gurion University, 1998), 38–39; Moshe Dayan, Story of My Life (London: Weidenfeld and Nicolson, 1976), 129–32.</w:t>
      </w:r>
    </w:p>
  </w:endnote>
  <w:endnote w:id="59">
    <w:p>
      <w:pPr>
        <w:pStyle w:val="EndnoteText"/>
      </w:pPr>
      <w:r>
        <w:rPr>
          <w:rStyle w:val="EndnoteReference"/>
        </w:rPr>
        <w:endnoteRef/>
      </w:r>
      <w:r>
        <w:t xml:space="preserve"> </w:t>
      </w:r>
      <w:r>
        <w:t xml:space="preserve">Dayan, Story of My Life, 99–100; Mordechai Bar-On, Moshe Dayan: A Biography 1915–1981 [in Hebrew] (Tel-Aviv: Am Oved, 2014), 79; Moshe Givati, And Whatever: Meir Har-Zion — His Life and Work [in Hebrew] (Tel Aviv: Kineret, 2019).</w:t>
      </w:r>
    </w:p>
  </w:endnote>
  <w:endnote w:id="60">
    <w:p>
      <w:pPr>
        <w:pStyle w:val="EndnoteText"/>
      </w:pPr>
      <w:r>
        <w:rPr>
          <w:rStyle w:val="EndnoteReference"/>
        </w:rPr>
        <w:endnoteRef/>
      </w:r>
      <w:r>
        <w:t xml:space="preserve"> </w:t>
      </w:r>
      <w:r>
        <w:t xml:space="preserve">Milstein, Unit 101, 196–97; Dayan, Story of My Life, 126. See chapter 3, §3.3.</w:t>
      </w:r>
    </w:p>
  </w:endnote>
  <w:endnote w:id="61">
    <w:p>
      <w:pPr>
        <w:pStyle w:val="EndnoteText"/>
      </w:pPr>
      <w:r>
        <w:rPr>
          <w:rStyle w:val="EndnoteReference"/>
        </w:rPr>
        <w:endnoteRef/>
      </w:r>
      <w:r>
        <w:t xml:space="preserve"> </w:t>
      </w:r>
      <w:r>
        <w:t xml:space="preserve">Milstein, Unit 101, 197–202; Dayan, Story of My Life, 126; Bar-On, Moshe Dayan, 79; Milstein, Unit 101, vol. 1.</w:t>
      </w:r>
    </w:p>
  </w:endnote>
  <w:endnote w:id="62">
    <w:p>
      <w:pPr>
        <w:pStyle w:val="EndnoteText"/>
      </w:pPr>
      <w:r>
        <w:rPr>
          <w:rStyle w:val="EndnoteReference"/>
        </w:rPr>
        <w:endnoteRef/>
      </w:r>
      <w:r>
        <w:t xml:space="preserve"> </w:t>
      </w:r>
      <w:r>
        <w:t xml:space="preserve">Argaman, The Border; Milstein, Unit 101; Eldar, Flotilla 13; Mordechai Bar-On, In New Uniforms: The Development of the Israel Defense Forces After the End of Israel’s War of Independence 1949–1953 [in Hebrew] (Jerusalem: Yad Ben Zvi, 2017).</w:t>
      </w:r>
    </w:p>
  </w:endnote>
  <w:endnote w:id="63">
    <w:p>
      <w:pPr>
        <w:pStyle w:val="EndnoteText"/>
      </w:pPr>
      <w:r>
        <w:rPr>
          <w:rStyle w:val="EndnoteReference"/>
        </w:rPr>
        <w:endnoteRef/>
      </w:r>
      <w:r>
        <w:t xml:space="preserve"> </w:t>
      </w:r>
      <w:r>
        <w:t xml:space="preserve">Milstein, Unit 101, vol. 1. See §4.6.</w:t>
      </w:r>
    </w:p>
  </w:endnote>
  <w:endnote w:id="65">
    <w:p>
      <w:pPr>
        <w:pStyle w:val="EndnoteText"/>
      </w:pPr>
      <w:r>
        <w:rPr>
          <w:rStyle w:val="EndnoteReference"/>
        </w:rPr>
        <w:endnoteRef/>
      </w:r>
      <w:r>
        <w:t xml:space="preserve"> </w:t>
      </w:r>
      <w:r>
        <w:t xml:space="preserve">Milstein, Unit 101, 208–10; Nir Hefez and Gadi Bloom, Ariel Sharon: A Life (New York: Random House, 2006); David Landau, Arik: The Life of Ariel Sharon (2013), 22–23. See note 34. Dayan, Story of My Life; Bar-On, Moshe Dayan.</w:t>
      </w:r>
    </w:p>
  </w:endnote>
  <w:endnote w:id="66">
    <w:p>
      <w:pPr>
        <w:pStyle w:val="EndnoteText"/>
      </w:pPr>
      <w:r>
        <w:rPr>
          <w:rStyle w:val="EndnoteReference"/>
        </w:rPr>
        <w:endnoteRef/>
      </w:r>
      <w:r>
        <w:t xml:space="preserve"> </w:t>
      </w:r>
      <w:r>
        <w:t xml:space="preserve">Milstein, Unit 101, 208–10; Uri Mistein,</w:t>
      </w:r>
      <w:r>
        <w:t xml:space="preserve"> </w:t>
      </w:r>
      <w:r>
        <w:t xml:space="preserve">“</w:t>
      </w:r>
      <w:r>
        <w:t xml:space="preserve">Sharon — The True Story:</w:t>
      </w:r>
      <w:r>
        <w:t xml:space="preserve"> </w:t>
      </w:r>
      <w:r>
        <w:t xml:space="preserve">‘</w:t>
      </w:r>
      <w:r>
        <w:t xml:space="preserve">Kibya Fell with 600 Kg of Explosives, and with It Fell the Legend That an Arab Village Cannot Be Conquered,</w:t>
      </w:r>
      <w:r>
        <w:t xml:space="preserve">’</w:t>
      </w:r>
      <w:r>
        <w:t xml:space="preserve">”</w:t>
      </w:r>
      <w:r>
        <w:t xml:space="preserve"> </w:t>
      </w:r>
      <w:r>
        <w:t xml:space="preserve">Maariv, 6 January 2018; Dayan, Story of My Life, 130; Bar-On, Moshe Dayan, 100.</w:t>
      </w:r>
    </w:p>
  </w:endnote>
  <w:endnote w:id="67">
    <w:p>
      <w:pPr>
        <w:pStyle w:val="EndnoteText"/>
      </w:pPr>
      <w:r>
        <w:rPr>
          <w:rStyle w:val="EndnoteReference"/>
        </w:rPr>
        <w:endnoteRef/>
      </w:r>
      <w:r>
        <w:t xml:space="preserve"> </w:t>
      </w:r>
      <w:r>
        <w:t xml:space="preserve">Milstein, Unit 101, 211–15; Mistein,</w:t>
      </w:r>
      <w:r>
        <w:t xml:space="preserve"> </w:t>
      </w:r>
      <w:r>
        <w:t xml:space="preserve">“</w:t>
      </w:r>
      <w:r>
        <w:t xml:space="preserve">Sharon — The True Story</w:t>
      </w:r>
      <w:r>
        <w:t xml:space="preserve">”</w:t>
      </w:r>
      <w:r>
        <w:t xml:space="preserve">; Hefez and Bloom, Ariel Sharon; Landau, Arik, 22–23.</w:t>
      </w:r>
    </w:p>
  </w:endnote>
  <w:endnote w:id="68">
    <w:p>
      <w:pPr>
        <w:pStyle w:val="EndnoteText"/>
      </w:pPr>
      <w:r>
        <w:rPr>
          <w:rStyle w:val="EndnoteReference"/>
        </w:rPr>
        <w:endnoteRef/>
      </w:r>
      <w:r>
        <w:t xml:space="preserve"> </w:t>
      </w:r>
      <w:r>
        <w:t xml:space="preserve">Milstein, Unit 101, 220–35; Hefez and Bloom. See chapter 3, §3.4. The early publications of the unit’s first-cohort members; personal interview with Yaakov Vardi (2014).</w:t>
      </w:r>
    </w:p>
  </w:endnote>
  <w:endnote w:id="69">
    <w:p>
      <w:pPr>
        <w:pStyle w:val="EndnoteText"/>
      </w:pPr>
      <w:r>
        <w:rPr>
          <w:rStyle w:val="EndnoteReference"/>
        </w:rPr>
        <w:endnoteRef/>
      </w:r>
      <w:r>
        <w:t xml:space="preserve"> </w:t>
      </w:r>
      <w:r>
        <w:t xml:space="preserve">Milstein, Unit 101, chaps. 12–14; Hefez and Bloom, Ariel Sharon; David Landau, Arik; Micha Ben-Ari Kapusta, Not Every Bullet Kills: The Story of a Fighter [in Hebrew] (Or-Yehudah: Kineret/Zemorah-Bitan/Devir, 2006), 25–34; Pa’il, Palmach.</w:t>
      </w:r>
    </w:p>
  </w:endnote>
  <w:endnote w:id="70">
    <w:p>
      <w:pPr>
        <w:pStyle w:val="EndnoteText"/>
      </w:pPr>
      <w:r>
        <w:rPr>
          <w:rStyle w:val="EndnoteReference"/>
        </w:rPr>
        <w:endnoteRef/>
      </w:r>
      <w:r>
        <w:t xml:space="preserve"> </w:t>
      </w:r>
      <w:r>
        <w:t xml:space="preserve">Milstein, The Paratroopers’ Wars [in Hebrew] (Tel-Aviv: Ramdor, 1968), 18; Givati, And Whatever: Meir Har-Zion; Milstein, Unit 101, vol. 1.</w:t>
      </w:r>
    </w:p>
  </w:endnote>
  <w:endnote w:id="71">
    <w:p>
      <w:pPr>
        <w:pStyle w:val="EndnoteText"/>
      </w:pPr>
      <w:r>
        <w:rPr>
          <w:rStyle w:val="EndnoteReference"/>
        </w:rPr>
        <w:endnoteRef/>
      </w:r>
      <w:r>
        <w:t xml:space="preserve"> </w:t>
      </w:r>
      <w:r>
        <w:t xml:space="preserve">Morris, Israel’s Border Wars, chaps. 5–6; Milstein, Unit 101, chaps. 17–19; Mistein,</w:t>
      </w:r>
      <w:r>
        <w:t xml:space="preserve"> </w:t>
      </w:r>
      <w:r>
        <w:t xml:space="preserve">“</w:t>
      </w:r>
      <w:r>
        <w:t xml:space="preserve">Sharon — The True Story</w:t>
      </w:r>
      <w:r>
        <w:t xml:space="preserve">”</w:t>
      </w:r>
      <w:r>
        <w:t xml:space="preserve">; Drory, Israel’s Reprisal Policy; Givati, And Whatever: Meir Har-Zion; Morris, Israel’s Border Wars, chap. 5; Tom Segev, A State at Any Cost: The Life of David Ben-Gurion, trans. Haim Watzman (New York: Farrar, Straus and Giroux, 2019), chaps. 25–28.</w:t>
      </w:r>
    </w:p>
  </w:endnote>
  <w:endnote w:id="72">
    <w:p>
      <w:pPr>
        <w:pStyle w:val="EndnoteText"/>
      </w:pPr>
      <w:r>
        <w:rPr>
          <w:rStyle w:val="EndnoteReference"/>
        </w:rPr>
        <w:endnoteRef/>
      </w:r>
      <w:r>
        <w:t xml:space="preserve"> </w:t>
      </w:r>
      <w:r>
        <w:t xml:space="preserve">Morris, Israel’s Border Wars, chap. 5; Milstein, Unit 101, chap. 18; Mistein,</w:t>
      </w:r>
      <w:r>
        <w:t xml:space="preserve"> </w:t>
      </w:r>
      <w:r>
        <w:t xml:space="preserve">“</w:t>
      </w:r>
      <w:r>
        <w:t xml:space="preserve">Sharon — The True Story</w:t>
      </w:r>
      <w:r>
        <w:t xml:space="preserve">”</w:t>
      </w:r>
      <w:r>
        <w:t xml:space="preserve">; the official Paratroopers Brigade institutional history.</w:t>
      </w:r>
    </w:p>
  </w:endnote>
  <w:endnote w:id="73">
    <w:p>
      <w:pPr>
        <w:pStyle w:val="EndnoteText"/>
      </w:pPr>
      <w:r>
        <w:rPr>
          <w:rStyle w:val="EndnoteReference"/>
        </w:rPr>
        <w:endnoteRef/>
      </w:r>
      <w:r>
        <w:t xml:space="preserve"> </w:t>
      </w:r>
      <w:r>
        <w:t xml:space="preserve">Morris, Israel’s Border Wars, chap. 6; Milstein, Unit 101, chap. 20; Hefez and Bloom, Ariel Sharon; Mistein,</w:t>
      </w:r>
      <w:r>
        <w:t xml:space="preserve"> </w:t>
      </w:r>
      <w:r>
        <w:t xml:space="preserve">“</w:t>
      </w:r>
      <w:r>
        <w:t xml:space="preserve">Sharon — The True Story</w:t>
      </w:r>
      <w:r>
        <w:t xml:space="preserve">”</w:t>
      </w:r>
      <w:r>
        <w:t xml:space="preserve">; the Paratroopers Brigade institutional history.</w:t>
      </w:r>
    </w:p>
  </w:endnote>
  <w:endnote w:id="74">
    <w:p>
      <w:pPr>
        <w:pStyle w:val="EndnoteText"/>
      </w:pPr>
      <w:r>
        <w:rPr>
          <w:rStyle w:val="EndnoteReference"/>
        </w:rPr>
        <w:endnoteRef/>
      </w:r>
      <w:r>
        <w:t xml:space="preserve"> </w:t>
      </w:r>
      <w:r>
        <w:t xml:space="preserve">See chapter 5.</w:t>
      </w:r>
    </w:p>
  </w:endnote>
  <w:endnote w:id="76">
    <w:p>
      <w:pPr>
        <w:pStyle w:val="EndnoteText"/>
      </w:pPr>
      <w:r>
        <w:rPr>
          <w:rStyle w:val="EndnoteReference"/>
        </w:rPr>
        <w:endnoteRef/>
      </w:r>
      <w:r>
        <w:t xml:space="preserve"> </w:t>
      </w:r>
      <w:r>
        <w:t xml:space="preserve">Uri Milstein, Unit 101: The War of Independence and the Reprisal Operations, vol. 1 of The History of the Israeli Paratroopers [in Hebrew] (Tel-Aviv: Shalgi, 1985), chap. 20; Nir Hefez and Gadi Bloom, Ariel Sharon: A Life (New York: Random House, 2006); David Landau, Arik: The Life of Ariel Sharon (2013); Moshe Givati, And Whatever: Meir Har-Zion — His Life and Work [in Hebrew] (Tel Aviv: Kineret, 2019).</w:t>
      </w:r>
    </w:p>
  </w:endnote>
  <w:endnote w:id="77">
    <w:p>
      <w:pPr>
        <w:pStyle w:val="EndnoteText"/>
      </w:pPr>
      <w:r>
        <w:rPr>
          <w:rStyle w:val="EndnoteReference"/>
        </w:rPr>
        <w:endnoteRef/>
      </w:r>
      <w:r>
        <w:t xml:space="preserve"> </w:t>
      </w:r>
      <w:r>
        <w:t xml:space="preserve">Milstein, Unit 101; Givati, And Whatever: Meir Har-Zion; Micha Ben-Ari Kapusta, Not Every Bullet Kills: The Story of a Fighter [in Hebrew] (Or-Yehudah: Kineret/Zemorah-Bitan/Devir, 2006), 25–47; Doron Almog,</w:t>
      </w:r>
      <w:r>
        <w:t xml:space="preserve"> </w:t>
      </w:r>
      <w:r>
        <w:t xml:space="preserve">“</w:t>
      </w:r>
      <w:r>
        <w:t xml:space="preserve">Cumulative Deterrence and the War on Terrorism,</w:t>
      </w:r>
      <w:r>
        <w:t xml:space="preserve">”</w:t>
      </w:r>
      <w:r>
        <w:t xml:space="preserve"> </w:t>
      </w:r>
      <w:r>
        <w:t xml:space="preserve">Parameters (Winter 2004): 4–19; Zeev Maoz,</w:t>
      </w:r>
      <w:r>
        <w:t xml:space="preserve"> </w:t>
      </w:r>
      <w:r>
        <w:t xml:space="preserve">“</w:t>
      </w:r>
      <w:r>
        <w:t xml:space="preserve">Evaluating Israel’s Strategy of Low-Intensity Warfare, 1949–2006,</w:t>
      </w:r>
      <w:r>
        <w:t xml:space="preserve">”</w:t>
      </w:r>
      <w:r>
        <w:t xml:space="preserve"> </w:t>
      </w:r>
      <w:r>
        <w:t xml:space="preserve">Security Studies 16, no. 3 (2007): 319–49; Zeev Drory, Israel’s Reprisal Policy, 1953–1956: The Dynamics of Military Retaliation (London: Taylor &amp; Francis, 2012), chaps. 4–6; Benny Morris, Israel’s Border Wars, 1949–1956 (New York: Oxford University Press, 1993), chaps. 7–9.</w:t>
      </w:r>
    </w:p>
  </w:endnote>
  <w:endnote w:id="78">
    <w:p>
      <w:pPr>
        <w:pStyle w:val="EndnoteText"/>
      </w:pPr>
      <w:r>
        <w:rPr>
          <w:rStyle w:val="EndnoteReference"/>
        </w:rPr>
        <w:endnoteRef/>
      </w:r>
      <w:r>
        <w:t xml:space="preserve"> </w:t>
      </w:r>
      <w:r>
        <w:t xml:space="preserve">Uri Milstein and Dov Doron, Sayeret Shaked: Prevention and Routine Security Measures [in Hebrew] (Tel-Aviv: Yediot Aharonoth / Sifre Chemed, 1994); Ran Edelist,</w:t>
      </w:r>
      <w:r>
        <w:t xml:space="preserve"> </w:t>
      </w:r>
      <w:r>
        <w:t xml:space="preserve">“</w:t>
      </w:r>
      <w:r>
        <w:t xml:space="preserve">Sayeret Shaked,</w:t>
      </w:r>
      <w:r>
        <w:t xml:space="preserve">”</w:t>
      </w:r>
      <w:r>
        <w:t xml:space="preserve"> </w:t>
      </w:r>
      <w:r>
        <w:t xml:space="preserve">in The IDF in Hilo; Israel Dayan,</w:t>
      </w:r>
      <w:r>
        <w:t xml:space="preserve"> </w:t>
      </w:r>
      <w:r>
        <w:t xml:space="preserve">“</w:t>
      </w:r>
      <w:r>
        <w:t xml:space="preserve">Sayeret Shaked — Formation: Interview with Nadav Neumann,</w:t>
      </w:r>
      <w:r>
        <w:t xml:space="preserve">”</w:t>
      </w:r>
      <w:r>
        <w:t xml:space="preserve"> </w:t>
      </w:r>
      <w:r>
        <w:t xml:space="preserve">YouTube (3 November 2012), https://www.youtube.com/watch?v=vYTVPmbU6wg; Milstein and Doron, Sayeret Shaked, 29–35.</w:t>
      </w:r>
    </w:p>
  </w:endnote>
  <w:endnote w:id="79">
    <w:p>
      <w:pPr>
        <w:pStyle w:val="EndnoteText"/>
      </w:pPr>
      <w:r>
        <w:rPr>
          <w:rStyle w:val="EndnoteReference"/>
        </w:rPr>
        <w:endnoteRef/>
      </w:r>
      <w:r>
        <w:t xml:space="preserve"> </w:t>
      </w:r>
      <w:r>
        <w:t xml:space="preserve">Morris, Israel’s Border Wars, chaps. 7–9; Shaul Bartal, The Fedayeen Emerge: The Palestine-Israel Conflict, 1949–1956 [in Hebrew] (Jerusalem: Carmel, 2011), chaps. 4–6; Mohamed Heikal, Nasser: The Cairo Documents (London: New English Library, 1972), chaps. 3–5; Drory, Israel’s Reprisal Policy, chaps. 5–7.</w:t>
      </w:r>
    </w:p>
  </w:endnote>
  <w:endnote w:id="80">
    <w:p>
      <w:pPr>
        <w:pStyle w:val="EndnoteText"/>
      </w:pPr>
      <w:r>
        <w:rPr>
          <w:rStyle w:val="EndnoteReference"/>
        </w:rPr>
        <w:endnoteRef/>
      </w:r>
      <w:r>
        <w:t xml:space="preserve"> </w:t>
      </w:r>
      <w:r>
        <w:t xml:space="preserve">Morris, Israel’s Border Wars, chap. 8; Drory, Israel’s Reprisal Policy; Hefez and Bloom, Ariel Sharon; Mordechai Bar-On, Moshe Dayan: A Biography 1915–1981 [in Hebrew] (Tel-Aviv: Am Oved, 2014), chaps. 9–10; Heikal, Nasser: The Cairo Documents, chap. 5; Kenneth M. Pollack, Arabs at War: Military Effectiveness, 1948–1991 (Lincoln: University of Nebraska Press, 2002), chaps. 2–3.</w:t>
      </w:r>
    </w:p>
  </w:endnote>
  <w:endnote w:id="81">
    <w:p>
      <w:pPr>
        <w:pStyle w:val="EndnoteText"/>
      </w:pPr>
      <w:r>
        <w:rPr>
          <w:rStyle w:val="EndnoteReference"/>
        </w:rPr>
        <w:endnoteRef/>
      </w:r>
      <w:r>
        <w:t xml:space="preserve"> </w:t>
      </w:r>
      <w:r>
        <w:t xml:space="preserve">“</w:t>
      </w:r>
      <w:r>
        <w:t xml:space="preserve">Operation Yarkon,</w:t>
      </w:r>
      <w:r>
        <w:t xml:space="preserve">”</w:t>
      </w:r>
      <w:r>
        <w:t xml:space="preserve"> </w:t>
      </w:r>
      <w:r>
        <w:t xml:space="preserve">IAF historical site, http://www.iaf.org.il/4694-32909-he/IAF.aspx (accessed 26 May 2026); Milstein and Doron, Sayeret Shaked; Eliezer Cohen and Zvi Lavi, The Sky Is Not the Limit [in Hebrew] (Tel-Aviv: Sifriyat Maariv, 1990), chaps. 11–13.</w:t>
      </w:r>
    </w:p>
  </w:endnote>
  <w:endnote w:id="82">
    <w:p>
      <w:pPr>
        <w:pStyle w:val="EndnoteText"/>
      </w:pPr>
      <w:r>
        <w:rPr>
          <w:rStyle w:val="EndnoteReference"/>
        </w:rPr>
        <w:endnoteRef/>
      </w:r>
      <w:r>
        <w:t xml:space="preserve"> </w:t>
      </w:r>
      <w:r>
        <w:t xml:space="preserve">Morris, Israel’s Border Wars, chap. 9; Drory, Israel’s Reprisal Policy; Bar-On, Moshe Dayan; Tom Segev, A State at Any Cost: The Life of David Ben-Gurion, trans. Haim Watzman (New York: Farrar, Straus and Giroux, 2019), chaps. 27–29.</w:t>
      </w:r>
    </w:p>
  </w:endnote>
  <w:endnote w:id="83">
    <w:p>
      <w:pPr>
        <w:pStyle w:val="EndnoteText"/>
      </w:pPr>
      <w:r>
        <w:rPr>
          <w:rStyle w:val="EndnoteReference"/>
        </w:rPr>
        <w:endnoteRef/>
      </w:r>
      <w:r>
        <w:t xml:space="preserve"> </w:t>
      </w:r>
      <w:r>
        <w:t xml:space="preserve">See notes 59–62.</w:t>
      </w:r>
    </w:p>
  </w:endnote>
  <w:endnote w:id="84">
    <w:p>
      <w:pPr>
        <w:pStyle w:val="EndnoteText"/>
      </w:pPr>
      <w:r>
        <w:rPr>
          <w:rStyle w:val="EndnoteReference"/>
        </w:rPr>
        <w:endnoteRef/>
      </w:r>
      <w:r>
        <w:t xml:space="preserve"> </w:t>
      </w:r>
      <w:r>
        <w:t xml:space="preserve">Yossi Melman and Dan Raviv, The Imperfect Spies: The History of Israeli Intelligence (London: Sidgwick &amp; Jackson, 1989); Ephraim Kahana, Historical Dictionary of Israeli Intelligence (Oxford: Scarecrow Press, 2006); Uri Milstein,</w:t>
      </w:r>
      <w:r>
        <w:t xml:space="preserve"> </w:t>
      </w:r>
      <w:r>
        <w:t xml:space="preserve">“</w:t>
      </w:r>
      <w:r>
        <w:t xml:space="preserve">The Secret Conversations with Avraham Dar — One of the Fathers of the Intelligence Community Who Passed Away This Month,</w:t>
      </w:r>
      <w:r>
        <w:t xml:space="preserve">”</w:t>
      </w:r>
      <w:r>
        <w:t xml:space="preserve"> </w:t>
      </w:r>
      <w:r>
        <w:t xml:space="preserve">Maariv Online, 29 December 2019, https://www.maariv.co.il/news/military/Article-737447; Yoav Gelber,</w:t>
      </w:r>
      <w:r>
        <w:t xml:space="preserve"> </w:t>
      </w:r>
      <w:r>
        <w:t xml:space="preserve">“</w:t>
      </w:r>
      <w:r>
        <w:t xml:space="preserve">The Strategy of the Weak — Israel’s Irregular Warfare after the War of Independence</w:t>
      </w:r>
      <w:r>
        <w:t xml:space="preserve">”</w:t>
      </w:r>
      <w:r>
        <w:t xml:space="preserve"> </w:t>
      </w:r>
      <w:r>
        <w:t xml:space="preserve">(paper presented at the Lavon Affair Conference, Haifa, 2004).</w:t>
      </w:r>
    </w:p>
  </w:endnote>
  <w:endnote w:id="85">
    <w:p>
      <w:pPr>
        <w:pStyle w:val="EndnoteText"/>
      </w:pPr>
      <w:r>
        <w:rPr>
          <w:rStyle w:val="EndnoteReference"/>
        </w:rPr>
        <w:endnoteRef/>
      </w:r>
      <w:r>
        <w:t xml:space="preserve"> </w:t>
      </w:r>
      <w:r>
        <w:t xml:space="preserve">Shabtai Teveth, Ben-Gurion’s Spy: The Story of the Political Scandal That Shaped Modern Israel (New York: Columbia University Press, 1996); Melman and Raviv, Imperfect Spies; Segev, A State at Any Cost, chaps. 30–34.</w:t>
      </w:r>
    </w:p>
  </w:endnote>
  <w:endnote w:id="86">
    <w:p>
      <w:pPr>
        <w:pStyle w:val="EndnoteText"/>
      </w:pPr>
      <w:r>
        <w:rPr>
          <w:rStyle w:val="EndnoteReference"/>
        </w:rPr>
        <w:endnoteRef/>
      </w:r>
      <w:r>
        <w:t xml:space="preserve"> </w:t>
      </w:r>
      <w:r>
        <w:t xml:space="preserve">Givati, And Whatever: Meir Har-Zion; Ben-Ari Kapusta, Not Every Bullet Kills, 45–47; Yigal Sheffy, Early Warning Countdown:</w:t>
      </w:r>
      <w:r>
        <w:t xml:space="preserve"> </w:t>
      </w:r>
      <w:r>
        <w:t xml:space="preserve">‘</w:t>
      </w:r>
      <w:r>
        <w:t xml:space="preserve">The Rotem</w:t>
      </w:r>
      <w:r>
        <w:t xml:space="preserve">’</w:t>
      </w:r>
      <w:r>
        <w:t xml:space="preserve"> </w:t>
      </w:r>
      <w:r>
        <w:t xml:space="preserve">Affair and the Israeli Security Perceptions 1957–1960 [in Hebrew] (Tel Aviv: Ministry of Defence, Maarachot, 2008), chap. 2.</w:t>
      </w:r>
    </w:p>
  </w:endnote>
  <w:endnote w:id="87">
    <w:p>
      <w:pPr>
        <w:pStyle w:val="EndnoteText"/>
      </w:pPr>
      <w:r>
        <w:rPr>
          <w:rStyle w:val="EndnoteReference"/>
        </w:rPr>
        <w:endnoteRef/>
      </w:r>
      <w:r>
        <w:t xml:space="preserve"> </w:t>
      </w:r>
      <w:r>
        <w:t xml:space="preserve">Avner Shur, Border Crosser [in Hebrew] (Or Yehudah: Kineret, 2008), 67–70; Givati, And Whatever: Meir Har-Zion; Moshe Sharett, Personal Diary, 8 vols. [in Hebrew] (Tel-Aviv: Sifriyat Maariv, 1978), http://www.sharett.org.il, accessed 26 May 2026, entries for late December 1954 through early 1955.</w:t>
      </w:r>
    </w:p>
  </w:endnote>
  <w:endnote w:id="88">
    <w:p>
      <w:pPr>
        <w:pStyle w:val="EndnoteText"/>
      </w:pPr>
      <w:r>
        <w:rPr>
          <w:rStyle w:val="EndnoteReference"/>
        </w:rPr>
        <w:endnoteRef/>
      </w:r>
      <w:r>
        <w:t xml:space="preserve"> </w:t>
      </w:r>
      <w:r>
        <w:t xml:space="preserve">Sheffy, Early Warning Countdown; Teveth, Ben-Gurion’s Spy; Melman and Raviv, Imperfect Spies.</w:t>
      </w:r>
    </w:p>
  </w:endnote>
  <w:endnote w:id="90">
    <w:p>
      <w:pPr>
        <w:pStyle w:val="EndnoteText"/>
      </w:pPr>
      <w:r>
        <w:rPr>
          <w:rStyle w:val="EndnoteReference"/>
        </w:rPr>
        <w:endnoteRef/>
      </w:r>
      <w:r>
        <w:t xml:space="preserve"> </w:t>
      </w:r>
      <w:r>
        <w:t xml:space="preserve">Ben-Ari Kapusta, Not Every Bullet Kills, 25–66;</w:t>
      </w:r>
      <w:r>
        <w:t xml:space="preserve"> </w:t>
      </w:r>
      <w:r>
        <w:t xml:space="preserve">“</w:t>
      </w:r>
      <w:r>
        <w:t xml:space="preserve">Cycle 1956: Palsar 5173,</w:t>
      </w:r>
      <w:r>
        <w:t xml:space="preserve">”</w:t>
      </w:r>
      <w:r>
        <w:t xml:space="preserve"> </w:t>
      </w:r>
      <w:r>
        <w:t xml:space="preserve">202.org.il, http://www.202.org.il/Pages/chativa_202/sayeret.php, accessed 26 May 2026; Hefez and Bloom, Ariel Sharon; Givati, And Whatever: Meir Har-Zion.</w:t>
      </w:r>
    </w:p>
  </w:endnote>
  <w:endnote w:id="91">
    <w:p>
      <w:pPr>
        <w:pStyle w:val="EndnoteText"/>
      </w:pPr>
      <w:r>
        <w:rPr>
          <w:rStyle w:val="EndnoteReference"/>
        </w:rPr>
        <w:endnoteRef/>
      </w:r>
      <w:r>
        <w:t xml:space="preserve"> </w:t>
      </w:r>
      <w:r>
        <w:t xml:space="preserve">Ben-Ari Kapusta, Not Every Bullet Kills, 30–34; Givati, And Whatever: Meir Har-Zion; the 202nd Brigade institutional history.</w:t>
      </w:r>
    </w:p>
  </w:endnote>
  <w:endnote w:id="92">
    <w:p>
      <w:pPr>
        <w:pStyle w:val="EndnoteText"/>
      </w:pPr>
      <w:r>
        <w:rPr>
          <w:rStyle w:val="EndnoteReference"/>
        </w:rPr>
        <w:endnoteRef/>
      </w:r>
      <w:r>
        <w:t xml:space="preserve"> </w:t>
      </w:r>
      <w:r>
        <w:t xml:space="preserve">See chapter 5, §§5.1–5.3.</w:t>
      </w:r>
    </w:p>
  </w:endnote>
  <w:endnote w:id="93">
    <w:p>
      <w:pPr>
        <w:pStyle w:val="EndnoteText"/>
      </w:pPr>
      <w:r>
        <w:rPr>
          <w:rStyle w:val="EndnoteReference"/>
        </w:rPr>
        <w:endnoteRef/>
      </w:r>
      <w:r>
        <w:t xml:space="preserve"> </w:t>
      </w:r>
      <w:r>
        <w:t xml:space="preserve">Bar-On, Moshe Dayan, chaps. 14–15; Hefez and Bloom, Ariel Sharon; Landau, Arik; the IDF Operations Branch’s published institutional history of the campaign; Raphael Eitan, Raful: A Soldier’s Story [in Hebrew] (Tel-Aviv: Ma’ariv, 1985), chap. 6.</w:t>
      </w:r>
    </w:p>
  </w:endnote>
  <w:endnote w:id="94">
    <w:p>
      <w:pPr>
        <w:pStyle w:val="EndnoteText"/>
      </w:pPr>
      <w:r>
        <w:rPr>
          <w:rStyle w:val="EndnoteReference"/>
        </w:rPr>
        <w:endnoteRef/>
      </w:r>
      <w:r>
        <w:t xml:space="preserve"> </w:t>
      </w:r>
      <w:r>
        <w:t xml:space="preserve">Amir Oren,</w:t>
      </w:r>
      <w:r>
        <w:t xml:space="preserve"> </w:t>
      </w:r>
      <w:r>
        <w:t xml:space="preserve">“</w:t>
      </w:r>
      <w:r>
        <w:t xml:space="preserve">38 Soldiers Were Killed in Vain: Who Authorized? Who Lied?</w:t>
      </w:r>
      <w:r>
        <w:t xml:space="preserve">”</w:t>
      </w:r>
      <w:r>
        <w:t xml:space="preserve"> </w:t>
      </w:r>
      <w:r>
        <w:t xml:space="preserve">Ha’aretz, 26 October 2006; Gal Hirsch, War Story Love Story [in Hebrew] (Tel-Aviv: Yedioth Ahronoth, 2009); Bar-On, Moshe Dayan; Hefez and Bloom, Ariel Sharon; Landau, Arik; the published memoirs of Gur; the Paratroopers Brigade’s official history; Milstein and Doron, Sayeret Shaked, 259–60;</w:t>
      </w:r>
      <w:r>
        <w:t xml:space="preserve"> </w:t>
      </w:r>
      <w:r>
        <w:t xml:space="preserve">“</w:t>
      </w:r>
      <w:r>
        <w:t xml:space="preserve">Retaliatory Operations: Between a Tactic and a Strategy,</w:t>
      </w:r>
      <w:r>
        <w:t xml:space="preserve">”</w:t>
      </w:r>
      <w:r>
        <w:t xml:space="preserve"> </w:t>
      </w:r>
      <w:r>
        <w:t xml:space="preserve">Ha’aretz, 17 February 2012.</w:t>
      </w:r>
    </w:p>
  </w:endnote>
  <w:endnote w:id="95">
    <w:p>
      <w:pPr>
        <w:pStyle w:val="EndnoteText"/>
      </w:pPr>
      <w:r>
        <w:rPr>
          <w:rStyle w:val="EndnoteReference"/>
        </w:rPr>
        <w:endnoteRef/>
      </w:r>
      <w:r>
        <w:t xml:space="preserve"> </w:t>
      </w:r>
      <w:r>
        <w:t xml:space="preserve">See chapter 5, §§5.1–5.3. The Aman directorate institutional records preserved in the IDF Archives; Ephraim Kahana, Historical Dictionary of Israeli Intelligence (Oxford: Scarecrow Press, 2006); Sheffy, Early Warning Countdown.</w:t>
      </w:r>
    </w:p>
  </w:endnote>
  <w:endnote w:id="96">
    <w:p>
      <w:pPr>
        <w:pStyle w:val="EndnoteText"/>
      </w:pPr>
      <w:r>
        <w:rPr>
          <w:rStyle w:val="EndnoteReference"/>
        </w:rPr>
        <w:endnoteRef/>
      </w:r>
      <w:r>
        <w:t xml:space="preserve"> </w:t>
      </w:r>
      <w:r>
        <w:t xml:space="preserve">See §§4.1–4.7; chapter 5, §§5.1–5.3.</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2026-08-10T01:56:49Z</dcterms:created>
  <dcterms:modified xsi:type="dcterms:W3CDTF">2026-08-10T01:56:49Z</dcterms:modified>
</cp:coreProperties>
</file>

<file path=docProps/custom.xml><?xml version="1.0" encoding="utf-8"?>
<Properties xmlns="http://schemas.openxmlformats.org/officeDocument/2006/custom-properties" xmlns:vt="http://schemas.openxmlformats.org/officeDocument/2006/docPropsVTypes"/>
</file>