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chapter-6-the-golden-era"/>
    <w:p>
      <w:pPr>
        <w:pStyle w:val="Heading1"/>
      </w:pPr>
      <w:r>
        <w:t xml:space="preserve">Chapter 6 — The Golden Era</w:t>
      </w:r>
    </w:p>
    <w:p>
      <w:pPr>
        <w:pStyle w:val="FirstParagraph"/>
      </w:pPr>
      <w:r>
        <w:rPr>
          <w:iCs/>
          <w:i/>
        </w:rPr>
        <w:t xml:space="preserve">Sayeret Matkal, the Reconnaissance Ecosystem, and the Two Tracks of Israeli Military Power, 1965–1973</w:t>
      </w:r>
    </w:p>
    <w:bookmarkStart w:id="25" w:name="the-allenby-bridge-march-21-1968"/>
    <w:p>
      <w:pPr>
        <w:pStyle w:val="Heading2"/>
      </w:pPr>
      <w:r>
        <w:t xml:space="preserve">6.1 The Allenby Bridge, March 21, 1968</w:t>
      </w:r>
    </w:p>
    <w:p>
      <w:pPr>
        <w:pStyle w:val="FirstParagraph"/>
      </w:pPr>
      <w:r>
        <w:t xml:space="preserve">A few minutes before five o’clock on the morning of Thursday, March 21, 1968, the first of the Israeli paratroopers and Sayeret Tzanchanim operators began their crossing of the Allenby Bridge into the Hashemite Kingdom of Jordan. They were in the lead element of what would become known, in the IDF’s institutional memory, as Operation Tofet — Inferno — and to the world’s press, simply as the Battle of Karameh.</w:t>
      </w:r>
      <w:r>
        <w:rPr>
          <w:rStyle w:val="EndnoteReference"/>
        </w:rPr>
        <w:endnoteReference w:id="20"/>
      </w:r>
    </w:p>
    <w:p>
      <w:pPr>
        <w:pStyle w:val="BodyText"/>
      </w:pPr>
      <w:r>
        <w:t xml:space="preserve">The objective was the town of Karameh, ten kilometers east of the Jordan River in the Jordan Valley, which had become in the months since the Six-Day War a forward operating base of Yasser Arafat’s Fatah movement. Fatah operators had crossed back into the West Bank from Karameh through the autumn and winter of 1967–1968 and had carried out a sustained campaign of cross-border attacks against Israeli civilian buses, settlements, and military patrols. The Israeli Cabinet had authorized a punitive raid against Fatah’s principal base. The IDF — through the Central Command and the Paratroopers Brigade under Brigadier General Dan Laner — had planned a multi-axis operation involving paratroopers, armor, mechanized infantry, and air support, with a contingent of Sayeret Matkal operators assigned to a specific target deep inside Karameh itself.</w:t>
      </w:r>
      <w:r>
        <w:rPr>
          <w:rStyle w:val="EndnoteReference"/>
        </w:rPr>
        <w:endnoteReference w:id="21"/>
      </w:r>
    </w:p>
    <w:p>
      <w:pPr>
        <w:pStyle w:val="BodyText"/>
      </w:pPr>
      <w:r>
        <w:t xml:space="preserve">What happened on March 21 was not what the IDF had planned. The Jordanian Arab Legion, which had been expected by Israeli intelligence to stay out of the engagement, intervened in force from the heights east of Karameh. Jordanian artillery and armor — including King Hussein’s own Centurion tanks of the 60th Armored Brigade — engaged the Israeli columns from elevated positions throughout the day. Fatah operators, instead of dispersing as IDF planners had predicted, fought from inside Karameh’s stone buildings and inflicted heavier-than-expected casualties on the paratroopers clearing the town house by house. The Israeli helicopter pickup operation, which was supposed to extract the Sayeret Matkal element after its mission inside Karameh, was delayed by Jordanian artillery fire. Three Israeli pilots flying close support over Karameh were shot down. By the time the IDF columns withdrew across the Jordan in the late afternoon, the Israeli toll was twenty-nine dead and ninety wounded, with the loss of four tanks, six half-tracks, two armored personnel carriers, and the three downed aircraft.</w:t>
      </w:r>
      <w:r>
        <w:rPr>
          <w:rStyle w:val="EndnoteReference"/>
        </w:rPr>
        <w:endnoteReference w:id="22"/>
      </w:r>
    </w:p>
    <w:p>
      <w:pPr>
        <w:pStyle w:val="BodyText"/>
      </w:pPr>
      <w:r>
        <w:t xml:space="preserve">In the immediate aftermath of the operation, Arafat — who had been in Karameh on March 21 and had narrowly escaped capture by the Sayeret Matkal element — proclaimed Karameh a Palestinian victory. Karameh in Arabic means</w:t>
      </w:r>
      <w:r>
        <w:t xml:space="preserve"> </w:t>
      </w:r>
      <w:r>
        <w:t xml:space="preserve">“</w:t>
      </w:r>
      <w:r>
        <w:t xml:space="preserve">honor</w:t>
      </w:r>
      <w:r>
        <w:t xml:space="preserve">”</w:t>
      </w:r>
      <w:r>
        <w:t xml:space="preserve"> </w:t>
      </w:r>
      <w:r>
        <w:t xml:space="preserve">or</w:t>
      </w:r>
      <w:r>
        <w:t xml:space="preserve"> </w:t>
      </w:r>
      <w:r>
        <w:t xml:space="preserve">“</w:t>
      </w:r>
      <w:r>
        <w:t xml:space="preserve">dignity.</w:t>
      </w:r>
      <w:r>
        <w:t xml:space="preserve">”</w:t>
      </w:r>
      <w:r>
        <w:t xml:space="preserve"> </w:t>
      </w:r>
      <w:r>
        <w:t xml:space="preserve">The pun was unavoidable, and the political payoff to Fatah, in recruitment terms across the Arab world, was immense.</w:t>
      </w:r>
      <w:r>
        <w:rPr>
          <w:rStyle w:val="EndnoteReference"/>
        </w:rPr>
        <w:endnoteReference w:id="23"/>
      </w:r>
      <w:r>
        <w:t xml:space="preserve"> </w:t>
      </w:r>
      <w:r>
        <w:t xml:space="preserve">Inside the IDF, however, the operational lessons were different. Karameh was the first major engagement of the post-1967 era in which Sayeret Matkal had operated as a publicly visible component of a brigade-level operation, and the unit’s element had — despite the broader operational disappointments of the day — performed its specific mission inside Karameh with the precision its commanders had hoped for. The young captain who had led the Sayeret Matkal element through the streets of Karameh and back to the helicopter extraction was a twenty-three-year-old paratrooper named Muki Betser, attached to Sayeret Matkal from his parent unit only a few weeks earlier. Betser was wounded twice during the engagement, evacuated, and would spend the next eight months recovering from injuries that would end his service in active reconnaissance roles for a period. He would re-enter the unit, as I described in Chapter 7, four years later under a new commander and a new institutional configuration.</w:t>
      </w:r>
      <w:r>
        <w:rPr>
          <w:rStyle w:val="EndnoteReference"/>
        </w:rPr>
        <w:endnoteReference w:id="24"/>
      </w:r>
    </w:p>
    <w:p>
      <w:pPr>
        <w:pStyle w:val="BodyText"/>
      </w:pPr>
      <w:r>
        <w:t xml:space="preserve">This chapter is about the eight years that connect the funeral of Yitzhak Sadeh in 1952 — where the book began — to the morning of October 6, 1973, where Chapter 7 opens. More precisely, it is about the period from the procurement decisions of 1965–1966 that defined the IDF’s force structure for the next decade, through the Six-Day War of 1967 and its institutional aftermath, through the War of Attrition that ran from 1967 to 1970, through the operational arc of Sayeret Matkal from Karameh through the Beirut Airport raid through Sabena through Spring of Youth, to the doctrinal blindness that, in the summer of 1973, would set up the catastrophe of October 6. It is the chapter in which Avraham Arnan’s institution — the unit I described in Chapter 5 — comes of age. It is also the chapter in which the IDF’s senior officer corps becomes, through repeated operational success, too confident in its own conventional capabilities to take seriously the doctrinal threat that the Soviet-armed Arab armies were assembling on the other side of the lines.</w:t>
      </w:r>
    </w:p>
    <w:p>
      <w:pPr>
        <w:pStyle w:val="BodyText"/>
      </w:pPr>
      <w:r>
        <w:t xml:space="preserve">The chapter develops two parallel tracks. The first is the conventional buildup of the IDF in the late 1960s and early 1970s: the procurement decisions, the Air Force consolidation, the Armored Corps expansion, the doctrinal evolution that would peak in the Six-Day War and that would, by 1973, ossify into the conception known to the Agranat Commission as Ha-Konseptzia —</w:t>
      </w:r>
      <w:r>
        <w:t xml:space="preserve"> </w:t>
      </w:r>
      <w:r>
        <w:t xml:space="preserve">“</w:t>
      </w:r>
      <w:r>
        <w:t xml:space="preserve">The Conception.</w:t>
      </w:r>
      <w:r>
        <w:t xml:space="preserve">”</w:t>
      </w:r>
      <w:r>
        <w:t xml:space="preserve"> </w:t>
      </w:r>
      <w:r>
        <w:t xml:space="preserve">The second is the operational maturation of the SOF community: Sayeret Matkal’s emergence as the IDF’s premier ground unit, Shayetet 13’s parallel emergence as the premier naval unit, the institutional and doctrinal innovations of Avraham Arnan’s Mivtsa’im Meyuhadim (MM) division within AMAN, and the counterterrorism doctrine that emerged from Karameh, the 1968 Beirut Airport raid, the Sabena rescue of May 1972, and the Spring of Youth raid of April 1973. Both tracks would, by the autumn of 1973, reach what I argue is their peak — and both would, in October, be tested against an enemy that had been preparing for them.</w:t>
      </w:r>
    </w:p>
    <w:p>
      <w:pPr>
        <w:pStyle w:val="BodyText"/>
      </w:pPr>
      <w:r>
        <w:t xml:space="preserve">The chapter ends on the eve of the Yom Kippur War. The war itself, and the entrepreneur it produced, are the subject of Chapter 7.</w:t>
      </w:r>
    </w:p>
    <w:bookmarkEnd w:id="25"/>
    <w:bookmarkStart w:id="30" w:name="the-six-day-triumph-and-the-sof-quiet"/>
    <w:p>
      <w:pPr>
        <w:pStyle w:val="Heading2"/>
      </w:pPr>
      <w:r>
        <w:t xml:space="preserve">6.2 The Six-Day Triumph and the SOF Quiet</w:t>
      </w:r>
    </w:p>
    <w:p>
      <w:pPr>
        <w:pStyle w:val="FirstParagraph"/>
      </w:pPr>
      <w:r>
        <w:t xml:space="preserve">To understand why Karameh mattered — and why, in retrospect, the operational lessons of 1968 were less important to the IDF’s senior leadership than they should have been — we have to begin nine months earlier, on the morning of June 5, 1967, when the Israel Air Force opened the Six-Day War with the strike that the IDF’s official history would call simply Mivtsa Moked,</w:t>
      </w:r>
      <w:r>
        <w:t xml:space="preserve"> </w:t>
      </w:r>
      <w:r>
        <w:t xml:space="preserve">“</w:t>
      </w:r>
      <w:r>
        <w:t xml:space="preserve">Operation Focus.</w:t>
      </w:r>
      <w:r>
        <w:t xml:space="preserve">”</w:t>
      </w:r>
    </w:p>
    <w:p>
      <w:pPr>
        <w:pStyle w:val="BodyText"/>
      </w:pPr>
      <w:r>
        <w:t xml:space="preserve">At 7:45 in the morning of June 5, 1967, the first wave of Israel Air Force strike aircraft — a mixed force of French-built Mirage III, Super Mystère, Mystère IV, and Vautour aircraft — crossed the Mediterranean coast at low altitude in the directions of the Egyptian air bases at Cairo West, Beni Suef, Almaza, Inshas, and a dozen others. Over the next one hundred and eighty minutes, the IAF destroyed approximately four hundred and fifty-two Egyptian, Syrian, Jordanian, and Iraqi aircraft on the ground, disabled eighteen Arab airfields, and effectively eliminated Arab combat air power for the duration of the war.</w:t>
      </w:r>
      <w:r>
        <w:rPr>
          <w:rStyle w:val="EndnoteReference"/>
        </w:rPr>
        <w:endnoteReference w:id="26"/>
      </w:r>
      <w:r>
        <w:t xml:space="preserve"> </w:t>
      </w:r>
      <w:r>
        <w:t xml:space="preserve">Moked is, by most assessments, the most consequential single air operation in the history of military aviation. Within six days, the IDF — using the air supremacy that Moked had won in the war’s first hours — had destroyed three Arab armies, captured the Sinai Peninsula, the Golan Heights, and the West Bank, and produced what would be remembered in Israel as the most complete military victory in the country’s history.</w:t>
      </w:r>
      <w:r>
        <w:rPr>
          <w:rStyle w:val="EndnoteReference"/>
        </w:rPr>
        <w:endnoteReference w:id="27"/>
      </w:r>
    </w:p>
    <w:p>
      <w:pPr>
        <w:pStyle w:val="BodyText"/>
      </w:pPr>
      <w:r>
        <w:t xml:space="preserve">The institutional consequences of Moked and the broader Six-Day triumph were direct and lasting. The Israel Air Force, which had been a service of mixed prestige and uncertain doctrine before 1967, emerged as the unchallenged premier service of the IDF. The Armored Corps, which had carried out the breakthrough operations across the Sinai under Brigadier General Israel Tal and Brigadier General Ariel Sharon, emerged as the premier ground arm. Together, the two services consolidated what the IDF’s planning literature of the late 1960s called the Tochnit Ramatkalit — the Chief of Staff’s Plan — which was, in its essentials, an air-armor doctrine of pre-emptive offense and rapid maneuver designed to win short, decisive wars by destroying enemy forces on enemy territory.</w:t>
      </w:r>
      <w:r>
        <w:rPr>
          <w:rStyle w:val="EndnoteReference"/>
        </w:rPr>
        <w:endnoteReference w:id="28"/>
      </w:r>
    </w:p>
    <w:p>
      <w:pPr>
        <w:pStyle w:val="BodyText"/>
      </w:pPr>
      <w:r>
        <w:t xml:space="preserve">For the IDF’s Special Operations Forces, the consequence of the Six-Day Triumph was, paradoxically, quiet. The war had been, in operational terms, an air-and-armor war. SOFs had played meaningful but localized roles — Sayeret Matkal had conducted a number of reconnaissance and signals-intelligence-emplacement missions in the days before the war; Shayetet 13’s frogmen had attempted to penetrate Alexandria harbor with mixed results; Sayeret Tzanchanim had operated on Mount Hermon — but none of these had been decisive at the strategic level.</w:t>
      </w:r>
      <w:r>
        <w:rPr>
          <w:rStyle w:val="EndnoteReference"/>
        </w:rPr>
        <w:endnoteReference w:id="29"/>
      </w:r>
      <w:r>
        <w:t xml:space="preserve"> </w:t>
      </w:r>
      <w:r>
        <w:t xml:space="preserve">The doctrine that had emerged from the war — the doctrine that the Chief of Staff Yitzhak Rabin and his Operations Branch chief David Elazar had codified by late 1967 — was a doctrine in which the war’s decision lay with the IAF’s first hours and the Armored Corps’ first days. SOFs were retained as a strategic asset, but they were retained as a peripheral strategic asset. Most of the senior officer corps assumed, in the late 1960s, that the next major war Israel fought would resemble the Six-Day War — and that SOFs would have, in that war, the same secondary role they had had in 1967.</w:t>
      </w:r>
    </w:p>
    <w:p>
      <w:pPr>
        <w:pStyle w:val="BodyText"/>
      </w:pPr>
      <w:r>
        <w:t xml:space="preserve">This was the institutional condition that made Karameh, nine months after the Six-Day War, significant in a way the senior officer corps did not fully appreciate. Karameh was the first major engagement of the post-1967 era in which the IDF found itself fighting not the war the Tochnit Ramatkalit had been designed for. It was a punitive cross-border raid against an irregular force — Fatah — operating under the protection of a state army (Jordan) that had not been expected to engage. The air-armor doctrine, when applied to this kind of operation, produced the casualties and the operational disappointments I described in §6.1. And the unit that came out of Karameh with its operational reputation enhanced — Sayeret Matkal — was a unit that the air-armor doctrine had no clear role for.</w:t>
      </w:r>
    </w:p>
    <w:p>
      <w:pPr>
        <w:pStyle w:val="BodyText"/>
      </w:pPr>
      <w:r>
        <w:t xml:space="preserve">The post-Karameh period — from April 1968 through the operational climax of 1972–1973 — would be the period in which Avraham Arnan’s institution would build for itself a doctrinal role that the IDF’s senior leadership had not envisioned for it: the role of the IDF’s principal counterterrorism instrument, with a secondary doctrinal role in deep strategic reconnaissance. This was not a planned development. It was the consequence of the SOF community discovering, in the operational gaps of the post-1967 strategic environment, missions that the conventional IDF could not perform.</w:t>
      </w:r>
    </w:p>
    <w:bookmarkEnd w:id="30"/>
    <w:bookmarkStart w:id="37" w:name="X3b441b6850691ee96cea06835371b13e29a7f73"/>
    <w:p>
      <w:pPr>
        <w:pStyle w:val="Heading2"/>
      </w:pPr>
      <w:r>
        <w:t xml:space="preserve">6.3 The Reconnaissance Ecosystem and the New Border Geography, 1967–1968</w:t>
      </w:r>
    </w:p>
    <w:p>
      <w:pPr>
        <w:pStyle w:val="FirstParagraph"/>
      </w:pPr>
      <w:r>
        <w:t xml:space="preserve">Before we follow Sayeret Matkal’s emergence as the IDF’s premier ground SOF through the operations of 1968–1973, we have to dwell for a moment on the geographic and institutional environment in which that emergence took place — because Sayeret Matkal was not the only Israeli SOF that grew through the post-1967 period, and the ecosystem of reconnaissance units in which it operated is, in retrospect, as important to the chapter’s argument as the unit itself.</w:t>
      </w:r>
      <w:r>
        <w:rPr>
          <w:rStyle w:val="EndnoteReference"/>
        </w:rPr>
        <w:endnoteReference w:id="31"/>
      </w:r>
    </w:p>
    <w:p>
      <w:pPr>
        <w:pStyle w:val="BodyText"/>
      </w:pPr>
      <w:r>
        <w:t xml:space="preserve">The Six-Day War’s territorial outcome transformed the border-security environment of the IDF. Before June 1967, Israel had defended approximately 612 miles of land border against the four Arab states that ringed it. After June 1967, the land borders had shrunk to approximately 404 miles — but the operational depth behind those borders had expanded enormously. The IDF was now responsible for the security of the Sinai Peninsula (twenty-three thousand square miles of desert with a single Egyptian state across the canal), the Golan Heights (five hundred square miles of basalt plateau facing Syria), the West Bank (twenty-two hundred square miles of populated Palestinian territory with Jordan beyond), and the Gaza Strip. The maritime borders, simultaneously, had expanded from approximately 158 to approximately 621 miles, with the addition of the Red Sea, the Gulf of Suez, and the eastern Mediterranean coast that the Sinai conquest had opened.</w:t>
      </w:r>
      <w:r>
        <w:rPr>
          <w:rStyle w:val="EndnoteReference"/>
        </w:rPr>
        <w:endnoteReference w:id="32"/>
      </w:r>
      <w:r>
        <w:t xml:space="preserve"> </w:t>
      </w:r>
      <w:r>
        <w:t xml:space="preserve">The conventional IDF — the Armored Corps and the IAF whose doctrinal triumph I described in §6.2 — had been built to win short wars at the prewar borders. It had not been built to police the security of a state whose perimeter had just grown into a strategic depth that no single reconnaissance unit could cover.</w:t>
      </w:r>
    </w:p>
    <w:p>
      <w:pPr>
        <w:pStyle w:val="BodyText"/>
      </w:pPr>
      <w:r>
        <w:t xml:space="preserve">The institutional response to this geographic asymmetry was the rapid expansion, between 1968 and 1971, of a tier of regional reconnaissance units — the Sayarot Pikudiot, the command-level reconnaissance battalions — that the IDF had previously maintained at limited strength. Sayeret Shaked (Unit 424), the reconnaissance battalion of the Southern Command founded in 1955 under Avraham Yoffe and commanded since 1956 by Major Amos Yarkoni — the legendary Bedouin tracker whose service to the IDF would, by his retirement, span three decades — was expanded after 1967 to cover the new operational depth of the Sinai. Shaked operated against Egyptian commando insertions across the canal, against Palestinian fedayeen infiltrating through the Sinai from the Gaza Strip, and against the broader pattern of low-intensity warfare that the post-1967 period had opened in the southern theater.</w:t>
      </w:r>
      <w:r>
        <w:rPr>
          <w:rStyle w:val="EndnoteReference"/>
        </w:rPr>
        <w:endnoteReference w:id="33"/>
      </w:r>
    </w:p>
    <w:p>
      <w:pPr>
        <w:pStyle w:val="BodyText"/>
      </w:pPr>
      <w:r>
        <w:t xml:space="preserve">Sayeret Charuv (Unit 484), founded in 1965 under the Central Command and rapidly expanded after 1967 under the operational direction of Major (later Lieutenant Colonel) Meir Har-Zion — Sadeh’s intellectual heir, the most celebrated tracker-commando of the Paratroopers’ generation of the 1950s — took on the parallel mission in the Jordan Valley. From 1968 through the early 1970s, Charuv operators ran nighttime ambushes against Palestinian fedayeen crossing the Jordan from refugee camps in Jordan, conducted reconnaissance behind the Jordanian front during the War of Attrition’s eastern phase, and developed the small-unit tactical doctrine that would, after the Yom Kippur War, be inherited by the Paratroopers’ Reconnaissance Platoon and (by a different lineage) by what would become Sayeret Egoz.</w:t>
      </w:r>
      <w:r>
        <w:rPr>
          <w:rStyle w:val="EndnoteReference"/>
        </w:rPr>
        <w:endnoteReference w:id="34"/>
      </w:r>
    </w:p>
    <w:p>
      <w:pPr>
        <w:pStyle w:val="BodyText"/>
      </w:pPr>
      <w:r>
        <w:t xml:space="preserve">Sayeret Rimon — a smaller and more clandestine unit, founded in 1970 under the Southern Command’s operational direction in the Gaza Strip and the Sinai — specialized in mistarvim operations: the disguised-as-Arab covert reconnaissance and direct-action work that, in the 1980s, would be inherited by the Duvdevan unit Chapter 8 will describe.</w:t>
      </w:r>
      <w:r>
        <w:rPr>
          <w:rStyle w:val="EndnoteReference"/>
        </w:rPr>
        <w:endnoteReference w:id="35"/>
      </w:r>
      <w:r>
        <w:t xml:space="preserve"> </w:t>
      </w:r>
      <w:r>
        <w:t xml:space="preserve">Rimon operated under General Ariel Sharon’s overall southern-command direction through the early 1970s, and the unit’s institutional culture — small teams, deep cover, ambiguous attribution — would prove, in retrospect, to have been the operational seed of what the IDF would, by the late 1980s, codify as urban counterinsurgency doctrine.</w:t>
      </w:r>
    </w:p>
    <w:p>
      <w:pPr>
        <w:pStyle w:val="BodyText"/>
      </w:pPr>
      <w:r>
        <w:t xml:space="preserve">The four units — Sayeret Matkal at the General Staff level, Shaked in the south, Charuv in the center, Rimon in the Gaza-Sinai theater — together formed what the IDF’s later institutional vocabulary would call the Mishpechet HaSayarot, the family of reconnaissance units. None of them were created by a single doctrinal decision. They emerged, individually, from the operational discovery that no existing unit could cover the new territorial depth that the Six-Day Triumph had opened. The senior officer corps’s doctrinal investment in the air-armor doctrine of the Tochnit Ramatkalit meant that the regional preventive-reconnaissance role was not seen as strategically central — and the Sayarot Pikudiot therefore operated, through the 1968–1973 period, with the limited institutional protection of units that were operationally useful but doctrinally peripheral. This vulnerability would have its consequences. As I described in Chapter 7 §7.7, the post-Yom Kippur dissolution of Sayeret Charuv and the original Sayeret Egoz in 1974 — and the partial dissolution of Sayeret Shaked over the following decade — followed directly from the institutional weakness of the regional reconnaissance tier in the post-1973 IDF.</w:t>
      </w:r>
      <w:r>
        <w:rPr>
          <w:rStyle w:val="EndnoteReference"/>
        </w:rPr>
        <w:endnoteReference w:id="36"/>
      </w:r>
    </w:p>
    <w:p>
      <w:pPr>
        <w:pStyle w:val="BodyText"/>
      </w:pPr>
      <w:r>
        <w:t xml:space="preserve">What the regional reconnaissance ecosystem provided through the 1968–1973 period, however, was the operational backbone of Israeli border security in a strategic environment that the conventional IDF doctrine had not designed for. The reciprocal point — that the success of Sayeret Matkal’s strategic operations through this period was made possible in part by the lower-tier ecosystem that handled the routine security load — is one of the analytical points the chapter has to make. We return to Sayeret Matkal’s operational trajectory in §6.3.</w:t>
      </w:r>
    </w:p>
    <w:bookmarkEnd w:id="37"/>
    <w:bookmarkStart w:id="47" w:name="Xd8d9430fe59e38bfd2b6d882f682e21adfb883c"/>
    <w:p>
      <w:pPr>
        <w:pStyle w:val="Heading2"/>
      </w:pPr>
      <w:r>
        <w:t xml:space="preserve">6.4 The Procurement Revolution: Vietnam, Helicopters, and the French Embargo, 1965–1968</w:t>
      </w:r>
    </w:p>
    <w:p>
      <w:pPr>
        <w:pStyle w:val="FirstParagraph"/>
      </w:pPr>
      <w:r>
        <w:t xml:space="preserve">In the summer of 1966, a year before the Six-Day War, the IDF’s former Chief of Staff Moshe Dayan traveled to South Vietnam as a war correspondent for the Israeli newspaper Maariv and for several international syndicates.</w:t>
      </w:r>
      <w:r>
        <w:rPr>
          <w:rStyle w:val="EndnoteReference"/>
        </w:rPr>
        <w:endnoteReference w:id="38"/>
      </w:r>
      <w:r>
        <w:t xml:space="preserve"> </w:t>
      </w:r>
      <w:r>
        <w:t xml:space="preserve">Dayan, who had been a defining figure in the IDF since the 1950s and who would in less than a year become Israel’s Minister of Defense on the eve of the Six-Day War, was no ordinary war correspondent. He met with William Westmoreland, the commander of the U.S. Military Assistance Command Vietnam; he flew on operational missions with the 1st Cavalry Division; he interviewed U.S. Army and Marine officers across the Vietnamese theater. The dispatches he produced — which were widely read in the IDF’s senior officer corps — emphasized two themes. The first was the centrality of the helicopter to American operational doctrine in Vietnam: the use of UH-1</w:t>
      </w:r>
      <w:r>
        <w:t xml:space="preserve"> </w:t>
      </w:r>
      <w:r>
        <w:t xml:space="preserve">“</w:t>
      </w:r>
      <w:r>
        <w:t xml:space="preserve">Huey</w:t>
      </w:r>
      <w:r>
        <w:t xml:space="preserve">”</w:t>
      </w:r>
      <w:r>
        <w:t xml:space="preserve"> </w:t>
      </w:r>
      <w:r>
        <w:t xml:space="preserve">helicopters for air assault, medical evacuation, and reconnaissance, and the larger CH-47 Chinook for heavy lift, had transformed what the U.S. Army called</w:t>
      </w:r>
      <w:r>
        <w:t xml:space="preserve"> </w:t>
      </w:r>
      <w:r>
        <w:t xml:space="preserve">“</w:t>
      </w:r>
      <w:r>
        <w:t xml:space="preserve">air mobility</w:t>
      </w:r>
      <w:r>
        <w:t xml:space="preserve">”</w:t>
      </w:r>
      <w:r>
        <w:t xml:space="preserve"> </w:t>
      </w:r>
      <w:r>
        <w:t xml:space="preserve">into the defining feature of the war’s operational tempo. The second theme was Dayan’s skepticism that the heavy American technological dominance would, by itself, defeat the Viet Cong. The Vietnamese, he wrote, were waging a war in which the political and institutional dimensions outweighed the technical and the kinetic.</w:t>
      </w:r>
      <w:r>
        <w:rPr>
          <w:rStyle w:val="EndnoteReference"/>
        </w:rPr>
        <w:endnoteReference w:id="39"/>
      </w:r>
    </w:p>
    <w:p>
      <w:pPr>
        <w:pStyle w:val="BodyText"/>
      </w:pPr>
      <w:r>
        <w:t xml:space="preserve">Dayan’s dispatches contributed to a procurement decision the IDF made in 1966 that, while small in financial scale, would have outsized consequences for the SOF community’s doctrinal development over the next decade. The Air Force decided to establish its second transport helicopter squadron and to acquire from France four heavy-lift Aérospatiale SA 321 Super Frelon helicopters at a cost of approximately twenty million U.S. dollars.</w:t>
      </w:r>
      <w:r>
        <w:rPr>
          <w:rStyle w:val="EndnoteReference"/>
        </w:rPr>
        <w:endnoteReference w:id="40"/>
      </w:r>
      <w:r>
        <w:t xml:space="preserve"> </w:t>
      </w:r>
      <w:r>
        <w:t xml:space="preserve">The Super Frelon — the same airframe the French Navy used for anti-submarine warfare and the Israeli IAF would soon call the Tzir’a (Hornet) and later the Yas’ur (Petrel, after the IAF replaced the SA 321 with the larger CH-53 Sea Stallion in the early 1970s) — gave the IDF its first heavy-lift airborne insertion capability. It is the platform that would, six years later, deliver Sayeret Matkal operators to the targets of the Beirut Airport raid in December 1968 and the Spring of Youth raid in Beirut in April 1973. It is the operational predecessor of the CH-53 Yas’ur that would, in 1976, fly the Sayeret Matkal force to Entebbe; that would, in the 1980s and 1990s, become the workhorse of Shaldag’s insertion and extraction operations; and that would, on October 7, 2023, fly Unit 669’s emergency search-and-rescue teams to the Gaza envelope kibbutzim on the morning of the Hamas attack.</w:t>
      </w:r>
    </w:p>
    <w:p>
      <w:pPr>
        <w:pStyle w:val="BodyText"/>
      </w:pPr>
      <w:r>
        <w:t xml:space="preserve">Two other procurement decisions of 1965–1966 deserve mention. The first was the IDF’s preliminary negotiation with the United Kingdom for the purchase of several hundred Chieftain Mk 2 main battle tanks, Britain’s most advanced contemporary tank, in exchange for partial Israeli participation in the Chieftain’s continued development.</w:t>
      </w:r>
      <w:r>
        <w:rPr>
          <w:rStyle w:val="EndnoteReference"/>
        </w:rPr>
        <w:endnoteReference w:id="41"/>
      </w:r>
      <w:r>
        <w:t xml:space="preserve"> </w:t>
      </w:r>
      <w:r>
        <w:t xml:space="preserve">The Chieftain deal would, by 1969, collapse under British political pressure from Arab states — and the collapse would directly produce, in the summer of 1970, the Israeli decision to develop the indigenous Merkava tank under the project leadership of Major General Israel Tal.</w:t>
      </w:r>
      <w:r>
        <w:rPr>
          <w:rStyle w:val="EndnoteReference"/>
        </w:rPr>
        <w:endnoteReference w:id="42"/>
      </w:r>
      <w:r>
        <w:t xml:space="preserve"> </w:t>
      </w:r>
      <w:r>
        <w:t xml:space="preserve">The second was the February 1966 American decision, under the Johnson administration, to authorize for the first time the sale of advanced strike aircraft to Israel: the McDonnell Douglas A-4 Skyhawk, sixty-eight of which were delivered to the IAF between 1967 and 1969.</w:t>
      </w:r>
      <w:r>
        <w:rPr>
          <w:rStyle w:val="EndnoteReference"/>
        </w:rPr>
        <w:endnoteReference w:id="43"/>
      </w:r>
      <w:r>
        <w:t xml:space="preserve"> </w:t>
      </w:r>
      <w:r>
        <w:t xml:space="preserve">The Skyhawk acquisition marked, in retrospect, the beginning of the long American–Israeli defense relationship that would define Israeli strategic posture for the next half-century.</w:t>
      </w:r>
    </w:p>
    <w:p>
      <w:pPr>
        <w:pStyle w:val="BodyText"/>
      </w:pPr>
      <w:r>
        <w:t xml:space="preserve">These three procurement decisions of 1965–1966 — Super Frelon helicopters, Chieftain negotiations, Skyhawk acquisition — were the proximate background of the strategic shock that the IDF would receive in June 1967 when the French government of Charles de Gaulle, in the face of the Israeli pre-emptive strike, imposed an arms embargo on all major weapons systems destined for Israel. The embargo blocked, most consequentially, the delivery of fifty Dassault Mirage 5J fighter-bombers that the IAF had ordered and paid for and that were already in production for Israeli delivery in 1968 and 1969. The Mirage 5J had been the planned successor of the Mirage III that had carried out Moked. Its blockage by de Gaulle was the moment at which the IDF understood, with absolute clarity, that the French-Israeli defense relationship that had supplied Israel’s primary combat aircraft since the mid-1950s was over.</w:t>
      </w:r>
      <w:r>
        <w:rPr>
          <w:rStyle w:val="EndnoteReference"/>
        </w:rPr>
        <w:endnoteReference w:id="44"/>
      </w:r>
    </w:p>
    <w:p>
      <w:pPr>
        <w:pStyle w:val="BodyText"/>
      </w:pPr>
      <w:r>
        <w:t xml:space="preserve">The strategic response was two-fold. On the procurement side, the IDF accelerated and deepened its turn toward American suppliers. President Johnson authorized in January 1968 the sale of the McDonnell Douglas F-4 Phantom II — the IAF would call it the Kurnass,</w:t>
      </w:r>
      <w:r>
        <w:t xml:space="preserve"> </w:t>
      </w:r>
      <w:r>
        <w:t xml:space="preserve">“</w:t>
      </w:r>
      <w:r>
        <w:t xml:space="preserve">Sledgehammer</w:t>
      </w:r>
      <w:r>
        <w:t xml:space="preserve">”</w:t>
      </w:r>
      <w:r>
        <w:t xml:space="preserve"> </w:t>
      </w:r>
      <w:r>
        <w:t xml:space="preserve">— and the first Phantoms entered Israeli service in September 1969.</w:t>
      </w:r>
      <w:r>
        <w:rPr>
          <w:rStyle w:val="EndnoteReference"/>
        </w:rPr>
        <w:endnoteReference w:id="45"/>
      </w:r>
      <w:r>
        <w:t xml:space="preserve"> </w:t>
      </w:r>
      <w:r>
        <w:t xml:space="preserve">On the industrial-policy side, the embargo catalyzed the construction of an indigenous Israeli defense industry on a scale that had not existed before. Israel Aerospace Industries (IAI) began, in 1967, a clandestine effort to reverse-engineer the Mirage 5J using technical drawings that an Israeli operative in Switzerland had obtained from a sympathetic engineer at Dassault. The result, the IAI Nesher (Eagle), made its first flight in March 1971 and entered IAF service in 1972 in time to participate in the Yom Kippur War.</w:t>
      </w:r>
      <w:r>
        <w:rPr>
          <w:rStyle w:val="EndnoteReference"/>
        </w:rPr>
        <w:endnoteReference w:id="46"/>
      </w:r>
      <w:r>
        <w:t xml:space="preserve"> </w:t>
      </w:r>
      <w:r>
        <w:t xml:space="preserve">The Nesher and its development successor, the IAI Kfir, would form the institutional foundation of the Israeli aerospace industry that would, by the early 2000s, produce the Heron and Hermes long-endurance UAVs that Chapter 9 will discuss.</w:t>
      </w:r>
    </w:p>
    <w:p>
      <w:pPr>
        <w:pStyle w:val="BodyText"/>
      </w:pPr>
      <w:r>
        <w:t xml:space="preserve">The Six-Day Triumph, the Karameh disappointment, the French embargo, and the American pivot — taken together, these four events of 1967 and 1968 reshaped the institutional environment of the IDF’s senior officer corps. The IAF and the Armored Corps emerged from the period more institutionally dominant than they had been in 1965; the SOF community emerged with a stronger sense of its operational independence, but with a continuing absence of doctrinal recognition by the senior staff. And both communities began, separately, to prepare for what each understood — correctly — would be a long war of attrition with the Soviet-armed Arab states along the new ceasefire lines.</w:t>
      </w:r>
    </w:p>
    <w:bookmarkEnd w:id="47"/>
    <w:bookmarkStart w:id="53" w:name="Xaecd679dcc2742b9b71a9d4a6de10a72481c7e7"/>
    <w:p>
      <w:pPr>
        <w:pStyle w:val="Heading2"/>
      </w:pPr>
      <w:r>
        <w:t xml:space="preserve">6.5 The War of Attrition and the SAM Crisis, 1968–1970</w:t>
      </w:r>
    </w:p>
    <w:p>
      <w:pPr>
        <w:pStyle w:val="FirstParagraph"/>
      </w:pPr>
      <w:r>
        <w:t xml:space="preserve">The War of Attrition began, in the IDF’s institutional reckoning, on July 1, 1967 — three weeks after the Six-Day War’s formal end — when Egyptian artillery opened fire on Israeli positions along the eastern bank of the Suez Canal. It would continue for nearly three years, until the U.S.-brokered ceasefire of August 7, 1970, and it would, by its end, challenge the air-armor doctrine that the Six-Day War had cemented as the operational foundation of the IDF.</w:t>
      </w:r>
      <w:r>
        <w:rPr>
          <w:rStyle w:val="EndnoteReference"/>
        </w:rPr>
        <w:endnoteReference w:id="48"/>
      </w:r>
    </w:p>
    <w:p>
      <w:pPr>
        <w:pStyle w:val="BodyText"/>
      </w:pPr>
      <w:r>
        <w:t xml:space="preserve">The challenge came from the Soviet Union. After June 1967, the Soviet leadership under Leonid Brezhnev concluded — as Dima Adamsky has documented in detail — that the destruction of two Soviet-armed client militaries (Egypt and Syria) in six days could not be allowed to stand, and that the Soviet investment in those militaries had to be both recovered and dramatically expanded.</w:t>
      </w:r>
      <w:r>
        <w:rPr>
          <w:rStyle w:val="EndnoteReference"/>
        </w:rPr>
        <w:endnoteReference w:id="49"/>
      </w:r>
      <w:r>
        <w:t xml:space="preserve"> </w:t>
      </w:r>
      <w:r>
        <w:t xml:space="preserve">Between 1968 and 1970, the Soviet Union deployed to Egypt and Syria what was, in scale and sophistication, the most significant Soviet expeditionary effort outside the Warsaw Pact in the Cold War. Soviet advisors entered Egyptian and Syrian air-defense units in numbers approaching ten thousand. Soviet pilots flew operational missions against Israeli aircraft in Egyptian skies. And, most consequentially for the doctrinal future of Middle Eastern warfare, the Soviets supplied the Egyptian and Syrian militaries with the new generation of integrated air-defense systems that had emerged from Soviet doctrinal evolution in response to the American air war over North Vietnam.</w:t>
      </w:r>
    </w:p>
    <w:p>
      <w:pPr>
        <w:pStyle w:val="BodyText"/>
      </w:pPr>
      <w:r>
        <w:t xml:space="preserve">The Soviet-supplied Integrated Air Defense System (IADS) that the Egyptian and Syrian air-defense corps assembled across the Suez Canal and the Golan armistice lines in 1969–1970 consisted of three principal categories of weapon, deployed in overlapping engagement envelopes. The fixed long-range SA-2 Guideline and medium-range SA-3 Goa surface-to-air missile systems — semi-mobile, electronically-guided, capable of engaging Israeli aircraft at altitudes up to twenty thousand meters — provided the engagement layer that forced Israeli pilots to operate at low altitude. The mobile SA-6 Gainful surface-to-air missile system — the first generation of mobile Soviet SAMs, equipped with continuous-wave radar guidance that the IAF’s existing electronic countermeasures had no defense against — provided the low-and-medium altitude engagement layer that closed the envelope underneath the SA-2 and SA-3 systems. And the ZSU-23/4 Shilka — a radar-directed quad-mounted twenty-three-millimeter anti-aircraft gun, mounted on a tracked armored vehicle for mobility — provided the very-low-altitude engagement layer that punished aircraft attempting to dive beneath the SAM coverage.</w:t>
      </w:r>
      <w:r>
        <w:rPr>
          <w:rStyle w:val="EndnoteReference"/>
        </w:rPr>
        <w:endnoteReference w:id="50"/>
      </w:r>
    </w:p>
    <w:p>
      <w:pPr>
        <w:pStyle w:val="BodyText"/>
      </w:pPr>
      <w:r>
        <w:t xml:space="preserve">The combined effect of the three-layer Soviet IADS was to deny the IAF — for the first time since the Six-Day War — the operational freedom of the airspace it had taken for granted. Through the spring and summer of 1969, the IAF carried out deep-penetration strikes against Egyptian targets in the Nile Delta and against Syrian air-defense installations in the Golan vicinity, and in those operations the IAF lost a sustained trickle of aircraft to the new Soviet systems. The losses, in absolute terms, were not large by the standards of conventional air war — over the full course of the War of Attrition, the IAF lost approximately twenty-five aircraft to enemy fire — but they were sustained, they were unprecedented, and they revealed a doctrinal problem the IDF had not previously encountered: an Arab air-defense system that could, when properly deployed, force the IAF to accept casualties that conventional Israeli strategic calculations had not anticipated.</w:t>
      </w:r>
      <w:r>
        <w:rPr>
          <w:rStyle w:val="EndnoteReference"/>
        </w:rPr>
        <w:endnoteReference w:id="51"/>
      </w:r>
    </w:p>
    <w:p>
      <w:pPr>
        <w:pStyle w:val="BodyText"/>
      </w:pPr>
      <w:r>
        <w:t xml:space="preserve">The crisis came to a head in the summer of 1970. Between April and July of that year, the Soviet expeditionary effort in Egypt reached its operational peak. Soviet-piloted MiG-21s flew combat-air-patrol missions over the western bank of the Canal. Soviet-crewed SA-3 batteries engaged Israeli aircraft over the canal and the Sinai. And Soviet-operated electronic-warfare units established what the IAF’s pilots would call, in the after-action language of the period, Ha-Kayitz Ha-Elektroni —</w:t>
      </w:r>
      <w:r>
        <w:t xml:space="preserve"> </w:t>
      </w:r>
      <w:r>
        <w:t xml:space="preserve">“</w:t>
      </w:r>
      <w:r>
        <w:t xml:space="preserve">the Electronic Summer.</w:t>
      </w:r>
      <w:r>
        <w:t xml:space="preserve">”</w:t>
      </w:r>
      <w:r>
        <w:rPr>
          <w:rStyle w:val="EndnoteReference"/>
        </w:rPr>
        <w:endnoteReference w:id="52"/>
      </w:r>
      <w:r>
        <w:t xml:space="preserve"> </w:t>
      </w:r>
      <w:r>
        <w:t xml:space="preserve">In late June 1970, an Israeli F-4 Phantom was shot down by a Soviet-operated SA-3 over the Egyptian side of the Canal. Both crew members were killed. The IAF understood that the Soviet expeditionary force had crossed an operational threshold that, if not answered, would establish a precedent for Soviet engagement against IAF aircraft on the Sinai side of the Canal as well.</w:t>
      </w:r>
    </w:p>
    <w:p>
      <w:pPr>
        <w:pStyle w:val="BodyText"/>
      </w:pPr>
      <w:r>
        <w:t xml:space="preserve">The Israeli answer was Operation Rimon 20.</w:t>
      </w:r>
    </w:p>
    <w:bookmarkEnd w:id="53"/>
    <w:bookmarkStart w:id="56" w:name="X721b282ec4db5de539977d120a32dde917a00f2"/>
    <w:p>
      <w:pPr>
        <w:pStyle w:val="Heading2"/>
      </w:pPr>
      <w:r>
        <w:t xml:space="preserve">6.6 Operation Rimon 20 and the Cost of Air Dominance, July 1970</w:t>
      </w:r>
    </w:p>
    <w:p>
      <w:pPr>
        <w:pStyle w:val="FirstParagraph"/>
      </w:pPr>
      <w:r>
        <w:t xml:space="preserve">On the morning of July 30, 1970, the IAF’s 113th Squadron (the</w:t>
      </w:r>
      <w:r>
        <w:t xml:space="preserve"> </w:t>
      </w:r>
      <w:r>
        <w:t xml:space="preserve">“</w:t>
      </w:r>
      <w:r>
        <w:t xml:space="preserve">Hornets,</w:t>
      </w:r>
      <w:r>
        <w:t xml:space="preserve">”</w:t>
      </w:r>
      <w:r>
        <w:t xml:space="preserve"> </w:t>
      </w:r>
      <w:r>
        <w:t xml:space="preserve">flying Mirage IIICJs) and the 119th Squadron (the</w:t>
      </w:r>
      <w:r>
        <w:t xml:space="preserve"> </w:t>
      </w:r>
      <w:r>
        <w:t xml:space="preserve">“</w:t>
      </w:r>
      <w:r>
        <w:t xml:space="preserve">Bat,</w:t>
      </w:r>
      <w:r>
        <w:t xml:space="preserve">”</w:t>
      </w:r>
      <w:r>
        <w:t xml:space="preserve"> </w:t>
      </w:r>
      <w:r>
        <w:t xml:space="preserve">flying F-4 Phantoms) executed what the IAF’s operational doctrine would later call Ma’arav Tilim — an aerial ambush — against the Soviet MiG-21 force that had been operating combat air patrols over the Canal zone.</w:t>
      </w:r>
      <w:r>
        <w:rPr>
          <w:rStyle w:val="EndnoteReference"/>
        </w:rPr>
        <w:endnoteReference w:id="54"/>
      </w:r>
      <w:r>
        <w:t xml:space="preserve"> </w:t>
      </w:r>
      <w:r>
        <w:t xml:space="preserve">The operation, designed and approved at the chief-of-staff level under Major General Mordechai Hod (IAF commander) and Lieutenant General Haim Bar-Lev (COGS), used a deception package designed to lure the Soviet patrols into a position where Israeli interceptors held the tactical advantage.</w:t>
      </w:r>
    </w:p>
    <w:p>
      <w:pPr>
        <w:pStyle w:val="BodyText"/>
      </w:pPr>
      <w:r>
        <w:t xml:space="preserve">The deception package consisted of a small flight of slow-moving A-4 Skyhawks operating at the altitude and on the flight profile that the Soviets had come to associate with Israeli reconnaissance missions. Behind the Skyhawks, screened from Soviet radar by the Sinai mountain terrain and by careful flight discipline, eight Mirage IIICJs and four F-4 Phantoms held in ambush positions. When the Soviet MiG-21s — a flight of approximately twelve aircraft, vectored by Egyptian ground control to engage what they believed was the Israeli reconnaissance flight — entered the engagement zone, the Israeli ambush sprang. In an engagement that lasted approximately ten minutes, the Israeli pilots — including Iftach Spector flying one of the Mirages, the same Iftach Spector who would, four years later, become one of Muki Betser’s key allies in the IAF for the construction of Shaldag — shot down five Soviet-piloted MiG-21s without Israeli losses. Three Soviet pilots were killed; the other two ejected and were recovered by Egyptian search teams.</w:t>
      </w:r>
      <w:r>
        <w:rPr>
          <w:rStyle w:val="EndnoteReference"/>
        </w:rPr>
        <w:endnoteReference w:id="55"/>
      </w:r>
    </w:p>
    <w:p>
      <w:pPr>
        <w:pStyle w:val="BodyText"/>
      </w:pPr>
      <w:r>
        <w:t xml:space="preserve">The strategic effect of Rimon 20 was disproportionate to its tactical scale. Within seventy-two hours of the engagement, the Soviet General Staff suspended Soviet pilot operations over the Canal zone. Within four weeks, the U.S.-brokered ceasefire of August 7, 1970, had ended the War of Attrition’s most intensive phase. The IAF had demonstrated, in five minutes of combat against Soviet pilots, that the Soviet expeditionary effort in Egypt had reached the political ceiling beyond which Moscow was unwilling to escalate. The Soviet IADS infrastructure, however, remained in place — and through the three years between the August 1970 ceasefire and the October 1973 war, that infrastructure would expand, deepen, and adapt in ways that the IDF’s senior officer corps would, by 1973, no longer be in a position to grasp.</w:t>
      </w:r>
    </w:p>
    <w:p>
      <w:pPr>
        <w:pStyle w:val="BodyText"/>
      </w:pPr>
      <w:r>
        <w:t xml:space="preserve">Two doctrinal lessons emerged from the War of Attrition, and both were important for the SOF story this chapter is tracing.</w:t>
      </w:r>
    </w:p>
    <w:p>
      <w:pPr>
        <w:pStyle w:val="BodyText"/>
      </w:pPr>
      <w:r>
        <w:t xml:space="preserve">The first was that the IAF could no longer assume unchallenged operational freedom in the airspace immediately above the front lines of any future war with Egypt or Syria. The Soviet IADS, in the hands of properly trained operators and under conditions of operational surprise, could degrade IAF mission effectiveness in ways that the IDF’s planning literature was not yet equipped to acknowledge. This lesson — which would, in October 1973, be confirmed in the harshest possible way — was understood at the operational level by the IAF’s pilots and air-defense intelligence staff but was systematically dismissed at the political-doctrinal level by the senior officer corps. The reasons were institutional and cultural; we will return to them in §6.10 when we discuss the pre-war doctrinal blindness of the summer of 1973.</w:t>
      </w:r>
    </w:p>
    <w:p>
      <w:pPr>
        <w:pStyle w:val="BodyText"/>
      </w:pPr>
      <w:r>
        <w:t xml:space="preserve">The second lesson, less prominent in the public memory of the period but more consequential for the entrepreneur story this book is telling, was that the destruction of the Soviet IADS would, in any future war, require a class of ground operation that the IDF did not yet possess. The IAF could degrade SAM sites by air strike, but only at high cost in pilots and airframes. The Armored Corps could destroy SAM sites by ground penetration, but only after a costly canal or armistice-line breakthrough. What was needed — what the IAF’s operations directorate began, after Rimon 20, to discuss in increasingly explicit terms — was a small, specialized, deep-insertion ground force that could deliver precision designation of mobile SAM targets for IAF stand-off strike. That force did not exist in 1970. It would not exist in 1973, when the SAMs broke the IAF’s back on the war’s first days. It would be created, in the post-1973 entrepreneurial moment that Chapter 7 has already described, by Muki Betser as Shaldag.</w:t>
      </w:r>
    </w:p>
    <w:p>
      <w:pPr>
        <w:pStyle w:val="BodyText"/>
      </w:pPr>
      <w:r>
        <w:t xml:space="preserve">The doctrinal seed of Betser’s 1974 vision was planted in the operational lessons of the Electronic Summer of 1970. The fact that the seed lay dormant for three years, ignored by the senior officer corps in the period between the War of Attrition’s end and the Yom Kippur War’s beginning, is one of the costs the IDF paid for the doctrinal confidence the Six-Day Triumph had bred.</w:t>
      </w:r>
    </w:p>
    <w:bookmarkEnd w:id="56"/>
    <w:bookmarkStart w:id="62" w:name="X6ab96e540d2256141ae4679a0e8b38546aaf818"/>
    <w:p>
      <w:pPr>
        <w:pStyle w:val="Heading2"/>
      </w:pPr>
      <w:r>
        <w:t xml:space="preserve">6.7 Shayetet 13 Under Almog and the Founding of the Pugashim, 1968–1969</w:t>
      </w:r>
    </w:p>
    <w:p>
      <w:pPr>
        <w:pStyle w:val="FirstParagraph"/>
      </w:pPr>
      <w:r>
        <w:t xml:space="preserve">While the IAF was building toward the air-defense crisis I described in §6.4 and §6.5, and while Sayeret Matkal was building the operational reputation that would carry it through Karameh and into Beirut Airport, Israel’s third premier SOF — Shayetet 13, the naval commandos — was passing through what was, in retrospect, the most consequential institutional transformation of its history.</w:t>
      </w:r>
      <w:r>
        <w:rPr>
          <w:rStyle w:val="EndnoteReference"/>
        </w:rPr>
        <w:endnoteReference w:id="57"/>
      </w:r>
    </w:p>
    <w:p>
      <w:pPr>
        <w:pStyle w:val="BodyText"/>
      </w:pPr>
      <w:r>
        <w:t xml:space="preserve">Shayetet 13 had emerged from the Six-Day War with a damaged reputation. The unit’s operations during the war had been limited in number and uneven in execution. The attempt to penetrate Alexandria harbor on June 6, 1967, had ended without inflicting significant damage on Egyptian naval assets. The unit’s small force — approximately thirty operators in mid-1967, organized around a doctrine of underwater attack derived from the Italian Decima Flottiglia MAS of World War II — was treated, in the IDF’s senior staff’s reckoning, as a peripheral specialty asset whose post-1967 operational role was unclear. The unit’s institutional survival was, in 1967 and into 1968, an open question within the Naval Command.</w:t>
      </w:r>
      <w:r>
        <w:rPr>
          <w:rStyle w:val="EndnoteReference"/>
        </w:rPr>
        <w:endnoteReference w:id="58"/>
      </w:r>
    </w:p>
    <w:p>
      <w:pPr>
        <w:pStyle w:val="BodyText"/>
      </w:pPr>
      <w:r>
        <w:t xml:space="preserve">The man who would reverse this trajectory was Lieutenant Colonel Zeev Almog. Almog, born in 1935 in Haifa to a religious family that did not fit the secular-Palmach institutional culture of Shayetet 13, had enlisted in the unit in 1954 and had served through the 1956 Sinai War. He was, by the assessment of his contemporaries, strict, opinionated, and difficult — and his early career had been marked by frequent clashes with peers who described him as arrogant and questioned his soldiering skills. He had been transferred out of Shayetet 13 to the missile-boat flotilla in the early 1960s, and he was, by 1967, a senior naval officer with a reputation as an organizational thinker rather than as a combat operator. When the departing commander of Shayetet 13, Dov Shafir, conveyed to Major General Shlomo Arel — Commander-in-Chief of the Navy — the recommendation that Almog be appointed to command of the troubled unit, the appointment surprised the unit’s officer corps. Arel approved it, despite the institutional resistance, precisely because what the unit needed was not another decorated combat veteran but an organizational reformer.</w:t>
      </w:r>
      <w:r>
        <w:rPr>
          <w:rStyle w:val="EndnoteReference"/>
        </w:rPr>
        <w:endnoteReference w:id="59"/>
      </w:r>
    </w:p>
    <w:p>
      <w:pPr>
        <w:pStyle w:val="BodyText"/>
      </w:pPr>
      <w:r>
        <w:t xml:space="preserve">Almog assumed command in 1968 with a strategic plan that was, in its operational logic, the inverse of the unit’s prewar identity. The Shayetet had been built around underwater attack on enemy naval assets. Almog repositioned the unit, between 1968 and 1969, around what he called the</w:t>
      </w:r>
      <w:r>
        <w:t xml:space="preserve"> </w:t>
      </w:r>
      <w:r>
        <w:t xml:space="preserve">“</w:t>
      </w:r>
      <w:r>
        <w:t xml:space="preserve">one-stop shop</w:t>
      </w:r>
      <w:r>
        <w:t xml:space="preserve">”</w:t>
      </w:r>
      <w:r>
        <w:t xml:space="preserve"> </w:t>
      </w:r>
      <w:r>
        <w:t xml:space="preserve">model: Shayetet 13 would not merely assist infantry units in crossing water barriers but would become the IDF’s premier provider of sea-to-land incursion capability, executing the full kill chain from maritime insertion through ground assault to maritime extraction without dependence on other units. This was a doctrinal expansion. It required turning the unit’s operators — divers and frogmen by training — into skilled infantry capable of fighting on land at the small-unit tactical level.</w:t>
      </w:r>
      <w:r>
        <w:rPr>
          <w:rStyle w:val="EndnoteReference"/>
        </w:rPr>
        <w:endnoteReference w:id="60"/>
      </w:r>
    </w:p>
    <w:p>
      <w:pPr>
        <w:pStyle w:val="BodyText"/>
      </w:pPr>
      <w:r>
        <w:t xml:space="preserve">The institutional vehicle of this transformation was the founding, in late 1968 and early 1969, of what the unit called the Pugashim (</w:t>
      </w:r>
      <w:r>
        <w:t xml:space="preserve">“</w:t>
      </w:r>
      <w:r>
        <w:t xml:space="preserve">raiders,</w:t>
      </w:r>
      <w:r>
        <w:t xml:space="preserve">”</w:t>
      </w:r>
      <w:r>
        <w:t xml:space="preserve"> </w:t>
      </w:r>
      <w:r>
        <w:t xml:space="preserve">literally</w:t>
      </w:r>
      <w:r>
        <w:t xml:space="preserve"> </w:t>
      </w:r>
      <w:r>
        <w:t xml:space="preserve">“</w:t>
      </w:r>
      <w:r>
        <w:t xml:space="preserve">those who clash</w:t>
      </w:r>
      <w:r>
        <w:t xml:space="preserve">”</w:t>
      </w:r>
      <w:r>
        <w:t xml:space="preserve">) platoon — the dedicated raid-platoon that would carry the new sea-to-land doctrine. To staff and train the platoon, Almog negotiated a reciprocal training arrangement with Lieutenant Colonel Uzi Yairi, then commander of Sayeret Matkal, who had become Almog’s personal friend through their shared interest in operational reform. Under the arrangement, Yossi Kaplan — Sayeret Matkal’s chief instructor — ran the Shayetet’s new infantry-tactics qualification course for the Pugashim operators, while the Shayetet reciprocated by upgrading the swimming and rowing skills of Sayeret Matkal’s teams. The exchange was, in the operational economy of the late-1960s IDF, an extraordinary act of inter-unit cooperation, between two units whose institutional cultures had previously been mutually suspicious.</w:t>
      </w:r>
      <w:r>
        <w:rPr>
          <w:rStyle w:val="EndnoteReference"/>
        </w:rPr>
        <w:endnoteReference w:id="61"/>
      </w:r>
    </w:p>
    <w:p>
      <w:pPr>
        <w:pStyle w:val="BodyText"/>
      </w:pPr>
      <w:r>
        <w:t xml:space="preserve">The friendship between Almog and Yairi mattered beyond the training exchange. It was the social-capital foundation of an operational alliance between Shayetet 13 and Sayeret Matkal that would, between 1969 and 1973, produce a series of joint operations the IDF had not previously been able to mount — operations that combined the maritime insertion-and-extraction capability of the Shayetet with the small-unit raid capability of the Matkal in a single integrated kill chain. The first of those operations, and the one that would establish the alliance’s operational reputation at the strategic level, was Operation Bulmus 6: the raid on the Egyptian fortified position on Green Island in the northern Gulf of Suez, executed on the night of 19–20 July 1969.</w:t>
      </w:r>
    </w:p>
    <w:bookmarkEnd w:id="62"/>
    <w:bookmarkStart w:id="69" w:name="green-island-july-1920-1969"/>
    <w:p>
      <w:pPr>
        <w:pStyle w:val="Heading2"/>
      </w:pPr>
      <w:r>
        <w:t xml:space="preserve">6.8 Green Island, July 19–20, 1969</w:t>
      </w:r>
    </w:p>
    <w:p>
      <w:pPr>
        <w:pStyle w:val="FirstParagraph"/>
      </w:pPr>
      <w:r>
        <w:t xml:space="preserve">The Green Island raid — Mivtsa Bulmus 6 in the IDF’s operational nomenclature — was, in its own immediate aftermath, the most celebrated SOF operation in the IDF’s history to that point. It was also, in retrospect, the operation in which the Shayetet–Matkal alliance Almog and Yairi had built during the preceding year demonstrated its operational worth to the General Staff, and the operation in which the doctrine of integrated sea-to-land assault that would carry the IDF through to Spring of Youth four years later was first proven under combat conditions.</w:t>
      </w:r>
      <w:r>
        <w:rPr>
          <w:rStyle w:val="EndnoteReference"/>
        </w:rPr>
        <w:endnoteReference w:id="63"/>
      </w:r>
    </w:p>
    <w:p>
      <w:pPr>
        <w:pStyle w:val="BodyText"/>
      </w:pPr>
      <w:r>
        <w:t xml:space="preserve">The target was an artificial island the Egyptian Navy had constructed in the early 1960s in the northern Gulf of Suez, 2.5 kilometers south of the city of Suez and across from the Israeli positions at Port Tawfiq. The island — 145 meters long and 68 meters at its maximum width, with a 45-meter bridge connecting it to a rounded outer structure — housed what Israeli intelligence assessed as a forward radar installation for the Egyptian air-defense network covering the northern Gulf, supported by anti-aircraft guns (85mm and 37mm), fourteen machine guns, and a garrison of approximately eighty to one hundred Egyptian troops, including an Egyptian commando element assigned to the island’s defense.</w:t>
      </w:r>
      <w:r>
        <w:rPr>
          <w:rStyle w:val="EndnoteReference"/>
        </w:rPr>
        <w:endnoteReference w:id="64"/>
      </w:r>
      <w:r>
        <w:t xml:space="preserve"> </w:t>
      </w:r>
      <w:r>
        <w:t xml:space="preserve">The operational pretext for the raid was a recent Egyptian commando attack on an Israeli armored camp at Port Tawfiq — 2.8 miles northeast of the island — in which seven Israeli armored corps soldiers had been killed. The Israeli Cabinet authorized a punitive raid intended to demonstrate that even the most heavily defended Egyptian positions in the canal zone were within IDF reach.</w:t>
      </w:r>
    </w:p>
    <w:p>
      <w:pPr>
        <w:pStyle w:val="BodyText"/>
      </w:pPr>
      <w:r>
        <w:t xml:space="preserve">The operational architecture, which Almog designed personally and commanded from the Israeli mainland by radio through the night of the operation, was the integrated sea-to-land assault the Shayetet–Matkal alliance had been training toward. Approximately forty operators participated. The Shayetet’s element — twenty operators including the Pugashim platoon’s first combat deployment — swam and dove the approach to the island from approximately one and a half kilometers offshore, carrying weapons and demolition charges in waterproof packs. The Sayeret Matkal element — twenty operators in a second wave — approached the island in rubber Zodiac boats and landed at the bridge. The two elements converged on the central fortified structure under heavy Egyptian fire. Among the ground commanders coordinating the assault was then-Brigadier General Rafael</w:t>
      </w:r>
      <w:r>
        <w:t xml:space="preserve"> </w:t>
      </w:r>
      <w:r>
        <w:t xml:space="preserve">“</w:t>
      </w:r>
      <w:r>
        <w:t xml:space="preserve">Raful</w:t>
      </w:r>
      <w:r>
        <w:t xml:space="preserve">”</w:t>
      </w:r>
      <w:r>
        <w:t xml:space="preserve"> </w:t>
      </w:r>
      <w:r>
        <w:t xml:space="preserve">Eitan, who, as Chief Infantry and Paratroopers Officer, had participated in the operation’s planning and who, during the execution, sat in a rubber boat at the foot of the fortress observing the engagement.</w:t>
      </w:r>
      <w:r>
        <w:rPr>
          <w:rStyle w:val="EndnoteReference"/>
        </w:rPr>
        <w:endnoteReference w:id="65"/>
      </w:r>
    </w:p>
    <w:p>
      <w:pPr>
        <w:pStyle w:val="BodyText"/>
      </w:pPr>
      <w:r>
        <w:t xml:space="preserve">The combat on the island lasted approximately one hour. Israeli operators destroyed the central radar installation — which post-operation inspection revealed to have been a non-functional dummy — and detonated approximately eighty kilograms of explosives in the northern part of the structure. Six Israeli operators were killed in the engagement: three from Sayeret Matkal and three from Shayetet 13. Ten Israeli operators were wounded, including Captain Ami Ayalon, the future commander of Shayetet 13 (1979–1981) and future director of the Shin Bet (1996–2000), who was severely wounded and who would receive the Ot HaGevurah — the Medal of Valor, Israel’s highest decoration — for his conduct during the engagement. Captain Gil Lavi received the Ot HaOz (Medal of Courage); operators Ilan Agozi, Dov Bar, Gadi Carol, and Zeli Roth received the Ot HaMofet (Medal of Distinguished Service). The Egyptian garrison’s losses, per the IDF’s after-action assessment, were approximately seventy to eighty dead, with most of the survivors wounded.</w:t>
      </w:r>
      <w:r>
        <w:rPr>
          <w:rStyle w:val="EndnoteReference"/>
        </w:rPr>
        <w:endnoteReference w:id="66"/>
      </w:r>
    </w:p>
    <w:p>
      <w:pPr>
        <w:pStyle w:val="BodyText"/>
      </w:pPr>
      <w:r>
        <w:t xml:space="preserve">The strategic effect of Bulmus 6 ran in two directions, and the book has to take both seriously.</w:t>
      </w:r>
    </w:p>
    <w:p>
      <w:pPr>
        <w:pStyle w:val="BodyText"/>
      </w:pPr>
      <w:r>
        <w:t xml:space="preserve">Inside the IDF, the operation transformed the institutional standing of Shayetet 13 and validated the Shayetet–Matkal alliance. As Raful would later write in his memoirs,</w:t>
      </w:r>
      <w:r>
        <w:t xml:space="preserve"> </w:t>
      </w:r>
      <w:r>
        <w:t xml:space="preserve">“</w:t>
      </w:r>
      <w:r>
        <w:t xml:space="preserve">the execution of the raid on Green Island was extraordinary in its unusual success… in this operation the IDF achieved an important non-momentary achievement… we paved the way to a new fighting method that increased our confidence… the Egyptians, in their worst nightmares, did not dream of an audacious operation of this type.</w:t>
      </w:r>
      <w:r>
        <w:t xml:space="preserve">”</w:t>
      </w:r>
      <w:r>
        <w:t xml:space="preserve"> </w:t>
      </w:r>
      <w:r>
        <w:t xml:space="preserve">The General Staff’s confidence in the operational capability of the combined SOF community — what the IDF would, in later doctrinal language, call the kfar ha-yechidot (the village of units) — rose with the operation’s success. The Shayetet, by year’s end 1969, was no longer a peripheral specialty asset whose survival was in question. It was, alongside Sayeret Matkal, one of the IDF’s premier instruments for strategic operations.</w:t>
      </w:r>
      <w:r>
        <w:rPr>
          <w:rStyle w:val="EndnoteReference"/>
        </w:rPr>
        <w:endnoteReference w:id="67"/>
      </w:r>
    </w:p>
    <w:p>
      <w:pPr>
        <w:pStyle w:val="BodyText"/>
      </w:pPr>
      <w:r>
        <w:t xml:space="preserve">Inside the Egyptian command, the operation registered as a strategic shock. Dr. Mustafa Kabha’s later research in the Egyptian-language sources documents that Egyptian military analysts identified Green Island as the turning point of the War of Attrition — as the moment when the operational initiative on the canal front passed from Egyptian hands into Israeli hands. The Egyptian official account, predictably, presented the engagement as a successful defense in which the Egyptian garrison had prevented the Israeli raid; but the analytical Egyptian retrospective, in Kabha’s reconstruction, treats Bulmus 6 as the inflection point at which the Egyptian military’s strategic confidence in the post-1967 reconstruction was broken.</w:t>
      </w:r>
      <w:r>
        <w:rPr>
          <w:rStyle w:val="EndnoteReference"/>
        </w:rPr>
        <w:endnoteReference w:id="68"/>
      </w:r>
    </w:p>
    <w:p>
      <w:pPr>
        <w:pStyle w:val="BodyText"/>
      </w:pPr>
      <w:r>
        <w:t xml:space="preserve">For the chapter’s argument, Bulmus 6 has two functions. It is the operation in which Shayetet 13 emerged as Israel’s third premier SOF unit — the operational counterpart, in the maritime dimension, of Sayeret Matkal in the ground dimension and (after 1974) of Shaldag in the air-ground precision-strike dimension. And it is the operation that established the inter-unit operational alliance — the Shayetet–Matkal cooperation — that would be the institutional template for every subsequent multi-service Israeli SOF operation through to the present, from Spring of Youth in 1973 to the Bole International Airport security operation during Operation Solomon in 1991 to the maritime-insertion components of the post-October 7 operations in Gaza and on the Lebanese coast.</w:t>
      </w:r>
    </w:p>
    <w:bookmarkEnd w:id="69"/>
    <w:bookmarkStart w:id="74" w:name="the-beirut-airport-raid-december-28-1968"/>
    <w:p>
      <w:pPr>
        <w:pStyle w:val="Heading2"/>
      </w:pPr>
      <w:r>
        <w:t xml:space="preserve">6.9 The Beirut Airport Raid, December 28, 1968</w:t>
      </w:r>
    </w:p>
    <w:p>
      <w:pPr>
        <w:pStyle w:val="FirstParagraph"/>
      </w:pPr>
      <w:r>
        <w:t xml:space="preserve">On the evening of Wednesday, December 25, 1968 — Christmas Eve — two operators of the Popular Front for the Liberation of Palestine attacked an El Al Boeing 707 at Athens Airport with a hand grenade and a sub-machine gun as the aircraft was preparing for its return flight to Tel Aviv. One Israeli passenger, Leon Schorr, a mechanic, was killed. The attackers were captured by Greek police. The attack itself, in operational terms, had been small. But the political consequence — the demonstration that PFLP operators based in Lebanon could now reach Israeli civilian aircraft at European airports — was, in the IDF’s senior staff’s reckoning, the threshold the new Palestinian armed organizations had been moving toward since 1967.</w:t>
      </w:r>
      <w:r>
        <w:rPr>
          <w:rStyle w:val="EndnoteReference"/>
        </w:rPr>
        <w:endnoteReference w:id="70"/>
      </w:r>
    </w:p>
    <w:p>
      <w:pPr>
        <w:pStyle w:val="BodyText"/>
      </w:pPr>
      <w:r>
        <w:t xml:space="preserve">Three days later, on the night of December 28, 1968, the IDF’s response was carried out. The operation, codename Mivtsa Tshura —</w:t>
      </w:r>
      <w:r>
        <w:t xml:space="preserve"> </w:t>
      </w:r>
      <w:r>
        <w:t xml:space="preserve">“</w:t>
      </w:r>
      <w:r>
        <w:t xml:space="preserve">Operation Gift</w:t>
      </w:r>
      <w:r>
        <w:t xml:space="preserve">”</w:t>
      </w:r>
      <w:r>
        <w:t xml:space="preserve"> </w:t>
      </w:r>
      <w:r>
        <w:t xml:space="preserve">— was the first major operational use of the Aérospatiale SA 321 Super Frelon helicopters the IAF had acquired from France in 1966.</w:t>
      </w:r>
      <w:r>
        <w:rPr>
          <w:rStyle w:val="EndnoteReference"/>
        </w:rPr>
        <w:endnoteReference w:id="71"/>
      </w:r>
      <w:r>
        <w:t xml:space="preserve"> </w:t>
      </w:r>
      <w:r>
        <w:t xml:space="preserve">At approximately nine o’clock on a Saturday night, three Super Frelons carrying paratroopers and Sayeret Tzanchanim operators under the command of Brigadier General Rafael</w:t>
      </w:r>
      <w:r>
        <w:t xml:space="preserve"> </w:t>
      </w:r>
      <w:r>
        <w:t xml:space="preserve">“</w:t>
      </w:r>
      <w:r>
        <w:t xml:space="preserve">Raful</w:t>
      </w:r>
      <w:r>
        <w:t xml:space="preserve">”</w:t>
      </w:r>
      <w:r>
        <w:t xml:space="preserve"> </w:t>
      </w:r>
      <w:r>
        <w:t xml:space="preserve">Eitan crossed the Lebanese border at low altitude and made for Beirut International Airport. A fourth helicopter carried a small Sayeret Matkal element under Captain Uzi Yairi.</w:t>
      </w:r>
    </w:p>
    <w:p>
      <w:pPr>
        <w:pStyle w:val="BodyText"/>
      </w:pPr>
      <w:r>
        <w:t xml:space="preserve">The operation that followed was, in its conception and execution, what military theorists would later call a precision punitive raid. The IDF had no intention of inflicting casualties on Lebanese civilians or Lebanese military personnel. The objective was to demolish, on the ground, the civilian aircraft of three Arab airlines that the IDF held as proxies for the Lebanese government’s tolerance of PFLP operations on Lebanese soil: Middle East Airlines, Trans-Mediterranean Airways, and Lebanese International Airways. Over the course of approximately fifty minutes on the tarmac at Beirut International — between the helicopters’ touchdown and their extraction — Raful’s operators rounded up the airport’s civilian staff and passengers, escorted them to safety, and placed demolition charges on fourteen aircraft. The charges were detonated in sequence as the operators withdrew. Fourteen civilian aircraft — at the time, roughly half of the Lebanese civil aviation fleet — were destroyed. No Lebanese, Palestinian, or Israeli casualties were inflicted.</w:t>
      </w:r>
      <w:r>
        <w:rPr>
          <w:rStyle w:val="EndnoteReference"/>
        </w:rPr>
        <w:endnoteReference w:id="72"/>
      </w:r>
    </w:p>
    <w:p>
      <w:pPr>
        <w:pStyle w:val="BodyText"/>
      </w:pPr>
      <w:r>
        <w:t xml:space="preserve">The operational significance of the Beirut Airport raid was twofold. The first significance was political: the demonstration that the IDF would treat the Lebanese state as accountable for the activities of armed organizations operating from its territory established a doctrine of state-attribution that would, over the next four decades, define Israeli policy toward Lebanon and toward the third-party-state harboring of armed non-state actors more broadly. The second significance was institutional: the raid demonstrated, in a single night, the operational depth that the IAF’s Super Frelon platform had given Israeli SOFs since 1966. Before December 1968, the IAF’s helicopter inventory had been used principally for medical evacuation, troop transport over short distances, and reconnaissance. After December 1968, the Super Frelon — and by 1971 its replacement, the larger Sikorsky CH-53 Sea Stallion that the IAF would call Yas’ur — became the platform of choice for SOF insertion at strategic depth. The operational model the IDF would use at Spring of Youth in April 1973, at Entebbe in July 1976, at the Bole International Airport during Operation Solomon in May 1991, and on the morning of October 7, 2023 in the Gaza envelope — all derive, in their operational architecture, from the Beirut Airport precedent of December 1968.</w:t>
      </w:r>
      <w:r>
        <w:rPr>
          <w:rStyle w:val="EndnoteReference"/>
        </w:rPr>
        <w:endnoteReference w:id="73"/>
      </w:r>
    </w:p>
    <w:p>
      <w:pPr>
        <w:pStyle w:val="BodyText"/>
      </w:pPr>
      <w:r>
        <w:t xml:space="preserve">For Sayeret Matkal specifically, the Beirut Airport raid established what would become the unit’s institutional brand. Until December 1968, Sayeret Matkal had been an internal-AMAN asset, known to a small circle of senior officers, with no public reputation. After Beirut, the unit — though still not publicly named in the Israeli press, which would refer to it only as</w:t>
      </w:r>
      <w:r>
        <w:t xml:space="preserve"> </w:t>
      </w:r>
      <w:r>
        <w:t xml:space="preserve">“</w:t>
      </w:r>
      <w:r>
        <w:t xml:space="preserve">an IDF unit</w:t>
      </w:r>
      <w:r>
        <w:t xml:space="preserve">”</w:t>
      </w:r>
      <w:r>
        <w:t xml:space="preserve"> </w:t>
      </w:r>
      <w:r>
        <w:t xml:space="preserve">through the mid-1970s — was understood, within the security establishment and increasingly within the political class, as the IDF’s premier ground SOF for what would soon be called counterterrorism operations. The institutional confidence the raid created in the Sayeret Matkal officer corps would shape the unit’s culture through the next five years. It would also, as we will see in §6.10, contribute to a doctrinal blindness of its own.</w:t>
      </w:r>
    </w:p>
    <w:bookmarkEnd w:id="74"/>
    <w:bookmarkStart w:id="80" w:name="X47f854039844e61748b6d3e55c31b4cf5049978"/>
    <w:p>
      <w:pPr>
        <w:pStyle w:val="Heading2"/>
      </w:pPr>
      <w:r>
        <w:t xml:space="preserve">6.10 Arnan’s MM Division and the Strategic Eavesdropping Enterprise</w:t>
      </w:r>
    </w:p>
    <w:p>
      <w:pPr>
        <w:pStyle w:val="FirstParagraph"/>
      </w:pPr>
      <w:r>
        <w:t xml:space="preserve">While the IAF and Armored Corps were building toward the conventional posture I described in §6.3, and while Sayeret Matkal was building its operational reputation through Karameh, Beirut Airport, and the operations that would follow, Avraham Arnan — the man who had founded Sayeret Matkal in 1957 and who, as I described at length in Chapter 5, had handed off command of the unit to Dov Tamari in 1964 — was building a different institution inside AMAN. The institution was Mivtsa’im Meyuhadim, the Special Operations Division, known in AMAN’s internal terminology as MM.</w:t>
      </w:r>
      <w:r>
        <w:rPr>
          <w:rStyle w:val="EndnoteReference"/>
        </w:rPr>
        <w:endnoteReference w:id="75"/>
      </w:r>
    </w:p>
    <w:p>
      <w:pPr>
        <w:pStyle w:val="BodyText"/>
      </w:pPr>
      <w:r>
        <w:t xml:space="preserve">Arnan had moved out of Sayeret Matkal command in 1964 but had not moved out of the operational architecture his unit served. He had taken command, sometime in the mid-1960s, of AMAN’s Technological Unit — the institutional descendant of his Bird operations — and had then, in 1969 or early 1970, founded the MM division as the institutional umbrella that coordinated the work of three operationally distinct organizations: the Technological Unit (which developed the sensors, the burst-mode transmitters, the antennas, and the power systems for clandestine emplacement); a dedicated intelligence cell (which collected and analyzed the target information that told the technical teams precisely where to place each device); and Sayeret Matkal itself (which carried out the clandestine emplacement operations behind Egyptian and Syrian lines).</w:t>
      </w:r>
      <w:r>
        <w:rPr>
          <w:rStyle w:val="EndnoteReference"/>
        </w:rPr>
        <w:endnoteReference w:id="76"/>
      </w:r>
      <w:r>
        <w:t xml:space="preserve"> </w:t>
      </w:r>
      <w:r>
        <w:t xml:space="preserve">Arnan’s deputy in MM was Major Yossi Langotsky, a geologist by training whose institutional credentials inside AMAN were thin but whose entrepreneurial instincts, in the assessment of those who worked with him, matched Arnan’s own.</w:t>
      </w:r>
      <w:r>
        <w:rPr>
          <w:rStyle w:val="EndnoteReference"/>
        </w:rPr>
        <w:endnoteReference w:id="77"/>
      </w:r>
    </w:p>
    <w:p>
      <w:pPr>
        <w:pStyle w:val="BodyText"/>
      </w:pPr>
      <w:r>
        <w:t xml:space="preserve">By the early 1970s, the apparatus MM had built was operational at a scale and a sophistication that Israeli intelligence historiography is, even fifty years later, only beginning to acknowledge. Unit 848, AMAN’s strategic SIGINT collection unit and the operational consumer of the take from the MM sensors, was by 1972 — as Uri Bar-Joseph has documented in detail, drawing on declassified material and on interviews with the surviving generation of MM operators — able not merely to intercept telephone and radio traffic between Egyptian and Syrian command posts, but to eavesdrop, in real time, on face-to-face conversations inside the headquarters of the Egyptian and Syrian armed forces.</w:t>
      </w:r>
      <w:r>
        <w:rPr>
          <w:rStyle w:val="EndnoteReference"/>
        </w:rPr>
        <w:endnoteReference w:id="78"/>
      </w:r>
      <w:r>
        <w:t xml:space="preserve"> </w:t>
      </w:r>
      <w:r>
        <w:t xml:space="preserve">The technical achievement — the miniaturization, the power management, the secure transmission, the survivability of devices placed in environments where Egyptian and Syrian counterintelligence services were actively hunting for them — was, in its operational context, a remarkable institutional accomplishment.</w:t>
      </w:r>
    </w:p>
    <w:p>
      <w:pPr>
        <w:pStyle w:val="BodyText"/>
      </w:pPr>
      <w:r>
        <w:t xml:space="preserve">The strategic value of the apparatus, however, was conditional. It depended on the willingness of AMAN’s senior leadership, at moments of decision, to activate the systems and to act on the resulting intelligence. As I will describe in §6.10 and as we have already encountered in Chapter 7 §7.3, that willingness — at the most critical moment of all, in the days before October 6, 1973 — would fail. The sensors that Arnan and Langotsky had built would sit silent inside Egyptian and Syrian command posts in the hours before the attack while, three meters away, Egyptian and Syrian generals were finalizing the operational details of the assault. This is the failure that the Israeli intelligence community would later refer to, in the careful phrasing of Bar-Joseph’s Middle East Journal article, as the</w:t>
      </w:r>
      <w:r>
        <w:t xml:space="preserve"> </w:t>
      </w:r>
      <w:r>
        <w:t xml:space="preserve">“</w:t>
      </w:r>
      <w:r>
        <w:t xml:space="preserve">missing link</w:t>
      </w:r>
      <w:r>
        <w:t xml:space="preserve">”</w:t>
      </w:r>
      <w:r>
        <w:t xml:space="preserve"> </w:t>
      </w:r>
      <w:r>
        <w:t xml:space="preserve">of the Yom Kippur intelligence catastrophe.</w:t>
      </w:r>
      <w:r>
        <w:rPr>
          <w:rStyle w:val="EndnoteReference"/>
        </w:rPr>
        <w:endnoteReference w:id="79"/>
      </w:r>
    </w:p>
    <w:p>
      <w:pPr>
        <w:pStyle w:val="BodyText"/>
      </w:pPr>
      <w:r>
        <w:t xml:space="preserve">Arnan himself, through the period covered by this chapter, was no longer a peripheral inventor at the margins of AMAN. He had risen to command of AMAN’s collection branch by the early 1970s. He was sixty years old. He had been diagnosed in 1970, as I described in Chapter 5, with the brain cancer that would kill him in 1980. He was working through it. The institution he had built had grown beyond him — Sayeret Matkal under Menachem Digly and then under Giora Zorea operated with a degree of operational independence that Arnan’s 1957-era unit would not have recognized — but the MM apparatus he had assembled in the late 1960s was, in October 1973, the most important single piece of intelligence infrastructure Israel possessed. And the institutional failure that allowed it to remain silent on October 5–6, 1973, would be one of the constitutive shocks that produced — as Chapter 7 has already described — Muki Betser’s entrepreneurial moment.</w:t>
      </w:r>
    </w:p>
    <w:bookmarkEnd w:id="80"/>
    <w:bookmarkStart w:id="86" w:name="Xc58ebf8209a3ae6a892ec5f6cf393d05b672c8e"/>
    <w:p>
      <w:pPr>
        <w:pStyle w:val="Heading2"/>
      </w:pPr>
      <w:r>
        <w:t xml:space="preserve">6.11 The Sabena Hijacking and the Counterterrorism Doctrine, May 8, 1972</w:t>
      </w:r>
    </w:p>
    <w:p>
      <w:pPr>
        <w:pStyle w:val="FirstParagraph"/>
      </w:pPr>
      <w:r>
        <w:t xml:space="preserve">On Monday, May 8, 1972, four Black September operators — two men and two women — boarded Sabena Belgian World Airlines Flight 571, the Brussels–Vienna–Tel Aviv leg of a regularly scheduled Sabena route, and at some point during the second leg of the flight took control of the Boeing 707 at gunpoint. The lead hijacker, Ali Taha Abu Sneina, directed the captain — the Belgian pilot Reginald Levy, who would become through the day’s events one of the more unlikely heroes of the operation — to land at Lod Airport, Israel’s principal civilian airfield, the same airport where the Sabena flight had been scheduled to arrive.</w:t>
      </w:r>
      <w:r>
        <w:rPr>
          <w:rStyle w:val="EndnoteReference"/>
        </w:rPr>
        <w:endnoteReference w:id="81"/>
      </w:r>
    </w:p>
    <w:p>
      <w:pPr>
        <w:pStyle w:val="BodyText"/>
      </w:pPr>
      <w:r>
        <w:t xml:space="preserve">The hijackers’ demands, conveyed to the Israeli authorities through Levy and through Sabena’s Brussels operations center, were the release of approximately three hundred Palestinian prisoners held in Israeli prisons in exchange for the release of the aircraft’s passengers and crew. The Israeli government, under Prime Minister Golda Meir and Defense Minister Moshe Dayan, refused to negotiate the release of prisoners. But the standard Israeli response to a major hijacking — to refuse negotiation and to await the hijackers’ surrender or the foreign government’s intervention — was, in May 1972, no longer politically tenable. The pattern of Palestinian hijackings since the 1968 El Al Athens attack had established, in Western governments’ practice, the precedent of negotiated release. The Israeli government concluded, in the hours after Sabena 571’s landing at Lod, that a military rescue would have to be attempted.</w:t>
      </w:r>
    </w:p>
    <w:p>
      <w:pPr>
        <w:pStyle w:val="BodyText"/>
      </w:pPr>
      <w:r>
        <w:t xml:space="preserve">The unit assigned the rescue mission was Sayeret Matkal, which had been training for hostage-rescue scenarios since the late 1960s but had never executed a real one. The unit’s commander, Lieutenant Colonel Ehud Barak — who would, twenty-seven years later, serve as Prime Minister of Israel — assembled the rescue team in the hours after the aircraft’s landing. Among the operators on the team were Captain Benjamin Netanyahu (who would, like Barak, become Prime Minister) and Captain Danny Yatom (who would become head of the Mossad). The operational concept Barak and his planning staff developed in the night and morning hours of May 8–9 was a deception package: Sayeret Matkal operators would approach the aircraft on the tarmac disguised as airport maintenance crews, ostensibly to refuel the aircraft and to perform technical inspections. At a coordinated signal, the operators would breach the four passenger doors of the 707 simultaneously and would engage the hijackers before they could detonate the explosives the hijackers had distributed inside the cabin.</w:t>
      </w:r>
      <w:r>
        <w:rPr>
          <w:rStyle w:val="EndnoteReference"/>
        </w:rPr>
        <w:endnoteReference w:id="82"/>
      </w:r>
    </w:p>
    <w:p>
      <w:pPr>
        <w:pStyle w:val="BodyText"/>
      </w:pPr>
      <w:r>
        <w:t xml:space="preserve">The operation, executed at approximately four o’clock in the afternoon of Tuesday, May 9, 1972, lasted less than ninety seconds inside the aircraft. The two male hijackers were killed; the two female hijackers were captured. One Israeli passenger, Miriam Anderson, was killed by a hijacker’s bullet during the firefight; six others, including Netanyahu, were wounded. Ninety-five passengers and the Sabena crew, including Captain Levy and his wife, were rescued.</w:t>
      </w:r>
      <w:r>
        <w:rPr>
          <w:rStyle w:val="EndnoteReference"/>
        </w:rPr>
        <w:endnoteReference w:id="83"/>
      </w:r>
    </w:p>
    <w:p>
      <w:pPr>
        <w:pStyle w:val="BodyText"/>
      </w:pPr>
      <w:r>
        <w:t xml:space="preserve">The operational and political consequences of Sabena were larger than the operation’s tactical scale. Sabena was the first major successful hostage-rescue operation by any military unit in the post-1968 era of trans-national hijacking. The unit had executed it in less than twenty-four hours from the aircraft’s landing to the operators’ breach. The deception package — the maintenance-crew approach — would become the operational template for hostage-rescue operations across the Western SOF community for the next decade. The British SAS at the 1980 Iranian Embassy siege in London, the German GSG 9 at the 1977 Mogadishu hijacking, the French GIGN at the 1994 Air France 8969 — all of these operations drew, in their operational architecture, on the Sabena precedent.</w:t>
      </w:r>
      <w:r>
        <w:rPr>
          <w:rStyle w:val="EndnoteReference"/>
        </w:rPr>
        <w:endnoteReference w:id="84"/>
      </w:r>
    </w:p>
    <w:p>
      <w:pPr>
        <w:pStyle w:val="BodyText"/>
      </w:pPr>
      <w:r>
        <w:t xml:space="preserve">For the IDF, Sabena had four institutional effects. It established Sayeret Matkal as the IDF’s premier counterterrorism unit, a designation that would be formally institutionalized in the Yamam-and-Sayeret-Matkal division of counterterrorism authority that the IDF would codify in the late 1970s. It produced, within the Sayeret Matkal officer corps, a cohort of commanders — Barak, Netanyahu, Yatom, and others — who would form the senior officer class of the post-1973 Israeli security establishment. It established the operational template that would be used, with variations, at Entebbe in July 1976 and at almost every subsequent Israeli hostage-rescue operation. And — most importantly for the argument of this chapter — it created the operational confidence within the Sayeret Matkal officer corps that the unit’s CT capability was now its principal strategic value, more significant than its older intelligence-collection mission. This conviction, which Muki Betser and his contemporaries would carry through the year and a half between Sabena and the Yom Kippur War, would shape the post-1973</w:t>
      </w:r>
      <w:r>
        <w:t xml:space="preserve"> </w:t>
      </w:r>
      <w:r>
        <w:t xml:space="preserve">“</w:t>
      </w:r>
      <w:r>
        <w:t xml:space="preserve">Whither the Unit</w:t>
      </w:r>
      <w:r>
        <w:t xml:space="preserve">”</w:t>
      </w:r>
      <w:r>
        <w:t xml:space="preserve"> </w:t>
      </w:r>
      <w:r>
        <w:t xml:space="preserve">debate I described in Chapter 7 §7.7. The unit’s officers, by mid-1972, had begun to see Sayeret Matkal as the IDF’s premier combat SOF, not — or not only — the operational arm of AMAN that Arnan had founded in 1957.</w:t>
      </w:r>
      <w:r>
        <w:rPr>
          <w:rStyle w:val="EndnoteReference"/>
        </w:rPr>
        <w:endnoteReference w:id="85"/>
      </w:r>
    </w:p>
    <w:bookmarkEnd w:id="86"/>
    <w:bookmarkStart w:id="90" w:name="X39cb277cd720f5e2e9c9fd980cd286409003958"/>
    <w:p>
      <w:pPr>
        <w:pStyle w:val="Heading2"/>
      </w:pPr>
      <w:r>
        <w:t xml:space="preserve">6.12 Munich, the Wrath of God, and the Counterterrorism Apparatus, 1972–1973</w:t>
      </w:r>
    </w:p>
    <w:p>
      <w:pPr>
        <w:pStyle w:val="FirstParagraph"/>
      </w:pPr>
      <w:r>
        <w:t xml:space="preserve">Four months after Sabena, on the morning of Tuesday, September 5, 1972, eight Black September operators entered the Israeli Olympic team’s quarters at the Munich Olympic Village and seized eleven athletes and coaches. Two of the hostages — Moshe Weinberg and Yossef Romano — were killed during the initial seizure. The remaining nine were held for approximately fifteen hours. The German federal and Bavarian authorities, lacking a specialized hostage-rescue capability of their own, attempted a rescue at Fürstenfeldbruck Air Base outside Munich late that night. The rescue failed catastrophically. All nine remaining hostages were killed, five of the eight hijackers were killed, and one German police officer was killed.</w:t>
      </w:r>
      <w:r>
        <w:rPr>
          <w:rStyle w:val="EndnoteReference"/>
        </w:rPr>
        <w:endnoteReference w:id="87"/>
      </w:r>
    </w:p>
    <w:p>
      <w:pPr>
        <w:pStyle w:val="BodyText"/>
      </w:pPr>
      <w:r>
        <w:t xml:space="preserve">The Israeli response to Munich was the establishment of an apparatus that would become known, in the Israeli intelligence vocabulary, as Mivtsa Za’am Ha’el — Operation Wrath of God. The operation was authorized by Prime Minister Golda Meir, in consultation with Defense Minister Moshe Dayan and Mossad Director Zvi Zamir, in the days after Munich. The operational architecture was the responsibility of the Mossad’s Caesarea division under Mike Harari, with the support of the Mossad’s Operations Branch under Avraham Bendor. The mission, as Meir authorized it, was the assassination of the Black September operatives, planners, and political leaders who had been involved in Munich or in the broader Black September apparatus that had attacked Israeli targets through 1971 and 1972.</w:t>
      </w:r>
      <w:r>
        <w:rPr>
          <w:rStyle w:val="EndnoteReference"/>
        </w:rPr>
        <w:endnoteReference w:id="88"/>
      </w:r>
    </w:p>
    <w:p>
      <w:pPr>
        <w:pStyle w:val="BodyText"/>
      </w:pPr>
      <w:r>
        <w:t xml:space="preserve">The Wrath of God apparatus operated, between October 1972 and the late 1970s, across multiple European cities and in Beirut. Its first major operation was the assassination of Wael Zwaiter, a PLO representative in Rome, on October 16, 1972 — six weeks after Munich. Subsequent operations targeted Mahmoud Hamshari (Paris, December 1972), Hussein Al Bashir (Cyprus, January 1973), Basil Al-Kubaisi (Paris, April 1973), Abdel Wael Zuaiter (Athens, April 1973), and others. The operational pattern — a small Mossad assassination team, the use of remote-detonated bombs or close-range firearms, the operator’s escape across European borders — was the Mossad’s institutional contribution to the counterterrorism doctrine that the Israeli security establishment was assembling in real time across 1972–1973.</w:t>
      </w:r>
      <w:r>
        <w:rPr>
          <w:rStyle w:val="EndnoteReference"/>
        </w:rPr>
        <w:endnoteReference w:id="89"/>
      </w:r>
    </w:p>
    <w:p>
      <w:pPr>
        <w:pStyle w:val="BodyText"/>
      </w:pPr>
      <w:r>
        <w:t xml:space="preserve">The IDF’s contribution to this apparatus, parallel to and operationally distinct from the Mossad’s assassination program, was the Spring of Youth raid in Beirut on April 9–10, 1973 — which I will describe in §6.11 as the operational climax of this chapter. Spring of Youth was conceived in the months after Munich as the IDF’s response to the Black September leadership cell in Beirut, which the Israeli intelligence community had assessed as the operational nerve center of the European hijacking and assassination campaign. The operation, executed by Sayeret Matkal under Brigadier General Emanuel Shaked’s overall command, with naval insertion by Shayetet 13, would result in the killings of three senior PLO figures — Muhammad Yousef al-Najjar (Abu Yousef), Kamal Adwan, and Kamal Nasser — and in the destruction of the apartment building in Beirut that had served as the PLO’s senior leadership residence.</w:t>
      </w:r>
    </w:p>
    <w:p>
      <w:pPr>
        <w:pStyle w:val="BodyText"/>
      </w:pPr>
      <w:r>
        <w:t xml:space="preserve">For the SOF story this chapter is tracing, the significance of Munich and the Wrath of God apparatus was that it established, by mid-1973, an institutional architecture in which Sayeret Matkal operated as one node in a larger Israeli counterterrorism network that included the Mossad’s Caesarea division, the Shin Bet’s operational divisions, and the IAF’s strategic-lift squadrons. The unit was no longer Arnan’s intelligence-collection apparatus. It was, by the spring of 1973, a senior partner in a national-strategic CT enterprise, with operational reach across the Mediterranean basin and direct access to the prime minister’s office. The institutional confidence this position created within the Sayeret Matkal officer corps was, as I have noted, considerable. The price of that confidence — the price the unit and the IDF would pay for the post-1968 operational success — was the strategic blindness to which I turn next.</w:t>
      </w:r>
    </w:p>
    <w:bookmarkEnd w:id="90"/>
    <w:bookmarkStart w:id="96" w:name="unit-707-and-the-inter-sof-ecology"/>
    <w:p>
      <w:pPr>
        <w:pStyle w:val="Heading2"/>
      </w:pPr>
      <w:r>
        <w:t xml:space="preserve">6.13 Unit 707 and the Inter-SOF Ecology</w:t>
      </w:r>
    </w:p>
    <w:p>
      <w:pPr>
        <w:pStyle w:val="FirstParagraph"/>
      </w:pPr>
      <w:r>
        <w:t xml:space="preserve">Before turning to the doctrinal blindness of 1973, one more institutional thread deserves attention — because it captures the underside of the operational confidence the chapter has been describing, and because it foreshadows an institutional dynamic that will return in Chapter 7 §7.6 when the post-Yom Kippur founders of Unit 669 attempt to recruit operators from this same unit.</w:t>
      </w:r>
    </w:p>
    <w:p>
      <w:pPr>
        <w:pStyle w:val="BodyText"/>
      </w:pPr>
      <w:r>
        <w:t xml:space="preserve">The thread is the existence and trajectory, between 1963 and 1976, of Unit 707 — the IDF Navy’s Yechidat Tzlilah Hagannatit (Defensive Diving Unit), later renamed Yechidat Chablah Yamit (Naval Sabotage Unit), whose operators were known in the IDF as the Shayatim (the</w:t>
      </w:r>
      <w:r>
        <w:t xml:space="preserve"> </w:t>
      </w:r>
      <w:r>
        <w:t xml:space="preserve">“</w:t>
      </w:r>
      <w:r>
        <w:t xml:space="preserve">Rafters</w:t>
      </w:r>
      <w:r>
        <w:t xml:space="preserve">”</w:t>
      </w:r>
      <w:r>
        <w:t xml:space="preserve">) and who wore as their distinctive insignia, from April 1969, the Knafey HaTamnun — the</w:t>
      </w:r>
      <w:r>
        <w:t xml:space="preserve"> </w:t>
      </w:r>
      <w:r>
        <w:t xml:space="preserve">“</w:t>
      </w:r>
      <w:r>
        <w:t xml:space="preserve">Octopus Wings.</w:t>
      </w:r>
      <w:r>
        <w:t xml:space="preserve">”</w:t>
      </w:r>
      <w:r>
        <w:rPr>
          <w:rStyle w:val="EndnoteReference"/>
        </w:rPr>
        <w:endnoteReference w:id="91"/>
      </w:r>
      <w:r>
        <w:t xml:space="preserve"> </w:t>
      </w:r>
      <w:r>
        <w:t xml:space="preserve">Unit 707 had been founded in April 1963 by Major General Yochai Ben-Nun — the IDF Navy commander who would, three years later, oversee the Egyptian fleet’s destruction in the Six-Day War’s western Mediterranean theater. The unit’s original mission, as its name indicated, was defensive: underwater inspection and maintenance of Israeli naval assets, recovery of equipment and bodies lost at sea, and explosives work that supported the engineering needs of the Navy and the IDF more broadly. The unit’s personnel, in its early years, were specialist technical divers rather than commando operators.</w:t>
      </w:r>
      <w:r>
        <w:rPr>
          <w:rStyle w:val="EndnoteReference"/>
        </w:rPr>
        <w:endnoteReference w:id="92"/>
      </w:r>
    </w:p>
    <w:p>
      <w:pPr>
        <w:pStyle w:val="BodyText"/>
      </w:pPr>
      <w:r>
        <w:t xml:space="preserve">Two things happened to Unit 707 between 1968 and 1973 that bore on the inter-SOF ecology Almog was reshaping. The first was the unit’s gradual repositioning, between 1968 and 1970, toward an offensive operational identity. As the War of Attrition created sustained demand for the safe crossing of water barriers — the Jordan River in the eastern theater, the Suez Canal in the southern theater — Unit 707’s operators, whose technical diving skills suited them for the task, found themselves assisting infantry units in crossings, transporting raiding forces from the sea, and executing low-profile reconnaissance missions. The renaming of the unit during the War of Attrition from</w:t>
      </w:r>
      <w:r>
        <w:t xml:space="preserve"> </w:t>
      </w:r>
      <w:r>
        <w:t xml:space="preserve">“</w:t>
      </w:r>
      <w:r>
        <w:t xml:space="preserve">Defensive Diving</w:t>
      </w:r>
      <w:r>
        <w:t xml:space="preserve">”</w:t>
      </w:r>
      <w:r>
        <w:t xml:space="preserve"> </w:t>
      </w:r>
      <w:r>
        <w:t xml:space="preserve">to</w:t>
      </w:r>
      <w:r>
        <w:t xml:space="preserve"> </w:t>
      </w:r>
      <w:r>
        <w:t xml:space="preserve">“</w:t>
      </w:r>
      <w:r>
        <w:t xml:space="preserve">Naval Sabotage</w:t>
      </w:r>
      <w:r>
        <w:t xml:space="preserve">”</w:t>
      </w:r>
      <w:r>
        <w:t xml:space="preserve"> </w:t>
      </w:r>
      <w:r>
        <w:t xml:space="preserve">reflected this operational drift. By 1970, the Octopus Wings insignia — formalized in April 1969 — had become, in the eyes of the unit’s operators, the badge of a combat unit rather than of a technical-diving formation.</w:t>
      </w:r>
      <w:r>
        <w:rPr>
          <w:rStyle w:val="EndnoteReference"/>
        </w:rPr>
        <w:endnoteReference w:id="93"/>
      </w:r>
    </w:p>
    <w:p>
      <w:pPr>
        <w:pStyle w:val="BodyText"/>
      </w:pPr>
      <w:r>
        <w:t xml:space="preserve">The second thing was the institutional rivalry this offensive repositioning generated with Shayetet 13. Almog, in the early phase of his command, watched the offensive expansion of Unit 707 with explicit concern. As the document I described in §6.5½ records, Almog</w:t>
      </w:r>
      <w:r>
        <w:t xml:space="preserve"> </w:t>
      </w:r>
      <w:r>
        <w:t xml:space="preserve">“</w:t>
      </w:r>
      <w:r>
        <w:t xml:space="preserve">saw the energized defensive divers of Unit 707 assume offensive roles that traditionally belonged to his men</w:t>
      </w:r>
      <w:r>
        <w:t xml:space="preserve">”</w:t>
      </w:r>
      <w:r>
        <w:t xml:space="preserve"> </w:t>
      </w:r>
      <w:r>
        <w:t xml:space="preserve">and concluded that</w:t>
      </w:r>
      <w:r>
        <w:t xml:space="preserve"> </w:t>
      </w:r>
      <w:r>
        <w:t xml:space="preserve">“</w:t>
      </w:r>
      <w:r>
        <w:t xml:space="preserve">the unit’s survival prospects were dependent on his ability to demonstrate its importance.</w:t>
      </w:r>
      <w:r>
        <w:t xml:space="preserve">”</w:t>
      </w:r>
      <w:r>
        <w:t xml:space="preserve"> </w:t>
      </w:r>
      <w:r>
        <w:t xml:space="preserve">The Shayetet’s transformation under Almog — the founding of the Pugashim platoon, the cultivation of the Sayeret Matkal alliance, the Green Island raid — must be read in part as Almog’s response to the institutional pressure that Unit 707’s expansion had created. The 707, in the operational economy of the Navy, was the Shayetet’s principal internal competitor. The Shayetet’s institutional survival, in Almog’s reading, required demonstrating that the more elite unit could perform missions the 707 could not.</w:t>
      </w:r>
      <w:r>
        <w:rPr>
          <w:rStyle w:val="EndnoteReference"/>
        </w:rPr>
        <w:endnoteReference w:id="94"/>
      </w:r>
    </w:p>
    <w:p>
      <w:pPr>
        <w:pStyle w:val="BodyText"/>
      </w:pPr>
      <w:r>
        <w:t xml:space="preserve">This internal naval rivalry — the Shayetet and the 707 each maneuvering for institutional space within a Navy that had limited operational resources to allocate — is, in retrospect, an early instance of the dynamic that the book has traced across multiple decades and that we will see culminate in Chapter 9’s account of the 2015 Commando Brigade. The IDF’s SOF community has never been institutionally stable. It has consisted, in every period the book has covered, of multiple units competing for budget, recruitment quality, operational missions, and senior-officer attention. The competition has driven innovation as often as it has produced waste. In the Shayetet–707 case of the late 1960s, the competition drove Almog’s reform program forward — and produced, in Green Island, an operation that no Israeli unit could have executed without the prior competitive pressure that Unit 707 had imposed on the Shayetet. The 707, paradoxically, was one of the institutional causes of the Shayetet’s revival.</w:t>
      </w:r>
    </w:p>
    <w:p>
      <w:pPr>
        <w:pStyle w:val="BodyText"/>
      </w:pPr>
      <w:r>
        <w:t xml:space="preserve">The 707 itself, however, would not survive the post-Yom Kippur reorganization. The same post-1973 institutional shock that produced the dissolution of Sayeret Charuv and the original Sayeret Egoz, as I described in §6.2½, also produced the dissolution of Unit 707 — formally on July 15, 1976. The dissolution decision, made under Major General Benny Telem’s command of the Navy and under the broader IDF reorganization that Chapter 7 has already described, reflected the same logic that consumed the regional preventive battalions: Unit 707 was operationally useful but doctrinally peripheral, and in the post-1973 institutional contraction, peripheral units lost their independent existence. Approximately sixty standing soldiers and one hundred reservists were either transferred to Shayetet 13 (whose post-1976 absorption of 707 operators is documented in the Moreshetyamit community archive) or returned to general naval service.</w:t>
      </w:r>
      <w:r>
        <w:rPr>
          <w:rStyle w:val="EndnoteReference"/>
        </w:rPr>
        <w:endnoteReference w:id="95"/>
      </w:r>
      <w:r>
        <w:t xml:space="preserve"> </w:t>
      </w:r>
      <w:r>
        <w:t xml:space="preserve">The Shayetet’s victory over its rival, in the long institutional run, was complete.</w:t>
      </w:r>
    </w:p>
    <w:p>
      <w:pPr>
        <w:pStyle w:val="BodyText"/>
      </w:pPr>
      <w:r>
        <w:t xml:space="preserve">The implications for the post-Yom Kippur period are documented in Chapter 7 §7.6. When the founders of Unit 669, the IAF’s airborne search-and-rescue unit, approached the disbanded 707 operators in 1974–1975 to staff the new unit’s first cohort, the 707 veterans — who had spent the decade developing an identity as offensive combat operators, not as rescue specialists — declined. The institutional pride that Unit 707 had built between 1968 and 1973, in the Shayetet rivalry years, became the institutional barrier that prevented its veterans from re-staffing the new airborne SOF unit that the post-Yom Kippur reform required. We return to that consequence in Chapter 7 §7.6.</w:t>
      </w:r>
    </w:p>
    <w:bookmarkEnd w:id="96"/>
    <w:bookmarkStart w:id="103" w:name="X4574a4df4334724476c8d3316fcb89034fc5636"/>
    <w:p>
      <w:pPr>
        <w:pStyle w:val="Heading2"/>
      </w:pPr>
      <w:r>
        <w:t xml:space="preserve">6.14 The Pre-War Doctrinal Blindness: Summer 1973</w:t>
      </w:r>
    </w:p>
    <w:p>
      <w:pPr>
        <w:pStyle w:val="FirstParagraph"/>
      </w:pPr>
      <w:r>
        <w:t xml:space="preserve">Between the end of the War of Attrition in August 1970 and the morning of October 6, 1973, the Egyptian and Syrian general staffs spent three years preparing for the war the Soviet IADS expansion of 1968–1970 had made operationally possible. The Egyptian Chief of Staff Saad El Shazly, working closely with Soviet advisors and with the Egyptian Air Defense Command under Lieutenant General Mohamed Aly Fahmy, designed the canal-crossing concept of operations that would, on October 6, put five Egyptian infantry divisions across the Suez Canal in the first eight hours of the war, with mobile air-defense umbrellas providing protection against IAF intervention and with anti-tank guided missile screens — Saggers and RPG-7s — providing protection against the Israeli armored counter-attacks the Egyptian planners knew would come.</w:t>
      </w:r>
      <w:r>
        <w:rPr>
          <w:rStyle w:val="EndnoteReference"/>
        </w:rPr>
        <w:endnoteReference w:id="97"/>
      </w:r>
    </w:p>
    <w:p>
      <w:pPr>
        <w:pStyle w:val="BodyText"/>
      </w:pPr>
      <w:r>
        <w:t xml:space="preserve">The Israeli intelligence community knew, in considerable detail, what the Egyptian and Syrian general staffs were preparing. Through the MM apparatus that Arnan and Langotsky had built — and that I described in §6.7 — AMAN had access to Egyptian and Syrian command-post conversations that, throughout 1971, 1972, and 1973, documented the Sagger procurement, the SA-6 deployment, the combined-arms doctrinal training, and the canal-crossing exercises that would, in October 1973, become operational reality.</w:t>
      </w:r>
      <w:r>
        <w:rPr>
          <w:rStyle w:val="EndnoteReference"/>
        </w:rPr>
        <w:endnoteReference w:id="98"/>
      </w:r>
      <w:r>
        <w:t xml:space="preserve"> </w:t>
      </w:r>
      <w:r>
        <w:t xml:space="preserve">AMAN’s research division, under Brigadier General Aryeh Shalev, produced through 1972 and 1973 a series of intelligence assessments that documented the Soviet IADS expansion and the Egyptian-Syrian doctrinal preparation in detail. The reports were read at the highest levels of the IDF and the political leadership. The reports were not acted upon.</w:t>
      </w:r>
    </w:p>
    <w:p>
      <w:pPr>
        <w:pStyle w:val="BodyText"/>
      </w:pPr>
      <w:r>
        <w:t xml:space="preserve">The institutional reason was the doctrine the Agranat Commission, the body that would investigate the Yom Kippur intelligence failure, would later call simply Ha-Konseptzia —</w:t>
      </w:r>
      <w:r>
        <w:t xml:space="preserve"> </w:t>
      </w:r>
      <w:r>
        <w:t xml:space="preserve">“</w:t>
      </w:r>
      <w:r>
        <w:t xml:space="preserve">The Conception.</w:t>
      </w:r>
      <w:r>
        <w:t xml:space="preserve">”</w:t>
      </w:r>
      <w:r>
        <w:rPr>
          <w:rStyle w:val="EndnoteReference"/>
        </w:rPr>
        <w:endnoteReference w:id="99"/>
      </w:r>
      <w:r>
        <w:t xml:space="preserve"> </w:t>
      </w:r>
      <w:r>
        <w:t xml:space="preserve">The Conception, as it had crystallized in the Israeli intelligence community by 1972, held two propositions. The first was that Egypt would not initiate a war until it had acquired the long-range strike aircraft and the air-refueling capability necessary to neutralize the Israeli Air Force at its bases. The second was that Syria would not initiate a war alone — that any Syrian offensive would be conditional on Egyptian participation. From these two propositions followed the operational conclusion that, in the absence of evidence of Egyptian long-range strike capability, no Arab war was imminent.</w:t>
      </w:r>
    </w:p>
    <w:p>
      <w:pPr>
        <w:pStyle w:val="BodyText"/>
      </w:pPr>
      <w:r>
        <w:t xml:space="preserve">The Conception was, in retrospect, both narrowly defensible and strategically catastrophic. It was narrowly defensible because the Egyptian leadership under Nasser had, in 1969 and 1970, made the long-range strike capability the explicit precondition of any Egyptian offensive, and the AMAN analysts who had built The Conception around that 1969–1970 evidence were, in their own terms, reading the public Egyptian doctrinal literature correctly. It was strategically catastrophic because the Egyptian leadership under Anwar Sadat, who succeeded Nasser in September 1970, abandoned the long-range strike precondition by 1972 and replaced it with the canal-crossing-under-air-defense-umbrella concept that Shazly’s planning staff developed.</w:t>
      </w:r>
    </w:p>
    <w:p>
      <w:pPr>
        <w:pStyle w:val="BodyText"/>
      </w:pPr>
      <w:r>
        <w:t xml:space="preserve">The institutional failure was a failure to reassess. The MM intelligence that documented the canal-crossing preparation, the Sagger procurement, and the SA-6 deployment was, throughout 1972 and 1973, interpreted by AMAN’s research division through the lens of The Conception — and was therefore systematically discounted as preparatory infrastructure for a future war that the Egyptian leadership was not yet ready to initiate. The Director of AMAN through the critical period, Major General Eli Zeira, was — as Bar-Joseph has documented at length — institutionally invested in The Conception in ways that made him resistant to the field-intelligence reports that contradicted it.</w:t>
      </w:r>
      <w:r>
        <w:rPr>
          <w:rStyle w:val="EndnoteReference"/>
        </w:rPr>
        <w:endnoteReference w:id="100"/>
      </w:r>
      <w:r>
        <w:t xml:space="preserve"> </w:t>
      </w:r>
      <w:r>
        <w:t xml:space="preserve">When, in the spring of 1973, AMAN’s Egyptian-front collection officers warned of an imminent attack, Zeira and Shalev assessed the warning as a low-probability Egyptian deception. When, in May 1973, AMAN warned again, the Israeli government carried out a partial mobilization — the Blue-White alert — that cost the treasury hundreds of millions of pounds and produced no war, deepening the political class’s reluctance to act on subsequent intelligence warnings.</w:t>
      </w:r>
      <w:r>
        <w:rPr>
          <w:rStyle w:val="EndnoteReference"/>
        </w:rPr>
        <w:endnoteReference w:id="101"/>
      </w:r>
    </w:p>
    <w:p>
      <w:pPr>
        <w:pStyle w:val="BodyText"/>
      </w:pPr>
      <w:r>
        <w:t xml:space="preserve">By the early autumn of 1973, the institutional cost of The Conception was visible to a small number of officers inside AMAN — including Lieutenant Colonel Yoel Ben-Porat (commander of Unit 848) and Lieutenant Colonel Menachem Digly (head of the AMAN collection branch and a former Sayeret Matkal commander), as I described in Chapter 7 §7.1 — but was not visible to the senior leadership of the IDF or to the political class. The MM sensors that Arnan had built, capable of telling the Israeli leadership in real time what Sadat and Hafez al-Assad were preparing, sat silent on the night of October 5–6, 1973. The 24 Egyptian commando battalions that Lieutenant General Shazly had assembled for the canal-crossing operation — battalions whose existence the IDF would document in detail only in the months after the war, in the report Arnan himself would lead the post-war analytical team to produce</w:t>
      </w:r>
      <w:r>
        <w:rPr>
          <w:rStyle w:val="EndnoteReference"/>
        </w:rPr>
        <w:endnoteReference w:id="102"/>
      </w:r>
      <w:r>
        <w:t xml:space="preserve"> </w:t>
      </w:r>
      <w:r>
        <w:t xml:space="preserve">— were not on the IDF order-of-battle’s threat list in any operationally consequential way.</w:t>
      </w:r>
    </w:p>
    <w:p>
      <w:pPr>
        <w:pStyle w:val="BodyText"/>
      </w:pPr>
      <w:r>
        <w:t xml:space="preserve">The two tracks I have been tracing in this chapter — the conventional IDF buildup that had reached its institutional peak under the air-armor doctrine of the post-1967 period, and the SOF community’s operational maturation through Karameh, Beirut Airport, Sabena, and the imminent Spring of Youth raid — were both, by the late summer of 1973, in the strongest institutional position they had occupied since 1948. The IAF had more aircraft than ever; the Armored Corps fielded fourteen brigades and 2,119 tanks; Sayeret Matkal stood on the threshold of its most ambitious operation; the Mossad’s Wrath of God apparatus was operating across Europe. None of this would matter, in any decisive way, in the first three days of the war that began at two in the afternoon of October 6, 1973. The institutional confidence the IDF had built across the period this chapter has traced would, on those three days, become the institutional vulnerability that would force the entrepreneurial moment Chapter 7 has already described.</w:t>
      </w:r>
    </w:p>
    <w:p>
      <w:pPr>
        <w:pStyle w:val="BodyText"/>
      </w:pPr>
      <w:r>
        <w:t xml:space="preserve">We turn next, in §6.11, to the operational climax that immediately preceded the catastrophe — Spring of Youth in April 1973 — and to the summer and early autumn that followed.</w:t>
      </w:r>
    </w:p>
    <w:bookmarkEnd w:id="103"/>
    <w:bookmarkStart w:id="109" w:name="spring-of-youth-april-910-1973"/>
    <w:p>
      <w:pPr>
        <w:pStyle w:val="Heading2"/>
      </w:pPr>
      <w:r>
        <w:t xml:space="preserve">6.15 Spring of Youth, April 9–10, 1973</w:t>
      </w:r>
    </w:p>
    <w:p>
      <w:pPr>
        <w:pStyle w:val="FirstParagraph"/>
      </w:pPr>
      <w:r>
        <w:t xml:space="preserve">The operation that brought the post-1968 SOF arc to its operational apex was executed on the night of Monday, April 9, 1973, six months and three days before the war that would render the institutional confidence the operation produced obsolete.</w:t>
      </w:r>
    </w:p>
    <w:p>
      <w:pPr>
        <w:pStyle w:val="BodyText"/>
      </w:pPr>
      <w:r>
        <w:t xml:space="preserve">I covered the broader institutional significance of Spring of Youth in Chapter 5 §5.12, treating the raid there as the closing arc of Avraham Arnan’s institutional career — the moment Sayeret Matkal completed the transformation from the unit Arnan had founded in 1957 into the strategic-CT instrument the IDF used in 1973. I will not repeat the operational reconstruction here. What this section adds is the Chapter 6 framing — Spring of Youth as the operational climax of the Golden Era this chapter has been tracing, and as the operation that, in retrospect, defined the institutional self-understanding the SOF community would carry into the catastrophe of October.</w:t>
      </w:r>
      <w:r>
        <w:rPr>
          <w:rStyle w:val="EndnoteReference"/>
        </w:rPr>
        <w:endnoteReference w:id="104"/>
      </w:r>
    </w:p>
    <w:p>
      <w:pPr>
        <w:pStyle w:val="BodyText"/>
      </w:pPr>
      <w:r>
        <w:t xml:space="preserve">The operational architecture, which I will sketch only briefly here, was the most ambitious multi-service SOF operation the IDF had ever executed.</w:t>
      </w:r>
      <w:r>
        <w:rPr>
          <w:rStyle w:val="EndnoteReference"/>
        </w:rPr>
        <w:endnoteReference w:id="105"/>
      </w:r>
      <w:r>
        <w:t xml:space="preserve"> </w:t>
      </w:r>
      <w:r>
        <w:t xml:space="preserve">The Mossad’s Caesarea division, under Mike Harari’s continuing operational direction of the Wrath of God apparatus, had conducted the preparatory reconnaissance in Beirut in the months before the raid, identifying the apartment building in the Verdun neighborhood where Muhammad Yousef al-Najjar (Abu Yousef, the head of Black September), Kamal Adwan (head of the PLO’s western operations branch), and Kamal Nasser (the PLO’s spokesman) lived, and renting the vehicles that would carry the assault force from the Beirut beachfront to the target. Shayetet 13 provided the maritime insertion, ferrying the Sayeret Matkal and Sayeret Tzanchanim elements from Israeli missile boats to the Beirut beach in Zodiac rubber boats and back. Sayeret Matkal, under Lieutenant Colonel Ehud Barak’s operational command, carried out the assault on the Verdun apartments. The Sayeret Tzanchanim element under Lieutenant Colonel Amnon Lipkin-Shahak carried out a parallel operation against the headquarters of the Popular Front for the Liberation of Palestine. The IAF’s Super Frelon helicopter squadron stood by at high readiness for casualty evacuation. The overall operational command was held by Brigadier General Emanuel Shaked, with Lieutenant General David Elazar — the COGS who would, six months later, be removed by the Agranat Commission for the Yom Kippur intelligence failure — holding political-military authority from the IDF’s headquarters in Tel Aviv.</w:t>
      </w:r>
      <w:r>
        <w:rPr>
          <w:rStyle w:val="EndnoteReference"/>
        </w:rPr>
        <w:endnoteReference w:id="106"/>
      </w:r>
    </w:p>
    <w:p>
      <w:pPr>
        <w:pStyle w:val="BodyText"/>
      </w:pPr>
      <w:r>
        <w:t xml:space="preserve">The Sayeret Matkal assault element included names that the post-1973 Israeli security establishment would recognize as the senior generation of its officer corps. Barak, twenty-eight years old, led the operation disguised as a woman to facilitate the team’s approach to the apartment building without arousing suspicion. Yonatan Netanyahu, twenty-seven years old, would die three years later at Entebbe. Muki Betser, twenty-seven years old, was returning to active SOF operations after the four-year recovery from his Karameh wounds that I described in §6.1 — Spring of Youth was, in operational terms, the beginning of his second career in Sayeret Matkal. Amiram Levin, who would in the 1990s become OC Northern Command and one of the senior figures of the contemporary IDF SOF community. Lonny Refael, Avida Shor, Hagai Maayan, and others. The operation was, in the literal demographic sense, the moment when the cohort of officers who would lead the IDF through the next thirty years was tested under what the unit’s training had been designed for.</w:t>
      </w:r>
      <w:r>
        <w:rPr>
          <w:rStyle w:val="EndnoteReference"/>
        </w:rPr>
        <w:endnoteReference w:id="107"/>
      </w:r>
    </w:p>
    <w:p>
      <w:pPr>
        <w:pStyle w:val="BodyText"/>
      </w:pPr>
      <w:r>
        <w:t xml:space="preserve">The operation’s execution, on the night of April 9–10, 1973, lasted approximately ninety minutes from the moment the first Zodiacs touched the Beirut beach to the moment the last operators reboarded the missile boats for the return to Israel. The three targeted PLO leaders — al-Najjar, Adwan, Nasser — were killed inside their apartments. Approximately fourteen Lebanese policemen, PLO security personnel, and bystanders were killed during the firefights that developed when Lebanese security units arrived at the Verdun building during the assault. Two Israeli operators were killed — Captain Avida Shor of Sayeret Tzanchanim and Lieutenant Hagai Maayan of Shayetet 13. The full Israeli force was extracted to the missile boats before Lebanese army units could arrive in force.</w:t>
      </w:r>
      <w:r>
        <w:rPr>
          <w:rStyle w:val="EndnoteReference"/>
        </w:rPr>
        <w:endnoteReference w:id="108"/>
      </w:r>
    </w:p>
    <w:p>
      <w:pPr>
        <w:pStyle w:val="BodyText"/>
      </w:pPr>
      <w:r>
        <w:t xml:space="preserve">The operational and political consequences of Spring of Youth were larger, in their public dimension, than those of any IDF SOF operation between Karameh and Entebbe. The killings of Abu Yousef, Adwan, and Nasser decapitated the PLO’s western operations branch and disrupted, for approximately eighteen months, the European hijacking and assassination campaign that had defined Black September since Munich. The operational architecture — Mossad reconnaissance, Shayetet 13 maritime insertion, Sayeret Matkal action team, IAF backup, multi-service command — became the template that the IDF and the Mossad would use, with variations, for every subsequent transnational SOF operation through the next four decades. And the institutional confidence the operation produced inside Sayeret Matkal — the conviction that the unit had reached the operational summit of its possibilities and was now the IDF’s most capable instrument for any mission that required surgical precision under operational pressure — was, in retrospect, both the foundation of the unit’s post-1973 reinvention and one of the institutional vulnerabilities that the Yom Kippur catastrophe would expose. The unit’s officers in the spring and summer of 1973 saw themselves, with some justification, as the operational apex of their generation. They did not know that the war that was coming would render that apex, in the operational terms they understood, irrelevant.</w:t>
      </w:r>
    </w:p>
    <w:bookmarkEnd w:id="109"/>
    <w:bookmarkStart w:id="114" w:name="Xbedea5535ccd53955445307bba80ca3938d4a77"/>
    <w:p>
      <w:pPr>
        <w:pStyle w:val="Heading2"/>
      </w:pPr>
      <w:r>
        <w:t xml:space="preserve">6.16 The Summer Alert and the Stand-Down, May–September 1973</w:t>
      </w:r>
    </w:p>
    <w:p>
      <w:pPr>
        <w:pStyle w:val="FirstParagraph"/>
      </w:pPr>
      <w:r>
        <w:t xml:space="preserve">Through the spring and summer of 1973, even as Sayeret Matkal was reaching the operational reputation Spring of Youth had crowned, AMAN’s field intelligence officers — at Unit 848, in the Egyptian-front collection branch, and across the MM apparatus Arnan and Langotsky had built — were generating a sustained stream of reports that pointed in a single analytical direction: Egypt and Syria were preparing, jointly, to initiate a coordinated war within a matter of months.</w:t>
      </w:r>
    </w:p>
    <w:p>
      <w:pPr>
        <w:pStyle w:val="BodyText"/>
      </w:pPr>
      <w:r>
        <w:t xml:space="preserve">The first major warning came in mid-April 1973, almost simultaneously with the Spring of Youth raid. Field-source reports and MM signals indicated visible Egyptian military movements that, by the standards of the AMAN field officers reading them, were consistent with pre-war preparation rather than with routine spring exercises. AMAN’s research division, under Major General Eli Zeira and Brigadier General Aryeh Shalev, assessed the warnings against the framework of The Conception I described in §6.10 — and concluded that, in the absence of Egyptian long-range strike capability, no war was imminent. But the political class, which had less institutional commitment to The Conception than the AMAN senior staff did, was uneasy. Prime Minister Golda Meir, Defense Minister Moshe Dayan, and COGS David Elazar concluded that the IDF should carry out a precautionary partial mobilization. The mobilization — the Kachol-Lavan (Blue-White) alert — was implemented between mid-April and the end of July 1973.</w:t>
      </w:r>
      <w:r>
        <w:rPr>
          <w:rStyle w:val="EndnoteReference"/>
        </w:rPr>
        <w:endnoteReference w:id="110"/>
      </w:r>
    </w:p>
    <w:p>
      <w:pPr>
        <w:pStyle w:val="BodyText"/>
      </w:pPr>
      <w:r>
        <w:t xml:space="preserve">The alert cost the Israeli treasury, by the IDF’s later accounting, between four hundred and five hundred million Israeli pounds. The reserves who had been called up were sent home in late July. No war came. And the political-military cost of Kachol-Lavan — beyond the financial — was that the political class’s trust in subsequent AMAN warnings was substantively diminished. Meir, Dayan, and Elazar had been told in April that war was imminent. War had not come. When AMAN’s field officers warned again in September, the warnings were received by a political-military leadership that had been institutionally educated to discount them. This is the institutional condition in which the events of late September and early October 1973 unfolded.</w:t>
      </w:r>
      <w:r>
        <w:rPr>
          <w:rStyle w:val="EndnoteReference"/>
        </w:rPr>
        <w:endnoteReference w:id="111"/>
      </w:r>
    </w:p>
    <w:p>
      <w:pPr>
        <w:pStyle w:val="BodyText"/>
      </w:pPr>
      <w:r>
        <w:t xml:space="preserve">Two specific failures of warning, in the weeks before October 6, deserve note. The first was the failure to act on the high-grade intelligence the Mossad was receiving from Ashraf Marwan — the son-in-law of Gamal Abdel Nasser, the most senior Egyptian asset Israel had ever recruited, and the source whom Bar-Joseph would later describe as having warned the Mossad of an imminent attack on multiple occasions in the weeks before October 6.</w:t>
      </w:r>
      <w:r>
        <w:rPr>
          <w:rStyle w:val="EndnoteReference"/>
        </w:rPr>
        <w:endnoteReference w:id="112"/>
      </w:r>
      <w:r>
        <w:t xml:space="preserve"> </w:t>
      </w:r>
      <w:r>
        <w:t xml:space="preserve">The second was the failure, on the night of October 4–5, 1973, to activate the MM</w:t>
      </w:r>
      <w:r>
        <w:t xml:space="preserve"> </w:t>
      </w:r>
      <w:r>
        <w:t xml:space="preserve">“</w:t>
      </w:r>
      <w:r>
        <w:t xml:space="preserve">special means</w:t>
      </w:r>
      <w:r>
        <w:t xml:space="preserve">”</w:t>
      </w:r>
      <w:r>
        <w:t xml:space="preserve"> </w:t>
      </w:r>
      <w:r>
        <w:t xml:space="preserve">sensors that Arnan and Langotsky had built — the failure I described in Chapter 7 §7.1 and §7.3 and again, more fully, in §6.7 of this chapter. Both failures shared an institutional logic. The AMAN senior staff, having been overruled in April when their conclusion that no war was imminent had been correct in its short-term political content, had institutional reason to discount the field warnings of September and October. And the political leadership, having been over-warned in April, had political reason to defer to the AMAN senior staff’s continued assurance.</w:t>
      </w:r>
    </w:p>
    <w:p>
      <w:pPr>
        <w:pStyle w:val="BodyText"/>
      </w:pPr>
      <w:r>
        <w:t xml:space="preserve">The result, by the morning of October 5, 1973, was a strategic intelligence apparatus that was operating below its full sensitivity in precisely the days when it most urgently needed to be operating at full sensitivity. Ashraf Marwan, in London on the afternoon of October 5, summoned Mossad Director Zvi Zamir for the urgent meeting at which he would tell Zamir that war was hours away. The MM sensors that could have told the Israeli leadership, in real time, what Sadat and Assad were saying to their general staffs remained switched off. The Egyptian commando battalions — twenty-four of them, as the post-war Arnan report would document — were assembled at their canal-crossing positions in the Sinai’s western bank.</w:t>
      </w:r>
      <w:r>
        <w:rPr>
          <w:rStyle w:val="EndnoteReference"/>
        </w:rPr>
        <w:endnoteReference w:id="113"/>
      </w:r>
      <w:r>
        <w:t xml:space="preserve"> </w:t>
      </w:r>
      <w:r>
        <w:t xml:space="preserve">The Israeli political-military leadership was at home for Yom Kippur. And the Sayeret Matkal officer corps that had executed Spring of Youth six months earlier was scattered across the country for the holiday weekend, secure in the institutional confidence that the operation had crowned.</w:t>
      </w:r>
    </w:p>
    <w:bookmarkEnd w:id="114"/>
    <w:bookmarkStart w:id="115" w:name="october-6-1973-bridge-to-chapter-7"/>
    <w:p>
      <w:pPr>
        <w:pStyle w:val="Heading2"/>
      </w:pPr>
      <w:r>
        <w:t xml:space="preserve">6.17 October 6, 1973 — Bridge to Chapter 7</w:t>
      </w:r>
    </w:p>
    <w:p>
      <w:pPr>
        <w:pStyle w:val="FirstParagraph"/>
      </w:pPr>
      <w:r>
        <w:t xml:space="preserve">The two tracks I have been tracing through this chapter — the conventional IDF that had built itself on the air-armor doctrine of the post-1967 period, and the SOF community that had built itself on the counterterrorism doctrine of the post-1968 period — both reached, in the late summer and early autumn of 1973, what was, in their own institutional terms, the high water mark of their respective trajectories. The IAF had more aircraft than ever, with the Phantom and Skyhawk inventories acquired through the post-1968 American pivot. The Armored Corps fielded fourteen brigades and over two thousand tanks, the bulk of them upgraded M48 and M60 Pattons that the Six-Day Triumph had vindicated. Sayeret Matkal had completed Sabena and Spring of Youth, the two operations that defined the operational template for hostage rescue and for transnational targeted action across the Western SOF community for the next two decades. The Mossad’s Wrath of God apparatus was operating across European cities at the height of its operational tempo. Shayetet 13 had reached the operational maturity that its participation in Spring of Youth had displayed. The IDF’s industrial base was producing the indigenous Nesher fighter, would shortly produce the Merkava tank, and was developing — under the names Tamuz and Nimrod that this book has discussed in Chapter 8 — the precision-strike technologies that would eventually become the Spike anti-tank missile family.</w:t>
      </w:r>
    </w:p>
    <w:p>
      <w:pPr>
        <w:pStyle w:val="BodyText"/>
      </w:pPr>
      <w:r>
        <w:t xml:space="preserve">None of this would matter, in any decisive way, in the first three days of the war that began at 2:05 P.M. on Saturday, October 6, 1973.</w:t>
      </w:r>
    </w:p>
    <w:p>
      <w:pPr>
        <w:pStyle w:val="BodyText"/>
      </w:pPr>
      <w:r>
        <w:t xml:space="preserve">The MM sensors would remain silent. The IAF, when it attempted to suppress the Egyptian and Syrian SAM batteries on October 6 and 7, would lose six Phantoms in Operation Dugman over Syria against the destruction of a single SA-6 battery. The Armored Corps, when it attempted the early counter-attacks that the Tochnit Ramatkalit doctrine had been built around, would lose hundreds of tanks to Egyptian Sagger and RPG-7 screens that the doctrine had not anticipated. Sayeret Matkal, scattered to their homes for Yom Kippur, would be told by their command on October 6 that the unit had no defined role in the unfolding war. The unit would, in the hours that followed, take matters into its own hands — and Muki Betser, returning from Spring of Youth’s afterglow to a unit on the brink of an existential crisis, would drive from his home in Nahalal to the unit’s base, hijack a convoy of thirty-eight half-tracks at a roadblock outside the Northern Command headquarters in Safed, and lead the unit’s northern element to Naffakh, where, on the dawn of October 9, he would fight the engagement against the Syrian helicopter-borne commando assault that I described at length in Chapter 7 §7.4.</w:t>
      </w:r>
    </w:p>
    <w:p>
      <w:pPr>
        <w:pStyle w:val="BodyText"/>
      </w:pPr>
      <w:r>
        <w:t xml:space="preserve">The Golden Era this chapter has traced ends on the morning of October 6, 1973. The catastrophe begins at 2:05 P.M. The story of how the institutional confidence the Golden Era produced was tested against the catastrophe — and of how, out of the catastrophe, the IDF’s third entrepreneur produced the institution that would carry the SOF community through the next four decades — is the subject of Chapter 7. We have already read it. The reader who has reached this point, having traveled with me from the Allenby Bridge in March 1968 through Beirut Airport, Sabena, Munich, the Wrath of God, Spring of Youth, and the summer of 1973’s missed warnings, knows what is coming. What I argue is that the institutional confidence of the Golden Era and the institutional catastrophe of the Yom Kippur War are not, as the IDF’s later historiography sometimes suggests, two separate stories. They are the same story. The Golden Era produced the institutional confidence that made the catastrophe possible. The catastrophe produced the institutional opening that made the post-1973 entrepreneurial moment possible. The book’s argument — that critical junctures and the entrepreneurs who seize them are the structural mechanism by which Israel’s SOF community has reinvented itself across nine decades — depends on the reader seeing the continuity between the two halves of the story.</w:t>
      </w:r>
    </w:p>
    <w:p>
      <w:pPr>
        <w:pStyle w:val="BodyText"/>
      </w:pPr>
      <w:r>
        <w:t xml:space="preserve">The morning of October 6, 1973, in the front yard of Muki Betser’s house in Nahalal, is where the continuity begins to bend.</w:t>
      </w:r>
    </w:p>
    <w:bookmarkEnd w:id="115"/>
    <w:bookmarkStart w:id="116" w:name="notes"/>
    <w:p>
      <w:pPr>
        <w:pStyle w:val="Heading2"/>
      </w:pPr>
      <w:r>
        <w:t xml:space="preserve">Notes</w:t>
      </w:r>
    </w:p>
    <w:bookmarkEnd w:id="116"/>
    <w:bookmarkEnd w:id="117"/>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[CITATION MISSING — endnote text absent from the merged draft; recover from the chapter source file]</w:t>
      </w:r>
    </w:p>
  </w:endnote>
  <w:endnote w:id="21">
    <w:p>
      <w:pPr>
        <w:pStyle w:val="EndnoteText"/>
      </w:pPr>
      <w:r>
        <w:rPr>
          <w:rStyle w:val="EndnoteReference"/>
        </w:rPr>
        <w:endnoteRef/>
      </w:r>
      <w:r>
        <w:t xml:space="preserve"> </w:t>
      </w:r>
      <w:r>
        <w:t xml:space="preserve">[CITATION MISSING — endnote text absent from the merged draft; recover from the chapter source file]</w:t>
      </w:r>
    </w:p>
  </w:endnote>
  <w:endnote w:id="22">
    <w:p>
      <w:pPr>
        <w:pStyle w:val="EndnoteText"/>
      </w:pPr>
      <w:r>
        <w:rPr>
          <w:rStyle w:val="EndnoteReference"/>
        </w:rPr>
        <w:endnoteRef/>
      </w:r>
      <w:r>
        <w:t xml:space="preserve"> </w:t>
      </w:r>
      <w:r>
        <w:t xml:space="preserve">[CITATION MISSING — endnote text absent from the merged draft; recover from the chapter source file]</w:t>
      </w:r>
    </w:p>
  </w:endnote>
  <w:endnote w:id="23">
    <w:p>
      <w:pPr>
        <w:pStyle w:val="EndnoteText"/>
      </w:pPr>
      <w:r>
        <w:rPr>
          <w:rStyle w:val="EndnoteReference"/>
        </w:rPr>
        <w:endnoteRef/>
      </w:r>
      <w:r>
        <w:t xml:space="preserve"> </w:t>
      </w:r>
      <w:r>
        <w:t xml:space="preserve">[CITATION MISSING — endnote text absent from the merged draft; recover from the chapter source file]</w:t>
      </w:r>
    </w:p>
  </w:endnote>
  <w:endnote w:id="24">
    <w:p>
      <w:pPr>
        <w:pStyle w:val="EndnoteText"/>
      </w:pPr>
      <w:r>
        <w:rPr>
          <w:rStyle w:val="EndnoteReference"/>
        </w:rPr>
        <w:endnoteRef/>
      </w:r>
      <w:r>
        <w:t xml:space="preserve"> </w:t>
      </w:r>
      <w:r>
        <w:t xml:space="preserve">[CITATION MISSING — endnote text absent from the merged draft; recover from the chapter source file]</w:t>
      </w:r>
    </w:p>
  </w:endnote>
  <w:endnote w:id="26">
    <w:p>
      <w:pPr>
        <w:pStyle w:val="EndnoteText"/>
      </w:pPr>
      <w:r>
        <w:rPr>
          <w:rStyle w:val="EndnoteReference"/>
        </w:rPr>
        <w:endnoteRef/>
      </w:r>
      <w:r>
        <w:t xml:space="preserve"> </w:t>
      </w:r>
      <w:r>
        <w:t xml:space="preserve">[CITATION MISSING — endnote text absent from the merged draft; recover from the chapter source file]</w:t>
      </w:r>
    </w:p>
  </w:endnote>
  <w:endnote w:id="27">
    <w:p>
      <w:pPr>
        <w:pStyle w:val="EndnoteText"/>
      </w:pPr>
      <w:r>
        <w:rPr>
          <w:rStyle w:val="EndnoteReference"/>
        </w:rPr>
        <w:endnoteRef/>
      </w:r>
      <w:r>
        <w:t xml:space="preserve"> </w:t>
      </w:r>
      <w:r>
        <w:t xml:space="preserve">[CITATION MISSING — endnote text absent from the merged draft; recover from the chapter source file]</w:t>
      </w:r>
    </w:p>
  </w:endnote>
  <w:endnote w:id="28">
    <w:p>
      <w:pPr>
        <w:pStyle w:val="EndnoteText"/>
      </w:pPr>
      <w:r>
        <w:rPr>
          <w:rStyle w:val="EndnoteReference"/>
        </w:rPr>
        <w:endnoteRef/>
      </w:r>
      <w:r>
        <w:t xml:space="preserve"> </w:t>
      </w:r>
      <w:r>
        <w:t xml:space="preserve">[CITATION MISSING — endnote text absent from the merged draft; recover from the chapter source file]</w:t>
      </w:r>
    </w:p>
  </w:endnote>
  <w:endnote w:id="29">
    <w:p>
      <w:pPr>
        <w:pStyle w:val="EndnoteText"/>
      </w:pPr>
      <w:r>
        <w:rPr>
          <w:rStyle w:val="EndnoteReference"/>
        </w:rPr>
        <w:endnoteRef/>
      </w:r>
      <w:r>
        <w:t xml:space="preserve"> </w:t>
      </w:r>
      <w:r>
        <w:t xml:space="preserve">[CITATION MISSING — endnote text absent from the merged draft; recover from the chapter source file]</w:t>
      </w:r>
    </w:p>
  </w:endnote>
  <w:endnote w:id="31">
    <w:p>
      <w:pPr>
        <w:pStyle w:val="EndnoteText"/>
      </w:pPr>
      <w:r>
        <w:rPr>
          <w:rStyle w:val="EndnoteReference"/>
        </w:rPr>
        <w:endnoteRef/>
      </w:r>
      <w:r>
        <w:t xml:space="preserve"> </w:t>
      </w:r>
      <w:r>
        <w:t xml:space="preserve">[CITATION MISSING — endnote text absent from the merged draft; recover from the chapter source file]</w:t>
      </w:r>
    </w:p>
  </w:endnote>
  <w:endnote w:id="32">
    <w:p>
      <w:pPr>
        <w:pStyle w:val="EndnoteText"/>
      </w:pPr>
      <w:r>
        <w:rPr>
          <w:rStyle w:val="EndnoteReference"/>
        </w:rPr>
        <w:endnoteRef/>
      </w:r>
      <w:r>
        <w:t xml:space="preserve"> </w:t>
      </w:r>
      <w:r>
        <w:t xml:space="preserve">[CITATION MISSING — endnote text absent from the merged draft; recover from the chapter source file]</w:t>
      </w:r>
    </w:p>
  </w:endnote>
  <w:endnote w:id="33">
    <w:p>
      <w:pPr>
        <w:pStyle w:val="EndnoteText"/>
      </w:pPr>
      <w:r>
        <w:rPr>
          <w:rStyle w:val="EndnoteReference"/>
        </w:rPr>
        <w:endnoteRef/>
      </w:r>
      <w:r>
        <w:t xml:space="preserve"> </w:t>
      </w:r>
      <w:r>
        <w:t xml:space="preserve">[CITATION MISSING — endnote text absent from the merged draft; recover from the chapter source file]</w:t>
      </w:r>
    </w:p>
  </w:endnote>
  <w:endnote w:id="34">
    <w:p>
      <w:pPr>
        <w:pStyle w:val="EndnoteText"/>
      </w:pPr>
      <w:r>
        <w:rPr>
          <w:rStyle w:val="EndnoteReference"/>
        </w:rPr>
        <w:endnoteRef/>
      </w:r>
      <w:r>
        <w:t xml:space="preserve"> </w:t>
      </w:r>
      <w:r>
        <w:t xml:space="preserve">[CITATION MISSING — endnote text absent from the merged draft; recover from the chapter source file]</w:t>
      </w:r>
    </w:p>
  </w:endnote>
  <w:endnote w:id="35">
    <w:p>
      <w:pPr>
        <w:pStyle w:val="EndnoteText"/>
      </w:pPr>
      <w:r>
        <w:rPr>
          <w:rStyle w:val="EndnoteReference"/>
        </w:rPr>
        <w:endnoteRef/>
      </w:r>
      <w:r>
        <w:t xml:space="preserve"> </w:t>
      </w:r>
      <w:r>
        <w:t xml:space="preserve">[CITATION MISSING — endnote text absent from the merged draft; recover from the chapter source file]</w:t>
      </w:r>
    </w:p>
  </w:endnote>
  <w:endnote w:id="36">
    <w:p>
      <w:pPr>
        <w:pStyle w:val="EndnoteText"/>
      </w:pPr>
      <w:r>
        <w:rPr>
          <w:rStyle w:val="EndnoteReference"/>
        </w:rPr>
        <w:endnoteRef/>
      </w:r>
      <w:r>
        <w:t xml:space="preserve"> </w:t>
      </w:r>
      <w:r>
        <w:t xml:space="preserve">[CITATION MISSING — endnote text absent from the merged draft; recover from the chapter source file]</w:t>
      </w:r>
    </w:p>
  </w:endnote>
  <w:endnote w:id="38">
    <w:p>
      <w:pPr>
        <w:pStyle w:val="EndnoteText"/>
      </w:pPr>
      <w:r>
        <w:rPr>
          <w:rStyle w:val="EndnoteReference"/>
        </w:rPr>
        <w:endnoteRef/>
      </w:r>
      <w:r>
        <w:t xml:space="preserve"> </w:t>
      </w:r>
      <w:r>
        <w:t xml:space="preserve">[CITATION MISSING — endnote text absent from the merged draft; recover from the chapter source file]</w:t>
      </w:r>
    </w:p>
  </w:endnote>
  <w:endnote w:id="39">
    <w:p>
      <w:pPr>
        <w:pStyle w:val="EndnoteText"/>
      </w:pPr>
      <w:r>
        <w:rPr>
          <w:rStyle w:val="EndnoteReference"/>
        </w:rPr>
        <w:endnoteRef/>
      </w:r>
      <w:r>
        <w:t xml:space="preserve"> </w:t>
      </w:r>
      <w:r>
        <w:t xml:space="preserve">[CITATION MISSING — endnote text absent from the merged draft; recover from the chapter source file]</w:t>
      </w:r>
    </w:p>
  </w:endnote>
  <w:endnote w:id="40">
    <w:p>
      <w:pPr>
        <w:pStyle w:val="EndnoteText"/>
      </w:pPr>
      <w:r>
        <w:rPr>
          <w:rStyle w:val="EndnoteReference"/>
        </w:rPr>
        <w:endnoteRef/>
      </w:r>
      <w:r>
        <w:t xml:space="preserve"> </w:t>
      </w:r>
      <w:r>
        <w:t xml:space="preserve">[CITATION MISSING — endnote text absent from the merged draft; recover from the chapter source file]</w:t>
      </w:r>
    </w:p>
  </w:endnote>
  <w:endnote w:id="41">
    <w:p>
      <w:pPr>
        <w:pStyle w:val="EndnoteText"/>
      </w:pPr>
      <w:r>
        <w:rPr>
          <w:rStyle w:val="EndnoteReference"/>
        </w:rPr>
        <w:endnoteRef/>
      </w:r>
      <w:r>
        <w:t xml:space="preserve"> </w:t>
      </w:r>
      <w:r>
        <w:t xml:space="preserve">[CITATION MISSING — endnote text absent from the merged draft; recover from the chapter source file]</w:t>
      </w:r>
    </w:p>
  </w:endnote>
  <w:endnote w:id="42">
    <w:p>
      <w:pPr>
        <w:pStyle w:val="EndnoteText"/>
      </w:pPr>
      <w:r>
        <w:rPr>
          <w:rStyle w:val="EndnoteReference"/>
        </w:rPr>
        <w:endnoteRef/>
      </w:r>
      <w:r>
        <w:t xml:space="preserve"> </w:t>
      </w:r>
      <w:r>
        <w:t xml:space="preserve">[CITATION MISSING — endnote text absent from the merged draft; recover from the chapter source file]</w:t>
      </w:r>
    </w:p>
  </w:endnote>
  <w:endnote w:id="43">
    <w:p>
      <w:pPr>
        <w:pStyle w:val="EndnoteText"/>
      </w:pPr>
      <w:r>
        <w:rPr>
          <w:rStyle w:val="EndnoteReference"/>
        </w:rPr>
        <w:endnoteRef/>
      </w:r>
      <w:r>
        <w:t xml:space="preserve"> </w:t>
      </w:r>
      <w:r>
        <w:t xml:space="preserve">[CITATION MISSING — endnote text absent from the merged draft; recover from the chapter source file]</w:t>
      </w:r>
    </w:p>
  </w:endnote>
  <w:endnote w:id="44">
    <w:p>
      <w:pPr>
        <w:pStyle w:val="EndnoteText"/>
      </w:pPr>
      <w:r>
        <w:rPr>
          <w:rStyle w:val="EndnoteReference"/>
        </w:rPr>
        <w:endnoteRef/>
      </w:r>
      <w:r>
        <w:t xml:space="preserve"> </w:t>
      </w:r>
      <w:r>
        <w:t xml:space="preserve">[CITATION MISSING — endnote text absent from the merged draft; recover from the chapter source file]</w:t>
      </w:r>
    </w:p>
  </w:endnote>
  <w:endnote w:id="45">
    <w:p>
      <w:pPr>
        <w:pStyle w:val="EndnoteText"/>
      </w:pPr>
      <w:r>
        <w:rPr>
          <w:rStyle w:val="EndnoteReference"/>
        </w:rPr>
        <w:endnoteRef/>
      </w:r>
      <w:r>
        <w:t xml:space="preserve"> </w:t>
      </w:r>
      <w:r>
        <w:t xml:space="preserve">[CITATION MISSING — endnote text absent from the merged draft; recover from the chapter source file]</w:t>
      </w:r>
    </w:p>
  </w:endnote>
  <w:endnote w:id="46">
    <w:p>
      <w:pPr>
        <w:pStyle w:val="EndnoteText"/>
      </w:pPr>
      <w:r>
        <w:rPr>
          <w:rStyle w:val="EndnoteReference"/>
        </w:rPr>
        <w:endnoteRef/>
      </w:r>
      <w:r>
        <w:t xml:space="preserve"> </w:t>
      </w:r>
      <w:r>
        <w:t xml:space="preserve">[CITATION MISSING — endnote text absent from the merged draft; recover from the chapter source file]</w:t>
      </w:r>
    </w:p>
  </w:endnote>
  <w:endnote w:id="48">
    <w:p>
      <w:pPr>
        <w:pStyle w:val="EndnoteText"/>
      </w:pPr>
      <w:r>
        <w:rPr>
          <w:rStyle w:val="EndnoteReference"/>
        </w:rPr>
        <w:endnoteRef/>
      </w:r>
      <w:r>
        <w:t xml:space="preserve"> </w:t>
      </w:r>
      <w:r>
        <w:t xml:space="preserve">[CITATION MISSING — endnote text absent from the merged draft; recover from the chapter source file]</w:t>
      </w:r>
    </w:p>
  </w:endnote>
  <w:endnote w:id="49">
    <w:p>
      <w:pPr>
        <w:pStyle w:val="EndnoteText"/>
      </w:pPr>
      <w:r>
        <w:rPr>
          <w:rStyle w:val="EndnoteReference"/>
        </w:rPr>
        <w:endnoteRef/>
      </w:r>
      <w:r>
        <w:t xml:space="preserve"> </w:t>
      </w:r>
      <w:r>
        <w:t xml:space="preserve">[CITATION MISSING — endnote text absent from the merged draft; recover from the chapter source file]</w:t>
      </w:r>
    </w:p>
  </w:endnote>
  <w:endnote w:id="50">
    <w:p>
      <w:pPr>
        <w:pStyle w:val="EndnoteText"/>
      </w:pPr>
      <w:r>
        <w:rPr>
          <w:rStyle w:val="EndnoteReference"/>
        </w:rPr>
        <w:endnoteRef/>
      </w:r>
      <w:r>
        <w:t xml:space="preserve"> </w:t>
      </w:r>
      <w:r>
        <w:t xml:space="preserve">[CITATION MISSING — endnote text absent from the merged draft; recover from the chapter source file]</w:t>
      </w:r>
    </w:p>
  </w:endnote>
  <w:endnote w:id="51">
    <w:p>
      <w:pPr>
        <w:pStyle w:val="EndnoteText"/>
      </w:pPr>
      <w:r>
        <w:rPr>
          <w:rStyle w:val="EndnoteReference"/>
        </w:rPr>
        <w:endnoteRef/>
      </w:r>
      <w:r>
        <w:t xml:space="preserve"> </w:t>
      </w:r>
      <w:r>
        <w:t xml:space="preserve">[CITATION MISSING — endnote text absent from the merged draft; recover from the chapter source file]</w:t>
      </w:r>
    </w:p>
  </w:endnote>
  <w:endnote w:id="52">
    <w:p>
      <w:pPr>
        <w:pStyle w:val="EndnoteText"/>
      </w:pPr>
      <w:r>
        <w:rPr>
          <w:rStyle w:val="EndnoteReference"/>
        </w:rPr>
        <w:endnoteRef/>
      </w:r>
      <w:r>
        <w:t xml:space="preserve"> </w:t>
      </w:r>
      <w:r>
        <w:t xml:space="preserve">[CITATION MISSING — endnote text absent from the merged draft; recover from the chapter source file]</w:t>
      </w:r>
    </w:p>
  </w:endnote>
  <w:endnote w:id="54">
    <w:p>
      <w:pPr>
        <w:pStyle w:val="EndnoteText"/>
      </w:pPr>
      <w:r>
        <w:rPr>
          <w:rStyle w:val="EndnoteReference"/>
        </w:rPr>
        <w:endnoteRef/>
      </w:r>
      <w:r>
        <w:t xml:space="preserve"> </w:t>
      </w:r>
      <w:r>
        <w:t xml:space="preserve">[CITATION MISSING — endnote text absent from the merged draft; recover from the chapter source file]</w:t>
      </w:r>
    </w:p>
  </w:endnote>
  <w:endnote w:id="55">
    <w:p>
      <w:pPr>
        <w:pStyle w:val="EndnoteText"/>
      </w:pPr>
      <w:r>
        <w:rPr>
          <w:rStyle w:val="EndnoteReference"/>
        </w:rPr>
        <w:endnoteRef/>
      </w:r>
      <w:r>
        <w:t xml:space="preserve"> </w:t>
      </w:r>
      <w:r>
        <w:t xml:space="preserve">[CITATION MISSING — endnote text absent from the merged draft; recover from the chapter source file]</w:t>
      </w:r>
    </w:p>
  </w:endnote>
  <w:endnote w:id="57">
    <w:p>
      <w:pPr>
        <w:pStyle w:val="EndnoteText"/>
      </w:pPr>
      <w:r>
        <w:rPr>
          <w:rStyle w:val="EndnoteReference"/>
        </w:rPr>
        <w:endnoteRef/>
      </w:r>
      <w:r>
        <w:t xml:space="preserve"> </w:t>
      </w:r>
      <w:r>
        <w:t xml:space="preserve">[CITATION MISSING — endnote text absent from the merged draft; recover from the chapter source file]</w:t>
      </w:r>
    </w:p>
  </w:endnote>
  <w:endnote w:id="58">
    <w:p>
      <w:pPr>
        <w:pStyle w:val="EndnoteText"/>
      </w:pPr>
      <w:r>
        <w:rPr>
          <w:rStyle w:val="EndnoteReference"/>
        </w:rPr>
        <w:endnoteRef/>
      </w:r>
      <w:r>
        <w:t xml:space="preserve"> </w:t>
      </w:r>
      <w:r>
        <w:t xml:space="preserve">[CITATION MISSING — endnote text absent from the merged draft; recover from the chapter source file]</w:t>
      </w:r>
    </w:p>
  </w:endnote>
  <w:endnote w:id="59">
    <w:p>
      <w:pPr>
        <w:pStyle w:val="EndnoteText"/>
      </w:pPr>
      <w:r>
        <w:rPr>
          <w:rStyle w:val="EndnoteReference"/>
        </w:rPr>
        <w:endnoteRef/>
      </w:r>
      <w:r>
        <w:t xml:space="preserve"> </w:t>
      </w:r>
      <w:r>
        <w:t xml:space="preserve">[CITATION MISSING — endnote text absent from the merged draft; recover from the chapter source file]</w:t>
      </w:r>
    </w:p>
  </w:endnote>
  <w:endnote w:id="60">
    <w:p>
      <w:pPr>
        <w:pStyle w:val="EndnoteText"/>
      </w:pPr>
      <w:r>
        <w:rPr>
          <w:rStyle w:val="EndnoteReference"/>
        </w:rPr>
        <w:endnoteRef/>
      </w:r>
      <w:r>
        <w:t xml:space="preserve"> </w:t>
      </w:r>
      <w:r>
        <w:t xml:space="preserve">[CITATION MISSING — endnote text absent from the merged draft; recover from the chapter source file]</w:t>
      </w:r>
    </w:p>
  </w:endnote>
  <w:endnote w:id="61">
    <w:p>
      <w:pPr>
        <w:pStyle w:val="EndnoteText"/>
      </w:pPr>
      <w:r>
        <w:rPr>
          <w:rStyle w:val="EndnoteReference"/>
        </w:rPr>
        <w:endnoteRef/>
      </w:r>
      <w:r>
        <w:t xml:space="preserve"> </w:t>
      </w:r>
      <w:r>
        <w:t xml:space="preserve">[CITATION MISSING — endnote text absent from the merged draft; recover from the chapter source file]</w:t>
      </w:r>
    </w:p>
  </w:endnote>
  <w:endnote w:id="63">
    <w:p>
      <w:pPr>
        <w:pStyle w:val="EndnoteText"/>
      </w:pPr>
      <w:r>
        <w:rPr>
          <w:rStyle w:val="EndnoteReference"/>
        </w:rPr>
        <w:endnoteRef/>
      </w:r>
      <w:r>
        <w:t xml:space="preserve"> </w:t>
      </w:r>
      <w:r>
        <w:t xml:space="preserve">[CITATION MISSING — endnote text absent from the merged draft; recover from the chapter source file]</w:t>
      </w:r>
    </w:p>
  </w:endnote>
  <w:endnote w:id="64">
    <w:p>
      <w:pPr>
        <w:pStyle w:val="EndnoteText"/>
      </w:pPr>
      <w:r>
        <w:rPr>
          <w:rStyle w:val="EndnoteReference"/>
        </w:rPr>
        <w:endnoteRef/>
      </w:r>
      <w:r>
        <w:t xml:space="preserve"> </w:t>
      </w:r>
      <w:r>
        <w:t xml:space="preserve">[CITATION MISSING — endnote text absent from the merged draft; recover from the chapter source file]</w:t>
      </w:r>
    </w:p>
  </w:endnote>
  <w:endnote w:id="65">
    <w:p>
      <w:pPr>
        <w:pStyle w:val="EndnoteText"/>
      </w:pPr>
      <w:r>
        <w:rPr>
          <w:rStyle w:val="EndnoteReference"/>
        </w:rPr>
        <w:endnoteRef/>
      </w:r>
      <w:r>
        <w:t xml:space="preserve"> </w:t>
      </w:r>
      <w:r>
        <w:t xml:space="preserve">[CITATION MISSING — endnote text absent from the merged draft; recover from the chapter source file]</w:t>
      </w:r>
    </w:p>
  </w:endnote>
  <w:endnote w:id="66">
    <w:p>
      <w:pPr>
        <w:pStyle w:val="EndnoteText"/>
      </w:pPr>
      <w:r>
        <w:rPr>
          <w:rStyle w:val="EndnoteReference"/>
        </w:rPr>
        <w:endnoteRef/>
      </w:r>
      <w:r>
        <w:t xml:space="preserve"> </w:t>
      </w:r>
      <w:r>
        <w:t xml:space="preserve">[CITATION MISSING — endnote text absent from the merged draft; recover from the chapter source file]</w:t>
      </w:r>
    </w:p>
  </w:endnote>
  <w:endnote w:id="67">
    <w:p>
      <w:pPr>
        <w:pStyle w:val="EndnoteText"/>
      </w:pPr>
      <w:r>
        <w:rPr>
          <w:rStyle w:val="EndnoteReference"/>
        </w:rPr>
        <w:endnoteRef/>
      </w:r>
      <w:r>
        <w:t xml:space="preserve"> </w:t>
      </w:r>
      <w:r>
        <w:t xml:space="preserve">[CITATION MISSING — endnote text absent from the merged draft; recover from the chapter source file]</w:t>
      </w:r>
    </w:p>
  </w:endnote>
  <w:endnote w:id="68">
    <w:p>
      <w:pPr>
        <w:pStyle w:val="EndnoteText"/>
      </w:pPr>
      <w:r>
        <w:rPr>
          <w:rStyle w:val="EndnoteReference"/>
        </w:rPr>
        <w:endnoteRef/>
      </w:r>
      <w:r>
        <w:t xml:space="preserve"> </w:t>
      </w:r>
      <w:r>
        <w:t xml:space="preserve">[CITATION MISSING — endnote text absent from the merged draft; recover from the chapter source file]</w:t>
      </w:r>
    </w:p>
  </w:endnote>
  <w:endnote w:id="70">
    <w:p>
      <w:pPr>
        <w:pStyle w:val="EndnoteText"/>
      </w:pPr>
      <w:r>
        <w:rPr>
          <w:rStyle w:val="EndnoteReference"/>
        </w:rPr>
        <w:endnoteRef/>
      </w:r>
      <w:r>
        <w:t xml:space="preserve"> </w:t>
      </w:r>
      <w:r>
        <w:t xml:space="preserve">[CITATION MISSING — endnote text absent from the merged draft; recover from the chapter source file]</w:t>
      </w:r>
    </w:p>
  </w:endnote>
  <w:endnote w:id="71">
    <w:p>
      <w:pPr>
        <w:pStyle w:val="EndnoteText"/>
      </w:pPr>
      <w:r>
        <w:rPr>
          <w:rStyle w:val="EndnoteReference"/>
        </w:rPr>
        <w:endnoteRef/>
      </w:r>
      <w:r>
        <w:t xml:space="preserve"> </w:t>
      </w:r>
      <w:r>
        <w:t xml:space="preserve">[CITATION MISSING — endnote text absent from the merged draft; recover from the chapter source file]</w:t>
      </w:r>
    </w:p>
  </w:endnote>
  <w:endnote w:id="72">
    <w:p>
      <w:pPr>
        <w:pStyle w:val="EndnoteText"/>
      </w:pPr>
      <w:r>
        <w:rPr>
          <w:rStyle w:val="EndnoteReference"/>
        </w:rPr>
        <w:endnoteRef/>
      </w:r>
      <w:r>
        <w:t xml:space="preserve"> </w:t>
      </w:r>
      <w:r>
        <w:t xml:space="preserve">[CITATION MISSING — endnote text absent from the merged draft; recover from the chapter source file]</w:t>
      </w:r>
    </w:p>
  </w:endnote>
  <w:endnote w:id="73">
    <w:p>
      <w:pPr>
        <w:pStyle w:val="EndnoteText"/>
      </w:pPr>
      <w:r>
        <w:rPr>
          <w:rStyle w:val="EndnoteReference"/>
        </w:rPr>
        <w:endnoteRef/>
      </w:r>
      <w:r>
        <w:t xml:space="preserve"> </w:t>
      </w:r>
      <w:r>
        <w:t xml:space="preserve">[CITATION MISSING — endnote text absent from the merged draft; recover from the chapter source file]</w:t>
      </w:r>
    </w:p>
  </w:endnote>
  <w:endnote w:id="75">
    <w:p>
      <w:pPr>
        <w:pStyle w:val="EndnoteText"/>
      </w:pPr>
      <w:r>
        <w:rPr>
          <w:rStyle w:val="EndnoteReference"/>
        </w:rPr>
        <w:endnoteRef/>
      </w:r>
      <w:r>
        <w:t xml:space="preserve"> </w:t>
      </w:r>
      <w:r>
        <w:t xml:space="preserve">[CITATION MISSING — endnote text absent from the merged draft; recover from the chapter source file]</w:t>
      </w:r>
    </w:p>
  </w:endnote>
  <w:endnote w:id="76">
    <w:p>
      <w:pPr>
        <w:pStyle w:val="EndnoteText"/>
      </w:pPr>
      <w:r>
        <w:rPr>
          <w:rStyle w:val="EndnoteReference"/>
        </w:rPr>
        <w:endnoteRef/>
      </w:r>
      <w:r>
        <w:t xml:space="preserve"> </w:t>
      </w:r>
      <w:r>
        <w:t xml:space="preserve">[CITATION MISSING — endnote text absent from the merged draft; recover from the chapter source file]</w:t>
      </w:r>
    </w:p>
  </w:endnote>
  <w:endnote w:id="77">
    <w:p>
      <w:pPr>
        <w:pStyle w:val="EndnoteText"/>
      </w:pPr>
      <w:r>
        <w:rPr>
          <w:rStyle w:val="EndnoteReference"/>
        </w:rPr>
        <w:endnoteRef/>
      </w:r>
      <w:r>
        <w:t xml:space="preserve"> </w:t>
      </w:r>
      <w:r>
        <w:t xml:space="preserve">[CITATION MISSING — endnote text absent from the merged draft; recover from the chapter source file]</w:t>
      </w:r>
    </w:p>
  </w:endnote>
  <w:endnote w:id="78">
    <w:p>
      <w:pPr>
        <w:pStyle w:val="EndnoteText"/>
      </w:pPr>
      <w:r>
        <w:rPr>
          <w:rStyle w:val="EndnoteReference"/>
        </w:rPr>
        <w:endnoteRef/>
      </w:r>
      <w:r>
        <w:t xml:space="preserve"> </w:t>
      </w:r>
      <w:r>
        <w:t xml:space="preserve">[CITATION MISSING — endnote text absent from the merged draft; recover from the chapter source file]</w:t>
      </w:r>
    </w:p>
  </w:endnote>
  <w:endnote w:id="79">
    <w:p>
      <w:pPr>
        <w:pStyle w:val="EndnoteText"/>
      </w:pPr>
      <w:r>
        <w:rPr>
          <w:rStyle w:val="EndnoteReference"/>
        </w:rPr>
        <w:endnoteRef/>
      </w:r>
      <w:r>
        <w:t xml:space="preserve"> </w:t>
      </w:r>
      <w:r>
        <w:t xml:space="preserve">[CITATION MISSING — endnote text absent from the merged draft; recover from the chapter source file]</w:t>
      </w:r>
    </w:p>
  </w:endnote>
  <w:endnote w:id="81">
    <w:p>
      <w:pPr>
        <w:pStyle w:val="EndnoteText"/>
      </w:pPr>
      <w:r>
        <w:rPr>
          <w:rStyle w:val="EndnoteReference"/>
        </w:rPr>
        <w:endnoteRef/>
      </w:r>
      <w:r>
        <w:t xml:space="preserve"> </w:t>
      </w:r>
      <w:r>
        <w:t xml:space="preserve">[CITATION MISSING — endnote text absent from the merged draft; recover from the chapter source file]</w:t>
      </w:r>
    </w:p>
  </w:endnote>
  <w:endnote w:id="82">
    <w:p>
      <w:pPr>
        <w:pStyle w:val="EndnoteText"/>
      </w:pPr>
      <w:r>
        <w:rPr>
          <w:rStyle w:val="EndnoteReference"/>
        </w:rPr>
        <w:endnoteRef/>
      </w:r>
      <w:r>
        <w:t xml:space="preserve"> </w:t>
      </w:r>
      <w:r>
        <w:t xml:space="preserve">[CITATION MISSING — endnote text absent from the merged draft; recover from the chapter source file]</w:t>
      </w:r>
    </w:p>
  </w:endnote>
  <w:endnote w:id="83">
    <w:p>
      <w:pPr>
        <w:pStyle w:val="EndnoteText"/>
      </w:pPr>
      <w:r>
        <w:rPr>
          <w:rStyle w:val="EndnoteReference"/>
        </w:rPr>
        <w:endnoteRef/>
      </w:r>
      <w:r>
        <w:t xml:space="preserve"> </w:t>
      </w:r>
      <w:r>
        <w:t xml:space="preserve">[CITATION MISSING — endnote text absent from the merged draft; recover from the chapter source file]</w:t>
      </w:r>
    </w:p>
  </w:endnote>
  <w:endnote w:id="84">
    <w:p>
      <w:pPr>
        <w:pStyle w:val="EndnoteText"/>
      </w:pPr>
      <w:r>
        <w:rPr>
          <w:rStyle w:val="EndnoteReference"/>
        </w:rPr>
        <w:endnoteRef/>
      </w:r>
      <w:r>
        <w:t xml:space="preserve"> </w:t>
      </w:r>
      <w:r>
        <w:t xml:space="preserve">[CITATION MISSING — endnote text absent from the merged draft; recover from the chapter source file]</w:t>
      </w:r>
    </w:p>
  </w:endnote>
  <w:endnote w:id="85">
    <w:p>
      <w:pPr>
        <w:pStyle w:val="EndnoteText"/>
      </w:pPr>
      <w:r>
        <w:rPr>
          <w:rStyle w:val="EndnoteReference"/>
        </w:rPr>
        <w:endnoteRef/>
      </w:r>
      <w:r>
        <w:t xml:space="preserve"> </w:t>
      </w:r>
      <w:r>
        <w:t xml:space="preserve">[CITATION MISSING — endnote text absent from the merged draft; recover from the chapter source file]</w:t>
      </w:r>
    </w:p>
  </w:endnote>
  <w:endnote w:id="87">
    <w:p>
      <w:pPr>
        <w:pStyle w:val="EndnoteText"/>
      </w:pPr>
      <w:r>
        <w:rPr>
          <w:rStyle w:val="EndnoteReference"/>
        </w:rPr>
        <w:endnoteRef/>
      </w:r>
      <w:r>
        <w:t xml:space="preserve"> </w:t>
      </w:r>
      <w:r>
        <w:t xml:space="preserve">[CITATION MISSING — endnote text absent from the merged draft; recover from the chapter source file]</w:t>
      </w:r>
    </w:p>
  </w:endnote>
  <w:endnote w:id="88">
    <w:p>
      <w:pPr>
        <w:pStyle w:val="EndnoteText"/>
      </w:pPr>
      <w:r>
        <w:rPr>
          <w:rStyle w:val="EndnoteReference"/>
        </w:rPr>
        <w:endnoteRef/>
      </w:r>
      <w:r>
        <w:t xml:space="preserve"> </w:t>
      </w:r>
      <w:r>
        <w:t xml:space="preserve">[CITATION MISSING — endnote text absent from the merged draft; recover from the chapter source file]</w:t>
      </w:r>
    </w:p>
  </w:endnote>
  <w:endnote w:id="89">
    <w:p>
      <w:pPr>
        <w:pStyle w:val="EndnoteText"/>
      </w:pPr>
      <w:r>
        <w:rPr>
          <w:rStyle w:val="EndnoteReference"/>
        </w:rPr>
        <w:endnoteRef/>
      </w:r>
      <w:r>
        <w:t xml:space="preserve"> </w:t>
      </w:r>
      <w:r>
        <w:t xml:space="preserve">[CITATION MISSING — endnote text absent from the merged draft; recover from the chapter source file]</w:t>
      </w:r>
    </w:p>
  </w:endnote>
  <w:endnote w:id="91">
    <w:p>
      <w:pPr>
        <w:pStyle w:val="EndnoteText"/>
      </w:pPr>
      <w:r>
        <w:rPr>
          <w:rStyle w:val="EndnoteReference"/>
        </w:rPr>
        <w:endnoteRef/>
      </w:r>
      <w:r>
        <w:t xml:space="preserve"> </w:t>
      </w:r>
      <w:r>
        <w:t xml:space="preserve">[CITATION MISSING — endnote text absent from the merged draft; recover from the chapter source file]</w:t>
      </w:r>
    </w:p>
  </w:endnote>
  <w:endnote w:id="92">
    <w:p>
      <w:pPr>
        <w:pStyle w:val="EndnoteText"/>
      </w:pPr>
      <w:r>
        <w:rPr>
          <w:rStyle w:val="EndnoteReference"/>
        </w:rPr>
        <w:endnoteRef/>
      </w:r>
      <w:r>
        <w:t xml:space="preserve"> </w:t>
      </w:r>
      <w:r>
        <w:t xml:space="preserve">[CITATION MISSING — endnote text absent from the merged draft; recover from the chapter source file]</w:t>
      </w:r>
    </w:p>
  </w:endnote>
  <w:endnote w:id="93">
    <w:p>
      <w:pPr>
        <w:pStyle w:val="EndnoteText"/>
      </w:pPr>
      <w:r>
        <w:rPr>
          <w:rStyle w:val="EndnoteReference"/>
        </w:rPr>
        <w:endnoteRef/>
      </w:r>
      <w:r>
        <w:t xml:space="preserve"> </w:t>
      </w:r>
      <w:r>
        <w:t xml:space="preserve">[CITATION MISSING — endnote text absent from the merged draft; recover from the chapter source file]</w:t>
      </w:r>
    </w:p>
  </w:endnote>
  <w:endnote w:id="94">
    <w:p>
      <w:pPr>
        <w:pStyle w:val="EndnoteText"/>
      </w:pPr>
      <w:r>
        <w:rPr>
          <w:rStyle w:val="EndnoteReference"/>
        </w:rPr>
        <w:endnoteRef/>
      </w:r>
      <w:r>
        <w:t xml:space="preserve"> </w:t>
      </w:r>
      <w:r>
        <w:t xml:space="preserve">[CITATION MISSING — endnote text absent from the merged draft; recover from the chapter source file]</w:t>
      </w:r>
    </w:p>
  </w:endnote>
  <w:endnote w:id="95">
    <w:p>
      <w:pPr>
        <w:pStyle w:val="EndnoteText"/>
      </w:pPr>
      <w:r>
        <w:rPr>
          <w:rStyle w:val="EndnoteReference"/>
        </w:rPr>
        <w:endnoteRef/>
      </w:r>
      <w:r>
        <w:t xml:space="preserve"> </w:t>
      </w:r>
      <w:r>
        <w:t xml:space="preserve">[CITATION MISSING — endnote text absent from the merged draft; recover from the chapter source file]</w:t>
      </w:r>
    </w:p>
  </w:endnote>
  <w:endnote w:id="97">
    <w:p>
      <w:pPr>
        <w:pStyle w:val="EndnoteText"/>
      </w:pPr>
      <w:r>
        <w:rPr>
          <w:rStyle w:val="EndnoteReference"/>
        </w:rPr>
        <w:endnoteRef/>
      </w:r>
      <w:r>
        <w:t xml:space="preserve"> </w:t>
      </w:r>
      <w:r>
        <w:t xml:space="preserve">[CITATION MISSING — endnote text absent from the merged draft; recover from the chapter source file]</w:t>
      </w:r>
    </w:p>
  </w:endnote>
  <w:endnote w:id="98">
    <w:p>
      <w:pPr>
        <w:pStyle w:val="EndnoteText"/>
      </w:pPr>
      <w:r>
        <w:rPr>
          <w:rStyle w:val="EndnoteReference"/>
        </w:rPr>
        <w:endnoteRef/>
      </w:r>
      <w:r>
        <w:t xml:space="preserve"> </w:t>
      </w:r>
      <w:r>
        <w:t xml:space="preserve">[CITATION MISSING — endnote text absent from the merged draft; recover from the chapter source file]</w:t>
      </w:r>
    </w:p>
  </w:endnote>
  <w:endnote w:id="99">
    <w:p>
      <w:pPr>
        <w:pStyle w:val="EndnoteText"/>
      </w:pPr>
      <w:r>
        <w:rPr>
          <w:rStyle w:val="EndnoteReference"/>
        </w:rPr>
        <w:endnoteRef/>
      </w:r>
      <w:r>
        <w:t xml:space="preserve"> </w:t>
      </w:r>
      <w:r>
        <w:t xml:space="preserve">[CITATION MISSING — endnote text absent from the merged draft; recover from the chapter source file]</w:t>
      </w:r>
    </w:p>
  </w:endnote>
  <w:endnote w:id="100">
    <w:p>
      <w:pPr>
        <w:pStyle w:val="EndnoteText"/>
      </w:pPr>
      <w:r>
        <w:rPr>
          <w:rStyle w:val="EndnoteReference"/>
        </w:rPr>
        <w:endnoteRef/>
      </w:r>
      <w:r>
        <w:t xml:space="preserve"> </w:t>
      </w:r>
      <w:r>
        <w:t xml:space="preserve">[CITATION MISSING — endnote text absent from the merged draft; recover from the chapter source file]</w:t>
      </w:r>
    </w:p>
  </w:endnote>
  <w:endnote w:id="101">
    <w:p>
      <w:pPr>
        <w:pStyle w:val="EndnoteText"/>
      </w:pPr>
      <w:r>
        <w:rPr>
          <w:rStyle w:val="EndnoteReference"/>
        </w:rPr>
        <w:endnoteRef/>
      </w:r>
      <w:r>
        <w:t xml:space="preserve"> </w:t>
      </w:r>
      <w:r>
        <w:t xml:space="preserve">[CITATION MISSING — endnote text absent from the merged draft; recover from the chapter source file]</w:t>
      </w:r>
    </w:p>
  </w:endnote>
  <w:endnote w:id="102">
    <w:p>
      <w:pPr>
        <w:pStyle w:val="EndnoteText"/>
      </w:pPr>
      <w:r>
        <w:rPr>
          <w:rStyle w:val="EndnoteReference"/>
        </w:rPr>
        <w:endnoteRef/>
      </w:r>
      <w:r>
        <w:t xml:space="preserve"> </w:t>
      </w:r>
      <w:r>
        <w:t xml:space="preserve">[CITATION MISSING — endnote text absent from the merged draft; recover from the chapter source file]</w:t>
      </w:r>
    </w:p>
  </w:endnote>
  <w:endnote w:id="104">
    <w:p>
      <w:pPr>
        <w:pStyle w:val="EndnoteText"/>
      </w:pPr>
      <w:r>
        <w:rPr>
          <w:rStyle w:val="EndnoteReference"/>
        </w:rPr>
        <w:endnoteRef/>
      </w:r>
      <w:r>
        <w:t xml:space="preserve"> </w:t>
      </w:r>
      <w:r>
        <w:t xml:space="preserve">[CITATION MISSING — endnote text absent from the merged draft; recover from the chapter source file]</w:t>
      </w:r>
    </w:p>
  </w:endnote>
  <w:endnote w:id="105">
    <w:p>
      <w:pPr>
        <w:pStyle w:val="EndnoteText"/>
      </w:pPr>
      <w:r>
        <w:rPr>
          <w:rStyle w:val="EndnoteReference"/>
        </w:rPr>
        <w:endnoteRef/>
      </w:r>
      <w:r>
        <w:t xml:space="preserve"> </w:t>
      </w:r>
      <w:r>
        <w:t xml:space="preserve">[CITATION MISSING — endnote text absent from the merged draft; recover from the chapter source file]</w:t>
      </w:r>
    </w:p>
  </w:endnote>
  <w:endnote w:id="106">
    <w:p>
      <w:pPr>
        <w:pStyle w:val="EndnoteText"/>
      </w:pPr>
      <w:r>
        <w:rPr>
          <w:rStyle w:val="EndnoteReference"/>
        </w:rPr>
        <w:endnoteRef/>
      </w:r>
      <w:r>
        <w:t xml:space="preserve"> </w:t>
      </w:r>
      <w:r>
        <w:t xml:space="preserve">[CITATION MISSING — endnote text absent from the merged draft; recover from the chapter source file]</w:t>
      </w:r>
    </w:p>
  </w:endnote>
  <w:endnote w:id="107">
    <w:p>
      <w:pPr>
        <w:pStyle w:val="EndnoteText"/>
      </w:pPr>
      <w:r>
        <w:rPr>
          <w:rStyle w:val="EndnoteReference"/>
        </w:rPr>
        <w:endnoteRef/>
      </w:r>
      <w:r>
        <w:t xml:space="preserve"> </w:t>
      </w:r>
      <w:r>
        <w:t xml:space="preserve">[CITATION MISSING — endnote text absent from the merged draft; recover from the chapter source file]</w:t>
      </w:r>
    </w:p>
  </w:endnote>
  <w:endnote w:id="108">
    <w:p>
      <w:pPr>
        <w:pStyle w:val="EndnoteText"/>
      </w:pPr>
      <w:r>
        <w:rPr>
          <w:rStyle w:val="EndnoteReference"/>
        </w:rPr>
        <w:endnoteRef/>
      </w:r>
      <w:r>
        <w:t xml:space="preserve"> </w:t>
      </w:r>
      <w:r>
        <w:t xml:space="preserve">[CITATION MISSING — endnote text absent from the merged draft; recover from the chapter source file]</w:t>
      </w:r>
    </w:p>
  </w:endnote>
  <w:endnote w:id="110">
    <w:p>
      <w:pPr>
        <w:pStyle w:val="EndnoteText"/>
      </w:pPr>
      <w:r>
        <w:rPr>
          <w:rStyle w:val="EndnoteReference"/>
        </w:rPr>
        <w:endnoteRef/>
      </w:r>
      <w:r>
        <w:t xml:space="preserve"> </w:t>
      </w:r>
      <w:r>
        <w:t xml:space="preserve">[CITATION MISSING — endnote text absent from the merged draft; recover from the chapter source file]</w:t>
      </w:r>
    </w:p>
  </w:endnote>
  <w:endnote w:id="111">
    <w:p>
      <w:pPr>
        <w:pStyle w:val="EndnoteText"/>
      </w:pPr>
      <w:r>
        <w:rPr>
          <w:rStyle w:val="EndnoteReference"/>
        </w:rPr>
        <w:endnoteRef/>
      </w:r>
      <w:r>
        <w:t xml:space="preserve"> </w:t>
      </w:r>
      <w:r>
        <w:t xml:space="preserve">[CITATION MISSING — endnote text absent from the merged draft; recover from the chapter source file]</w:t>
      </w:r>
    </w:p>
  </w:endnote>
  <w:endnote w:id="112">
    <w:p>
      <w:pPr>
        <w:pStyle w:val="EndnoteText"/>
      </w:pPr>
      <w:r>
        <w:rPr>
          <w:rStyle w:val="EndnoteReference"/>
        </w:rPr>
        <w:endnoteRef/>
      </w:r>
      <w:r>
        <w:t xml:space="preserve"> </w:t>
      </w:r>
      <w:r>
        <w:t xml:space="preserve">[CITATION MISSING — endnote text absent from the merged draft; recover from the chapter source file]</w:t>
      </w:r>
    </w:p>
  </w:endnote>
  <w:endnote w:id="113">
    <w:p>
      <w:pPr>
        <w:pStyle w:val="EndnoteText"/>
      </w:pPr>
      <w:r>
        <w:rPr>
          <w:rStyle w:val="EndnoteReference"/>
        </w:rPr>
        <w:endnoteRef/>
      </w:r>
      <w:r>
        <w:t xml:space="preserve"> </w:t>
      </w:r>
      <w:r>
        <w:t xml:space="preserve">[CITATION MISSING — endnote text absent from the merged draft; recover from the chapter source file]</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2026-08-10T01:56:50Z</dcterms:created>
  <dcterms:modified xsi:type="dcterms:W3CDTF">2026-08-10T01:56:50Z</dcterms:modified>
</cp:coreProperties>
</file>

<file path=docProps/custom.xml><?xml version="1.0" encoding="utf-8"?>
<Properties xmlns="http://schemas.openxmlformats.org/officeDocument/2006/custom-properties" xmlns:vt="http://schemas.openxmlformats.org/officeDocument/2006/docPropsVTypes"/>
</file>