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chapter-7-the-third-entrepreneur"/>
    <w:p>
      <w:pPr>
        <w:pStyle w:val="Heading1"/>
      </w:pPr>
      <w:r>
        <w:t xml:space="preserve">Chapter 7 — The Third Entrepreneur</w:t>
      </w:r>
    </w:p>
    <w:p>
      <w:pPr>
        <w:pStyle w:val="FirstParagraph"/>
      </w:pPr>
      <w:r>
        <w:rPr>
          <w:iCs/>
          <w:i/>
        </w:rPr>
        <w:t xml:space="preserve">Muki Betser, the Yom Kippur War, and the Founding of Shaldag</w:t>
      </w:r>
    </w:p>
    <w:bookmarkStart w:id="30" w:name="the-phone-rings-nahalal-october-6-1973"/>
    <w:p>
      <w:pPr>
        <w:pStyle w:val="Heading2"/>
      </w:pPr>
      <w:r>
        <w:t xml:space="preserve">7.1 The Phone Rings, Nahalal, October 6, 1973</w:t>
      </w:r>
    </w:p>
    <w:p>
      <w:pPr>
        <w:pStyle w:val="FirstParagraph"/>
      </w:pPr>
      <w:r>
        <w:t xml:space="preserve">The phone in the front yard of Muki Betser’s house in Moshav Nahalal rang on the morning of Saturday, October 6, 1973, and broke a silence that was not ordinary silence. Yom Kippur — the Day of Atonement — was the one day in the Israeli year when even the secular kibbutzim and moshavim of the Jezreel Valley fell into a kind of voluntary stillness: radio stations went off the air, automobile traffic vanished from the roads, the agricultural rhythm of the Valley paused, and the country, religious and secular alike, settled into the long fast.</w:t>
      </w:r>
      <w:r>
        <w:rPr>
          <w:rStyle w:val="EndnoteReference"/>
        </w:rPr>
        <w:endnoteReference w:id="20"/>
      </w:r>
      <w:r>
        <w:t xml:space="preserve"> </w:t>
      </w:r>
      <w:r>
        <w:t xml:space="preserve">Betser, who had come home the day before to spend the holiday with his family, was sitting outside when the sound cut through the morning air.</w:t>
      </w:r>
    </w:p>
    <w:p>
      <w:pPr>
        <w:pStyle w:val="BodyText"/>
      </w:pPr>
      <w:r>
        <w:t xml:space="preserve">He was almost twenty-eight. He had been born on October 14, 1945, in Nahalal, into one of the founding families of the moshav.</w:t>
      </w:r>
      <w:r>
        <w:rPr>
          <w:rStyle w:val="EndnoteReference"/>
        </w:rPr>
        <w:endnoteReference w:id="21"/>
      </w:r>
      <w:r>
        <w:t xml:space="preserve"> </w:t>
      </w:r>
      <w:r>
        <w:t xml:space="preserve">His father, Nachman, had served with Charles Orde Wingate’s Special Night Squads in 1938 and 1939 — the British counterterrorism units I described in Chapter 2 — and had remained part of the small, tightly woven network of Wingate veterans that included Yigal Allon, Moshe Dayan, Yitzhak Sadeh, and the Palmach generation more broadly.</w:t>
      </w:r>
      <w:r>
        <w:rPr>
          <w:rStyle w:val="EndnoteReference"/>
        </w:rPr>
        <w:endnoteReference w:id="22"/>
      </w:r>
      <w:r>
        <w:t xml:space="preserve"> </w:t>
      </w:r>
      <w:r>
        <w:t xml:space="preserve">Muki had grown up inside that network. He had enlisted in the paratroopers’ reconnaissance platoon in 1964, followed his older brother to the unit, and after officer training had joined Sayeret Shaked as a company commander under Amos Yarkoni — the legendary Bedouin tracker whose ferocity in the Negev was, by the late 1960s, already an Israeli folk story.</w:t>
      </w:r>
      <w:r>
        <w:rPr>
          <w:rStyle w:val="EndnoteReference"/>
        </w:rPr>
        <w:endnoteReference w:id="23"/>
      </w:r>
      <w:r>
        <w:t xml:space="preserve"> </w:t>
      </w:r>
      <w:r>
        <w:t xml:space="preserve">He had fought at Karameh in March 1968, been severely wounded, recovered, taken a stint as the founding head of El Al’s aviation security branch, and then — when the IDF needed his services again — re-enlisted into Sayeret Egoz as a platoon commander. By the early 1970s he had become one of perhaps a half-dozen IDF officers who had spent their entire careers inside the Special Operations Forces. His reputation reached Ehud Barak and Benjamin Netanyahu, then the rising lights of Sayeret Matkal, and when they learned that Matan Vilnai of the paratroopers was trying to bring Betser back to the brigade reconnaissance platoon, they went directly to the Chief of Staff, David Elazar (Dado), a longtime friend of the unit and Betser’s old commander from the Harel Brigade in 1948. Dado cast the die. Betser joined Sayeret Matkal in 1972 and, although he was a newcomer, immersed himself in the tightknit unit. By October 1973 he was the commander of the unit’s training squad and, like most of its officers, he had left for the weekend with the intention of spending Yom Kippur at home.</w:t>
      </w:r>
      <w:r>
        <w:rPr>
          <w:rStyle w:val="EndnoteReference"/>
        </w:rPr>
        <w:endnoteReference w:id="24"/>
      </w:r>
    </w:p>
    <w:p>
      <w:pPr>
        <w:pStyle w:val="BodyText"/>
      </w:pPr>
      <w:r>
        <w:t xml:space="preserve">The Egyptian and Syrian armies had been conducting visible maneuvers along their borders with Israel for weeks, and as an officer of AMAN’s clandestine SOF Betser was aware of the activity.</w:t>
      </w:r>
      <w:r>
        <w:rPr>
          <w:rStyle w:val="EndnoteReference"/>
        </w:rPr>
        <w:endnoteReference w:id="25"/>
      </w:r>
      <w:r>
        <w:t xml:space="preserve"> </w:t>
      </w:r>
      <w:r>
        <w:t xml:space="preserve">Less than two months earlier, however, the IDF had stood down from a prolonged alert that had run from the spring through the summer — a costly mobilization of reserves that had cost the treasury, frayed the public’s patience, and, in the end, produced no war. Like almost every senior officer in the army, Betser had absorbed the reasoning: AMAN’s analysis was that Egypt and Syria lacked the air capability for a credible offensive, that the political conditions did not favor war, and that the maneuvers were exercises designed to keep tensions up without crossing the line. He had a nagging gut feeling that something was wrong. He managed to calm himself.</w:t>
      </w:r>
      <w:r>
        <w:rPr>
          <w:rStyle w:val="EndnoteReference"/>
        </w:rPr>
        <w:endnoteReference w:id="26"/>
      </w:r>
    </w:p>
    <w:p>
      <w:pPr>
        <w:pStyle w:val="BodyText"/>
      </w:pPr>
      <w:r>
        <w:t xml:space="preserve">He could not have known that, in AMAN’s headquarters two days earlier, Colonels Yoel Ben-Porat — commander of Unit 848 — and Menahem Digly — head of the collection branch and a former commander of Sayeret Matkal — had pleaded with the head of AMAN, Eli Zeira, to switch on the</w:t>
      </w:r>
      <w:r>
        <w:t xml:space="preserve"> </w:t>
      </w:r>
      <w:r>
        <w:t xml:space="preserve">“</w:t>
      </w:r>
      <w:r>
        <w:t xml:space="preserve">special means</w:t>
      </w:r>
      <w:r>
        <w:t xml:space="preserve">”</w:t>
      </w:r>
      <w:r>
        <w:t xml:space="preserve">: the eavesdropping installations that Avraham Arnan and the technological unit had spent the preceding six years burying inside Egyptian and Syrian headquarters.</w:t>
      </w:r>
      <w:r>
        <w:rPr>
          <w:rStyle w:val="EndnoteReference"/>
        </w:rPr>
        <w:endnoteReference w:id="27"/>
      </w:r>
      <w:r>
        <w:t xml:space="preserve"> </w:t>
      </w:r>
      <w:r>
        <w:t xml:space="preserve">Zeira had refused. The electronic footprint that the systems left when active was likely to draw the attention of Arab counterintelligence, and Zeira and his allies estimated the probability of war as low. They saw no reason to risk Israel’s main intelligence asset. The magnitude of the oversight became evident only on Friday night, when Ashraf Marwan — Israel’s most valuable informant in the Egyptian leadership and, as Uri Bar-Joseph has documented, the highest-placed asset the Mossad had ever run — telephoned Zvi Zamir, head of the Mossad, for an urgent meeting in London. By the time the two men sat down, Marwan had only one thing to tell Zamir: war would break out within a matter of hours.</w:t>
      </w:r>
      <w:r>
        <w:rPr>
          <w:rStyle w:val="EndnoteReference"/>
        </w:rPr>
        <w:endnoteReference w:id="28"/>
      </w:r>
    </w:p>
    <w:p>
      <w:pPr>
        <w:pStyle w:val="BodyText"/>
      </w:pPr>
      <w:r>
        <w:t xml:space="preserve">This chapter is about what happened on the morning of October 6, 1973, and about what happened in the heads and hands of a small group of Sayeret Matkal officers — Muki Betser most prominently — during the eighteen days that followed. The Yom Kippur War became Israel’s third critical juncture in the history of its Special Operations Forces. The first, as I argued in Chapter 2, was the 1936 Arab Revolt, which produced Yitzhak Sadeh and FOSH. The second, as I argued in Chapter 5, was the convergence of post-1956 lessons, the disbanding of Unit 101, and the institutional vacuum that Avraham Arnan filled in 1957 with Sayeret Matkal. The third was the Yom Kippur War, and the entrepreneur it produced was Muki Betser. Out of Betser’s frustration, his observation of failure, and his refusal to accept that the IDF could afford the existing model of SOFs, came Shaldag — Israel’s third premier unit — and the broader transformation of the Air Force’s special operations apparatus. As I show, the conditions that made Betser’s entrepreneurship possible were nearly identical to the conditions that made Sadeh’s and Arnan’s possible: a calamity that exposed the inadequacy of doctrine, an institutional vacuum that opened temporarily as the senior officer corps was consumed by self-preservation, and a willing entrepreneur with the social capital and stubbornness to push through.</w:t>
      </w:r>
      <w:r>
        <w:rPr>
          <w:rStyle w:val="EndnoteReference"/>
        </w:rPr>
        <w:endnoteReference w:id="29"/>
      </w:r>
    </w:p>
    <w:p>
      <w:pPr>
        <w:pStyle w:val="BodyText"/>
      </w:pPr>
      <w:r>
        <w:t xml:space="preserve">He drove frantically to Sayeret Matkal’s headquarters.</w:t>
      </w:r>
    </w:p>
    <w:bookmarkEnd w:id="30"/>
    <w:bookmarkStart w:id="46" w:name="X478689fc5dd8efbc6a4e0201d0bab91d0fdebcf"/>
    <w:p>
      <w:pPr>
        <w:pStyle w:val="Heading2"/>
      </w:pPr>
      <w:r>
        <w:t xml:space="preserve">7.2 The Soviet Armament Cycle and the Cost of Victory</w:t>
      </w:r>
    </w:p>
    <w:p>
      <w:pPr>
        <w:pStyle w:val="FirstParagraph"/>
      </w:pPr>
      <w:r>
        <w:t xml:space="preserve">The story of how the IDF arrived at October 6 unprepared has been told often and well. It is a story of intelligence failure, of political miscalculation, of cognitive entrenchment among Israel’s senior commanders, and of the unwillingness of an army to accept that its enemies could learn.</w:t>
      </w:r>
      <w:r>
        <w:rPr>
          <w:rStyle w:val="EndnoteReference"/>
        </w:rPr>
        <w:endnoteReference w:id="31"/>
      </w:r>
      <w:r>
        <w:t xml:space="preserve"> </w:t>
      </w:r>
      <w:r>
        <w:t xml:space="preserve">But it is also a story of doctrinal addiction, and that is the part of the story that matters most for the rise of Israel’s SOFs.</w:t>
      </w:r>
    </w:p>
    <w:p>
      <w:pPr>
        <w:pStyle w:val="BodyText"/>
      </w:pPr>
      <w:r>
        <w:t xml:space="preserve">The Six-Day War had ended on June 10, 1967, with an Israeli triumph so complete that it produced what the strategic studies literature now calls victory disease. The IDF’s pre-emptive air strike on the morning of June 5 had destroyed the Egyptian, Syrian, Jordanian, and Iraqi air forces on the ground in less than three hours. The subsequent armored advance into the Sinai, the Golan Heights, and the West Bank had compressed three Arab armies into rump forces inside six days. The lesson the IDF drew from its success was straightforward and, in its own terms, correct: Israeli air power and Israeli armor, fused through the doctrine of combined-arms maneuver, would always defeat numerically superior Arab forces.</w:t>
      </w:r>
      <w:r>
        <w:rPr>
          <w:rStyle w:val="EndnoteReference"/>
        </w:rPr>
        <w:endnoteReference w:id="32"/>
      </w:r>
    </w:p>
    <w:p>
      <w:pPr>
        <w:pStyle w:val="BodyText"/>
      </w:pPr>
      <w:r>
        <w:t xml:space="preserve">The Egyptian and Syrian general staffs drew a different lesson. They concluded — as Kenneth Pollack, Risa Brooks, and Dani Asher have all documented — that they could not match the IDF on its own terms. Israeli pilots flew more sorties per day than their Arab counterparts could match. Israeli tank crews had absorbed combined-arms maneuver in a way that took generations to teach. The Egyptian and Syrian militaries therefore did what any rational actor facing a more capable opponent would do: they searched for asymmetric measures that would degrade Israeli advantages without requiring them to match Israeli capabilities.</w:t>
      </w:r>
      <w:r>
        <w:rPr>
          <w:rStyle w:val="EndnoteReference"/>
        </w:rPr>
        <w:endnoteReference w:id="33"/>
      </w:r>
      <w:r>
        <w:t xml:space="preserve"> </w:t>
      </w:r>
      <w:r>
        <w:t xml:space="preserve">During the War of Attrition (1969–1970), the Soviet Union — for reasons that combined Cold War positioning with Brezhnev’s personal investment in the Arab cause — vastly expanded its involvement in the Middle East.</w:t>
      </w:r>
      <w:r>
        <w:rPr>
          <w:rStyle w:val="EndnoteReference"/>
        </w:rPr>
        <w:endnoteReference w:id="34"/>
      </w:r>
      <w:r>
        <w:t xml:space="preserve"> </w:t>
      </w:r>
      <w:r>
        <w:t xml:space="preserve">Soviet advisors arrived in Egyptian and Syrian air-defense units in numbers unprecedented for the region. Soviet pilots flew operational missions against Israeli aircraft. And, most consequentially, the Soviets equipped both armies with three new categories of weapon that, in combination, were designed to nullify the two arms in which Israel had built its supremacy: the Air Force and the Armor Corps.</w:t>
      </w:r>
    </w:p>
    <w:p>
      <w:pPr>
        <w:pStyle w:val="BodyText"/>
      </w:pPr>
      <w:r>
        <w:t xml:space="preserve">For the air-defense side, the Soviets supplied the SA-3 Goa, the mobile SA-6 Gainful, and the shoulder-fired SA-7 Grail.</w:t>
      </w:r>
      <w:r>
        <w:rPr>
          <w:rStyle w:val="EndnoteReference"/>
        </w:rPr>
        <w:endnoteReference w:id="35"/>
      </w:r>
      <w:r>
        <w:t xml:space="preserve"> </w:t>
      </w:r>
      <w:r>
        <w:t xml:space="preserve">The SA-6 in particular was the system that would, in October 1973, force the IAF to learn its lesson in flesh and aluminum. It was mobile, which meant the IAF could not destroy it on the ground the way it had destroyed Egyptian and Syrian air bases in 1967; it was integrated with the SA-3 and SA-2 belts in overlapping engagement envelopes, which meant a pilot trying to evade one missile flew into the engagement zone of another; and the IAF’s electronic countermeasures, optimized against earlier Soviet generations, had no defense against the SA-6’s continuous-wave guidance.</w:t>
      </w:r>
      <w:r>
        <w:rPr>
          <w:rStyle w:val="EndnoteReference"/>
        </w:rPr>
        <w:endnoteReference w:id="36"/>
      </w:r>
    </w:p>
    <w:p>
      <w:pPr>
        <w:pStyle w:val="BodyText"/>
      </w:pPr>
      <w:r>
        <w:t xml:space="preserve">For the armor side, the Soviets supplied the AT-3 Sagger and the RPG-7.</w:t>
      </w:r>
      <w:r>
        <w:rPr>
          <w:rStyle w:val="EndnoteReference"/>
        </w:rPr>
        <w:endnoteReference w:id="37"/>
      </w:r>
      <w:r>
        <w:t xml:space="preserve"> </w:t>
      </w:r>
      <w:r>
        <w:t xml:space="preserve">The Sagger was an antitank guided missile, the world’s first man-portable wire-guided ATGM, that could be operated by a two-man infantry team carrying it on their backs and launching it from any clump of brush or sand berm within two kilometers of an Israeli tank. The RPG-7 was a shorter-ranged but enormously cheaper rocket-propelled grenade. Both were designed to do one thing: kill Israeli tanks without requiring the operator to engage in armored maneuver. They would be used in mass by Egyptian commando battalions deployed forward as antitank screens, behind which the main Egyptian force could cross the Suez Canal and dig in.</w:t>
      </w:r>
      <w:r>
        <w:rPr>
          <w:rStyle w:val="EndnoteReference"/>
        </w:rPr>
        <w:endnoteReference w:id="38"/>
      </w:r>
    </w:p>
    <w:p>
      <w:pPr>
        <w:pStyle w:val="BodyText"/>
      </w:pPr>
      <w:r>
        <w:t xml:space="preserve">The doctrine that bound the new equipment together was the Soviet combined-arms doctrine, which the Egyptian and Syrian general staffs absorbed under heavy Soviet tutoring between 1970 and 1973.</w:t>
      </w:r>
      <w:r>
        <w:rPr>
          <w:rStyle w:val="EndnoteReference"/>
        </w:rPr>
        <w:endnoteReference w:id="39"/>
      </w:r>
      <w:r>
        <w:t xml:space="preserve"> </w:t>
      </w:r>
      <w:r>
        <w:t xml:space="preserve">Both armies enhanced the training regimens of their officers. Both formed new commando battalions whose soldiers underwent enhanced training in helicopter-borne raids, reconnaissance operations, and anti-armor warfare. In numerical and doctrinal terms, by the autumn of 1973, the Egyptian and Syrian commando elements were the rough quantitative equivalent of the IDF’s standing infantry brigades and the reconnaissance platoons of Golani, the Paratroopers, and the regional preventive battalions. They were not at the skill level of Sayeret Matkal, Shayetet 13, or Sayeret Tzanchanim. But they were enough.</w:t>
      </w:r>
      <w:r>
        <w:rPr>
          <w:rStyle w:val="EndnoteReference"/>
        </w:rPr>
        <w:endnoteReference w:id="40"/>
      </w:r>
    </w:p>
    <w:p>
      <w:pPr>
        <w:pStyle w:val="BodyText"/>
      </w:pPr>
      <w:r>
        <w:t xml:space="preserve">Israel was aware of all of this.</w:t>
      </w:r>
      <w:r>
        <w:rPr>
          <w:rStyle w:val="EndnoteReference"/>
        </w:rPr>
        <w:endnoteReference w:id="41"/>
      </w:r>
      <w:r>
        <w:t xml:space="preserve"> </w:t>
      </w:r>
      <w:r>
        <w:t xml:space="preserve">The intelligence community had documented the Soviet shipments. The IAF had seen the SA-6 in maneuvers. Israeli tank crews had encountered the Sagger in firing ranges in the late 1960s. And yet the IDF failed to adapt. The standard explanation invokes the vanity of the senior officer corps after 1967.</w:t>
      </w:r>
      <w:r>
        <w:rPr>
          <w:rStyle w:val="EndnoteReference"/>
        </w:rPr>
        <w:endnoteReference w:id="42"/>
      </w:r>
      <w:r>
        <w:t xml:space="preserve"> </w:t>
      </w:r>
      <w:r>
        <w:t xml:space="preserve">This is part of the story, but it is not all of it. The deeper structural cause was economic. The Israeli Ministry of Defense was running into severe budget constraints by 1971, and the IDF’s original force-structure plan — which had envisioned a balanced expansion of armor, infantry, artillery, and the Air Force — was scaled back.</w:t>
      </w:r>
      <w:r>
        <w:rPr>
          <w:rStyle w:val="EndnoteReference"/>
        </w:rPr>
        <w:endnoteReference w:id="43"/>
      </w:r>
      <w:r>
        <w:t xml:space="preserve"> </w:t>
      </w:r>
      <w:r>
        <w:t xml:space="preserve">The cuts fell hardest on the infantry. Plans to equip the brigades with M113 armored personnel carriers and with American TOW antitank missiles were deferred. Plans to standardize the IDF on the Galil — the Israeli variant of the Kalashnikov — were deferred. The expanded artillery corps that the original plan had promised was reduced. The defense budget, instead, was poured into the two arms that had produced victory in 1967: the Air Force, which by 1973 had nearly twice as many fighter aircraft as it had in 1967, and the Armor Corps, which by 1973 fielded fourteen armored brigades and 2,119 tanks — a sixty-percent increase over six years — and which had absorbed the F-4E Phantom and the M48/M60 (Magach).</w:t>
      </w:r>
      <w:r>
        <w:rPr>
          <w:rStyle w:val="EndnoteReference"/>
        </w:rPr>
        <w:endnoteReference w:id="44"/>
      </w:r>
    </w:p>
    <w:p>
      <w:pPr>
        <w:pStyle w:val="BodyText"/>
      </w:pPr>
      <w:r>
        <w:t xml:space="preserve">The structural result was the IDF that fielded at 2:05 p.m. on October 6, 1973: a force whose air arm and armored arm were larger and more sophisticated than they had been six years earlier, but whose infantry, artillery, antitank, and air-defense components had been deferred by a budget that had assumed the 1967 doctrine would continue to hold. The economic explanation is closer to the cause than the vanity explanation. An army that has won a war on the strength of two arms tends to invest in those two arms, because in any planning meeting that is where the visible payoff is. But the cost of that investment, in 1973, was that the IDF entered a war in which its enemies had spent six years specifically designing a way to neutralize those two arms — and the IDF had not built the infantry, antitank, and air-defense components that would have been needed to fight back when the two privileged arms faltered.</w:t>
      </w:r>
    </w:p>
    <w:p>
      <w:pPr>
        <w:pStyle w:val="BodyText"/>
      </w:pPr>
      <w:r>
        <w:t xml:space="preserve">This is the structural condition of a critical juncture. A military that has invested everything in one doctrine and that finds itself, on a particular morning, facing an enemy that has designed itself precisely to defeat that doctrine, will collapse along the seams where the doctrine fails. And in that collapse, as I argued in the introduction, the institutional locks that normally hold reform at bay loosen.</w:t>
      </w:r>
      <w:r>
        <w:rPr>
          <w:rStyle w:val="EndnoteReference"/>
        </w:rPr>
        <w:endnoteReference w:id="45"/>
      </w:r>
      <w:r>
        <w:t xml:space="preserve"> </w:t>
      </w:r>
      <w:r>
        <w:t xml:space="preserve">Entrepreneurs in the second and third tiers of the officer corps — men in their late twenties and early thirties, far from the senior staff that has been blamed for the debacle — find that the doors are temporarily open. Muki Betser was one of those men. So were Tal Russo, Dani Herman, Yair Ansbacher, and the founders of Unit 669, Maglan, Moran, and Meitar. The next twenty years of Israeli SOF history would be written, largely, by men whose formative experience was October 6 to October 24, 1973.</w:t>
      </w:r>
    </w:p>
    <w:bookmarkEnd w:id="46"/>
    <w:bookmarkStart w:id="53" w:name="arnans-hidden-war-the-mm-division"/>
    <w:p>
      <w:pPr>
        <w:pStyle w:val="Heading2"/>
      </w:pPr>
      <w:r>
        <w:t xml:space="preserve">7.3 Arnan’s Hidden War: The MM Division</w:t>
      </w:r>
    </w:p>
    <w:p>
      <w:pPr>
        <w:pStyle w:val="FirstParagraph"/>
      </w:pPr>
      <w:r>
        <w:t xml:space="preserve">There is a part of the Yom Kippur intelligence story that the public, even in Israel, does not fully know. While Eli Zeira and the senior analytical staff of AMAN were committing the most catastrophic intelligence failure in the history of the Jewish state, a small unit inside AMAN — under the command of the man who, as I argued in Chapter 5, had founded Sayeret Matkal sixteen years earlier — had assembled what was arguably the most sophisticated covert eavesdropping apparatus in the Middle East.</w:t>
      </w:r>
      <w:r>
        <w:rPr>
          <w:rStyle w:val="EndnoteReference"/>
        </w:rPr>
        <w:endnoteReference w:id="47"/>
      </w:r>
    </w:p>
    <w:p>
      <w:pPr>
        <w:pStyle w:val="BodyText"/>
      </w:pPr>
      <w:r>
        <w:t xml:space="preserve">After the Six-Day War, both the Egyptian and Syrian counterintelligence branches had been determined to thwart any Israeli attempt to reinstate the pre-1967 intelligence capabilities. The IDF’s strategic eavesdropping infrastructure had been built around physical access to the territory of Egypt and Syria: agents inside; technical units operating from listening posts within Egyptian territory; lines tapped across the front. After 1967, that infrastructure was gone. The Egyptians and Syrians knew what they had lost and they were going to make sure Israel did not rebuild it. Arnan, who by 1968 had become commander of AMAN’s Technological Unit — Unit 432, the institutional offspring of the work he had begun in 1962 with the Birds operations — did not find the Arab resolve discouraging.</w:t>
      </w:r>
      <w:r>
        <w:rPr>
          <w:rStyle w:val="EndnoteReference"/>
        </w:rPr>
        <w:endnoteReference w:id="48"/>
      </w:r>
      <w:r>
        <w:t xml:space="preserve"> </w:t>
      </w:r>
      <w:r>
        <w:t xml:space="preserve">What he understood was that the methods and technologies AMAN had used before 1967 were now obsolete. He needed a new generation of sensors, a new set of methods for emplacing them, and a new institutional architecture for coordinating the work of three different organizations.</w:t>
      </w:r>
    </w:p>
    <w:p>
      <w:pPr>
        <w:pStyle w:val="BodyText"/>
      </w:pPr>
      <w:r>
        <w:t xml:space="preserve">In late 1969 or early 1970, working with Major Yossi Langotsky — a geologist by training, with no formal intelligence background but with what Avraham Shur, in his biography of Arnan, calls an entrepreneurial spirit indistinguishable from Arnan’s own — Arnan founded what he called the Mivtsa’im Meyuhadim (MM) division, the Special Operations division of AMAN.</w:t>
      </w:r>
      <w:r>
        <w:rPr>
          <w:rStyle w:val="EndnoteReference"/>
        </w:rPr>
        <w:endnoteReference w:id="49"/>
      </w:r>
      <w:r>
        <w:t xml:space="preserve"> </w:t>
      </w:r>
      <w:r>
        <w:t xml:space="preserve">It consisted of three elements. The Technological Unit (432) developed the sensors, the miniaturized transmitters, the burst-mode antennas, and the power systems. An intelligence unit, working under the MM banner, collected and analyzed the target information that would tell the technical teams precisely where to place the sensors. And Sayeret Matkal — Arnan’s old unit, now under the command of Giora Zorea — perfected the methods for clandestinely placing the sensors deep inside Egyptian and Syrian territory and for executing the incursions that put them there.</w:t>
      </w:r>
    </w:p>
    <w:p>
      <w:pPr>
        <w:pStyle w:val="BodyText"/>
      </w:pPr>
      <w:r>
        <w:t xml:space="preserve">By the early 1970s the apparatus was operational. As Bar-Joseph has documented in his work on the</w:t>
      </w:r>
      <w:r>
        <w:t xml:space="preserve"> </w:t>
      </w:r>
      <w:r>
        <w:t xml:space="preserve">“</w:t>
      </w:r>
      <w:r>
        <w:t xml:space="preserve">special means,</w:t>
      </w:r>
      <w:r>
        <w:t xml:space="preserve">”</w:t>
      </w:r>
      <w:r>
        <w:t xml:space="preserve"> </w:t>
      </w:r>
      <w:r>
        <w:t xml:space="preserve">and as Howard Blum, Ronen Bergman, and the Israeli journalist Roni Hadar have all corroborated, by 1973 Unit 848 — the strategic eavesdropping unit that received the take from Arnan’s installations — was able not merely to intercept telephone and radio traffic between Egyptian and Syrian command posts, but to eavesdrop on face-to-face conversations inside the headquarters of the Egyptian and Syrian armies.</w:t>
      </w:r>
      <w:r>
        <w:rPr>
          <w:rStyle w:val="EndnoteReference"/>
        </w:rPr>
        <w:endnoteReference w:id="50"/>
      </w:r>
      <w:r>
        <w:t xml:space="preserve"> </w:t>
      </w:r>
      <w:r>
        <w:t xml:space="preserve">The technical achievement was extraordinary. The strategic significance, had it been used, would have made the events of October 6 inconceivable.</w:t>
      </w:r>
    </w:p>
    <w:p>
      <w:pPr>
        <w:pStyle w:val="BodyText"/>
      </w:pPr>
      <w:r>
        <w:t xml:space="preserve">But it was not used. As Bar-Joseph has shown in painstaking detail, the failure of the senior leadership of AMAN to switch on the</w:t>
      </w:r>
      <w:r>
        <w:t xml:space="preserve"> </w:t>
      </w:r>
      <w:r>
        <w:t xml:space="preserve">“</w:t>
      </w:r>
      <w:r>
        <w:t xml:space="preserve">special means</w:t>
      </w:r>
      <w:r>
        <w:t xml:space="preserve">”</w:t>
      </w:r>
      <w:r>
        <w:t xml:space="preserve"> </w:t>
      </w:r>
      <w:r>
        <w:t xml:space="preserve">in the critical days before October 6 — the request that Ben-Porat and Digly carried to Zeira, and that Zeira denied — was the single most consequential operational failure of the war.</w:t>
      </w:r>
      <w:r>
        <w:rPr>
          <w:rStyle w:val="EndnoteReference"/>
        </w:rPr>
        <w:endnoteReference w:id="51"/>
      </w:r>
      <w:r>
        <w:t xml:space="preserve"> </w:t>
      </w:r>
      <w:r>
        <w:t xml:space="preserve">The sensors that Arnan and Langotsky had built were sitting silent inside Egyptian and Syrian headquarters while, three meters away, Egyptian and Syrian generals were finalizing the timing of the cross-canal assault and the Golan armored thrust.</w:t>
      </w:r>
    </w:p>
    <w:p>
      <w:pPr>
        <w:pStyle w:val="BodyText"/>
      </w:pPr>
      <w:r>
        <w:t xml:space="preserve">I am making this point at length for two reasons. The first is historical accuracy: the standard narrative of the Yom Kippur intelligence failure understates how close Israel was to having the information it needed, and overstates the failure as one of analysis alone. The second reason is structural: by 1973 Avraham Arnan was no longer the institutional outsider he had been in 1957. He was an entrepreneur who had built two complete institutions — Sayeret Matkal and the MM apparatus — and who had risen to command AMAN’s collection branch. He was, in October 1973, sixty-three years old and dying of brain cancer, which had been diagnosed three years earlier and which would kill him in April 1980.</w:t>
      </w:r>
      <w:r>
        <w:rPr>
          <w:rStyle w:val="EndnoteReference"/>
        </w:rPr>
        <w:endnoteReference w:id="52"/>
      </w:r>
      <w:r>
        <w:t xml:space="preserve"> </w:t>
      </w:r>
      <w:r>
        <w:t xml:space="preserve">But he had not stopped working. He had not stopped commanding. And, as the next section will show, he had not stopped trying to control how his old unit was used in combat.</w:t>
      </w:r>
    </w:p>
    <w:p>
      <w:pPr>
        <w:pStyle w:val="BodyText"/>
      </w:pPr>
      <w:r>
        <w:t xml:space="preserve">The shadow that Arnan cast over Sayeret Matkal during the Yom Kippur War — the unit’s institutional grandfather, dying, intervening from a hospital bed and from his own car — is one of the central scenes of this chapter. It is also the scene that, by accident and by stubborn opposition, produced the seed of Shaldag. The third entrepreneur emerged because the second entrepreneur tried, one last time, to keep his creation small.</w:t>
      </w:r>
    </w:p>
    <w:bookmarkEnd w:id="53"/>
    <w:bookmarkStart w:id="69" w:name="X58143b2b7fe1c57f990abf9638571f0cf2dc17e"/>
    <w:p>
      <w:pPr>
        <w:pStyle w:val="Heading2"/>
      </w:pPr>
      <w:r>
        <w:t xml:space="preserve">7.4 Betser’s War, Northern Front, October 6–12, 1973</w:t>
      </w:r>
    </w:p>
    <w:p>
      <w:pPr>
        <w:pStyle w:val="FirstParagraph"/>
      </w:pPr>
      <w:r>
        <w:t xml:space="preserve">Betser drove frantically to Sayeret Matkal’s headquarters at the unit’s base, which lay east of Tel Aviv. He had served as a platoon commander in Sayeret Shaked during the Six-Day War, leading his men into the battlefield from the opening hours. He expected, on the morning of October 6, to deploy with his soldiers immediately. What he found at the base was something else.</w:t>
      </w:r>
      <w:r>
        <w:rPr>
          <w:rStyle w:val="EndnoteReference"/>
        </w:rPr>
        <w:endnoteReference w:id="54"/>
      </w:r>
    </w:p>
    <w:p>
      <w:pPr>
        <w:pStyle w:val="BodyText"/>
      </w:pPr>
      <w:r>
        <w:t xml:space="preserve">At 2:05 p.m. on October 6, Egyptian fighter aircraft began their opening strikes on Israeli targets in the Sinai. Under the cover of an artillery barrage, Egyptian infantry crossed the Suez Canal in dinghies and breached the Israeli sand wall on its eastern bank. Teams of anti-tank rocket and missile operators were among the first across; they scattered along the main roads that linked the IDF’s rear-area headquarters in Sinai to the Bar-Lev Line outposts and dug in.</w:t>
      </w:r>
      <w:r>
        <w:rPr>
          <w:rStyle w:val="EndnoteReference"/>
        </w:rPr>
        <w:endnoteReference w:id="55"/>
      </w:r>
      <w:r>
        <w:t xml:space="preserve"> </w:t>
      </w:r>
      <w:r>
        <w:t xml:space="preserve">At the same time, masses of Syrian armor and infantry stormed through the Israeli defensive positions in the Golan Heights.</w:t>
      </w:r>
      <w:r>
        <w:rPr>
          <w:rStyle w:val="EndnoteReference"/>
        </w:rPr>
        <w:endnoteReference w:id="56"/>
      </w:r>
      <w:r>
        <w:t xml:space="preserve"> </w:t>
      </w:r>
      <w:r>
        <w:t xml:space="preserve">When the news reached the command center of Sayeret Matkal, Betser was incredulous. Rather than getting ready to deploy, the unit’s veterans kept playing basketball. Betser knew, as anyone in the SOF community knew, that the IDF had repeatedly failed to use its Special Operations Forces in previous wars. But, he reasoned, after seven years of building reputation through the operations of the War of Attrition, through the Sabena rescue (May 1972), and through Operation Spring of Youth (April 1973), it was inconceivable that the military would not take full advantage of the unit in wartime. What he did not know was that, although he no longer held a formal role in the unit, Avraham Arnan had never let go of his creation. Whenever he could, Arnan was undercutting attempts to involve his operators in fighting. He saw Sayeret Matkal as too valuable, too small, too irreplaceable to be sacrificed to the meat-grinder of a conventional war. Many of the unit’s senior officers had absorbed Arnan’s view. Betser, however — like an increasing number of the unit’s junior officers since 1968 — saw Sayeret Matkal as a versatile SOF, capable of executing a variety of operations in any type of conflict, including wars.</w:t>
      </w:r>
      <w:r>
        <w:rPr>
          <w:rStyle w:val="EndnoteReference"/>
        </w:rPr>
        <w:endnoteReference w:id="57"/>
      </w:r>
    </w:p>
    <w:p>
      <w:pPr>
        <w:pStyle w:val="BodyText"/>
      </w:pPr>
      <w:r>
        <w:t xml:space="preserve">The reports from Sinai and the Golan became increasingly dire throughout the afternoon and the night of October 6. After hours of waiting for orders that did not come, most of the Sayeret’s officers — Betser among them — agreed that they could not afford to sit this war out and took matters into their own hands.</w:t>
      </w:r>
      <w:r>
        <w:rPr>
          <w:rStyle w:val="EndnoteReference"/>
        </w:rPr>
        <w:endnoteReference w:id="58"/>
      </w:r>
      <w:r>
        <w:t xml:space="preserve"> </w:t>
      </w:r>
      <w:r>
        <w:t xml:space="preserve">The geographic logic was unambiguous. The mere five hundred square miles of the Golan Heights offered little protection for the settlements of the Galilee, while in Sinai twenty-three thousand square miles of desert separated the Egyptian forces from the Israeli heartland. Most of the unit therefore headed north. A smaller contingency force, drawn from the reservists, went south.</w:t>
      </w:r>
    </w:p>
    <w:p>
      <w:pPr>
        <w:pStyle w:val="BodyText"/>
      </w:pPr>
      <w:r>
        <w:t xml:space="preserve">When Betser and the northern group arrived at the Northern Command’s headquarters in Safed on the morning of October 7, no one was expecting them. The command had no missions ready. The logistics officers had no transportation to spare; the private cars and buses that had brought the operators north were not suitable for a ride into a battle zone. Betser, embodying what was by then a Sayeret Matkal tradition of cheerful institutional disobedience, set up a roadblock outside the camp, stopped a passing convoy of thirty-eight half-tracks, and diverted the drivers to the unit’s makeshift assembly area. The officer commanding the convoy quickly realized that he had been hijacked. He tried to protect his vehicles. He was no match for the enthusiastic operators.</w:t>
      </w:r>
      <w:r>
        <w:rPr>
          <w:rStyle w:val="EndnoteReference"/>
        </w:rPr>
        <w:endnoteReference w:id="59"/>
      </w:r>
    </w:p>
    <w:p>
      <w:pPr>
        <w:pStyle w:val="BodyText"/>
      </w:pPr>
      <w:r>
        <w:t xml:space="preserve">With no clear assignment from the command and no timely intelligence, Giora Zorea — the unit’s commander — and his three senior officers in the north (Amiram Levine, Yonatan Netanyahu, and Betser) decided to split the force. Zorea and Levine led one group to Khushniya in the southern Golan. Netanyahu and Betser led the rest of the force eastward toward the headquarters of the IDF’s 36th Armored Division at Naffakh. When they arrived on the evening of October 8, the armor had already beaten back several Syrian attempts to take the camp.</w:t>
      </w:r>
      <w:r>
        <w:rPr>
          <w:rStyle w:val="EndnoteReference"/>
        </w:rPr>
        <w:endnoteReference w:id="60"/>
      </w:r>
      <w:r>
        <w:t xml:space="preserve"> </w:t>
      </w:r>
      <w:r>
        <w:t xml:space="preserve">Anticipating another attack, Brigadier General Rafael Eitan — Raful — commander of the 36th Division, had moved his divisional headquarters away from the camp itself to a more defensible position to the east.</w:t>
      </w:r>
      <w:r>
        <w:rPr>
          <w:rStyle w:val="EndnoteReference"/>
        </w:rPr>
        <w:endnoteReference w:id="61"/>
      </w:r>
      <w:r>
        <w:t xml:space="preserve"> </w:t>
      </w:r>
      <w:r>
        <w:t xml:space="preserve">Although Raful had never been an admirer of Sayeret Matkal, he was glad to see Betser and Netanyahu, both of whom had been members of his own tribe — the Paratroopers Brigade — earlier in their careers.</w:t>
      </w:r>
      <w:r>
        <w:rPr>
          <w:rStyle w:val="EndnoteReference"/>
        </w:rPr>
        <w:endnoteReference w:id="62"/>
      </w:r>
      <w:r>
        <w:t xml:space="preserve"> </w:t>
      </w:r>
      <w:r>
        <w:t xml:space="preserve">When they arrived they proposed to embark on night-time tank-hunting operations behind the Syrian lines. Only a week before the war Betser and his soldiers had completed a series of navigation drills in the Golan, and they were among the few units in the IDF who knew how to navigate at night in the aphanite igneous terrain that confounded the magnetic compass. Raful liked the idea. But he asked the force to spend the night of October 8 at Naffakh and to assist Colonel Zvi Barazani — another paratroopers’ veteran, who had temporarily assumed command of the base — in foiling any further Syrian attempts to occupy it.</w:t>
      </w:r>
      <w:r>
        <w:rPr>
          <w:rStyle w:val="EndnoteReference"/>
        </w:rPr>
        <w:endnoteReference w:id="63"/>
      </w:r>
    </w:p>
    <w:p>
      <w:pPr>
        <w:pStyle w:val="BodyText"/>
      </w:pPr>
      <w:r>
        <w:t xml:space="preserve">At dawn on October 9, Gideon Avidov, one of the unit’s officers, woke Betser with critical news. In a last attempt to take Naffakh, three Syrian helicopters had landed a force of commandos in a nearby field.</w:t>
      </w:r>
      <w:r>
        <w:rPr>
          <w:rStyle w:val="EndnoteReference"/>
        </w:rPr>
        <w:endnoteReference w:id="64"/>
      </w:r>
      <w:r>
        <w:t xml:space="preserve"> </w:t>
      </w:r>
      <w:r>
        <w:t xml:space="preserve">Netanyahu and Betser gathered the operators and rushed to the landing site. Unlike Ehud Yatom’s reservists in Sinai, who had been carrying Uzis, most of the operators on the Naffakh force carried AK-47s — many of them captured from the Syrians the day before. They also had several MAG general-purpose machine guns, rocket-propelled grenades, and 52-mm mortars. In a face-to-face battle that lasted less than thirty minutes, the Sayeret Matkal force eradicated the Syrian commando company, killed roughly forty of its men, and captured its commander. Sayeret Matkal lost two operators in the engagement.</w:t>
      </w:r>
      <w:r>
        <w:rPr>
          <w:rStyle w:val="EndnoteReference"/>
        </w:rPr>
        <w:endnoteReference w:id="65"/>
      </w:r>
    </w:p>
    <w:p>
      <w:pPr>
        <w:pStyle w:val="BodyText"/>
      </w:pPr>
      <w:r>
        <w:t xml:space="preserve">Upon their return to Naffakh, Betser resumed his pressure on Barazani to launch the tank-hunting operation. Barazani remained apprehensive. He argued that without sufficient intelligence the expedition would be too risky. Betser suggested that the unit launch a reconnaissance first and attain the required intelligence. Yet, despite increasing pressure, Barazani did not concede. The reason for his resistance, Betser would later learn, was not tactical. It was institutional. Avraham Arnan — who knew the whereabouts of his old unit, who had anticipated Betser’s moves, and who was at that moment a sixty-three-year-old man dying of brain cancer — had reached Barazani by telephone and pressed him with unmistakable insistence not to deploy the unit’s operators on any mission. The concern that Barazani might give in to Betser’s appeals kept Arnan restless. So Arnan, ill as he was, got into his own car and drove from his home in central Israel to the Golan Heights so that he could ensure in person that Barazani would not change his mind.</w:t>
      </w:r>
      <w:r>
        <w:rPr>
          <w:rStyle w:val="EndnoteReference"/>
        </w:rPr>
        <w:endnoteReference w:id="66"/>
      </w:r>
    </w:p>
    <w:p>
      <w:pPr>
        <w:pStyle w:val="BodyText"/>
      </w:pPr>
      <w:r>
        <w:t xml:space="preserve">The conversation between Arnan and Betser that followed was, as could be expected, a heated one. Neither of them changed his mind. Both were stubborn, passionate, and innovative; both had spent their careers willing to put their personal advancement on the line to advance their visions; both, in different decades, would build entire institutions from nothing. But they had opposite views on what Sayeret Matkal was for. Arnan saw it as the operational arm of AMAN — a small, irreplaceable, intelligence-collection unit whose loss in tank-hunting operations would forfeit Israel’s most valuable strategic asset. Betser saw it as the IDF’s premier SOF, whose value rose, not fell, in proportion to the number and severity of the missions it accepted.</w:t>
      </w:r>
    </w:p>
    <w:p>
      <w:pPr>
        <w:pStyle w:val="BodyText"/>
      </w:pPr>
      <w:r>
        <w:t xml:space="preserve">What the two men reached, in the end, was not agreement but a compromise. Even more than tank-hunting, Betser was interested in capturing or destroying mobile SA-6 surface-to-air missile systems — the weapons that had broken the back of the IAF on the opening days of the war. Despite his risk aversion, Arnan did not lose his ingenuity and his sense of adventure. He realized the significance of neutralizing the SAM threat. The operation against the SA-6s was not, in the event, carried out. But the discussion, as Betser himself would later observe in his memoirs, was the first step in the formation of the 5101 Battalion for Air Assignments — Unit Shaldag.</w:t>
      </w:r>
      <w:r>
        <w:rPr>
          <w:rStyle w:val="EndnoteReference"/>
        </w:rPr>
        <w:endnoteReference w:id="67"/>
      </w:r>
      <w:r>
        <w:t xml:space="preserve"> </w:t>
      </w:r>
      <w:r>
        <w:t xml:space="preserve">The seed of the third entrepreneurial moment was planted in an argument with the second entrepreneur, at an improvised divisional headquarters in the Golan Heights, while a man dying of cancer drove himself there in his own car to stop the unit he had built from being used the way its operators wanted to use it.</w:t>
      </w:r>
    </w:p>
    <w:p>
      <w:pPr>
        <w:pStyle w:val="BodyText"/>
      </w:pPr>
      <w:r>
        <w:t xml:space="preserve">Three days later, on the late morning of October 12 — the day on which the Israeli armor on the Golan had pushed the Syrians back to the prewar lines and was awaiting further orders — Lieutenant Colonel Yossi Ben Hanan, a decorated armored officer whose 1967 photograph dipping in the Suez Canal had run on the cover of Life magazine, led a five-tank force across the prewar line into Syria under what he believed was an order to advance. Within minutes of crossing he was surrounded by Syrian troops, who destroyed his tanks with Sagger missiles. Ben Hanan, wounded, radioed for help. Netanyahu and Betser, with twelve operators, decided to cross into Syrian territory at nightfall to find Ben Hanan’s men and bring them back. They located the destroyed tanks only late at night, administered first aid to Ben Hanan and one other surviving soldier, and carried them back to the Israeli lines.</w:t>
      </w:r>
      <w:r>
        <w:rPr>
          <w:rStyle w:val="EndnoteReference"/>
        </w:rPr>
        <w:endnoteReference w:id="68"/>
      </w:r>
    </w:p>
    <w:p>
      <w:pPr>
        <w:pStyle w:val="BodyText"/>
      </w:pPr>
      <w:r>
        <w:t xml:space="preserve">The Ben Hanan rescue was one of perhaps six or seven operations of the war in which Sayeret Matkal acquitted itself with distinction. It is the kind of operation the unit had been training for since 1957. It is also the kind of operation that did not change the course of the war. That fact, more than any other, would shape what Betser did when the war ended.</w:t>
      </w:r>
    </w:p>
    <w:bookmarkEnd w:id="69"/>
    <w:bookmarkStart w:id="82" w:name="X6aa5aff3dfa792e62800ef1ef6942caaadbc988"/>
    <w:p>
      <w:pPr>
        <w:pStyle w:val="Heading2"/>
      </w:pPr>
      <w:r>
        <w:t xml:space="preserve">7.5 Four Parallel Failures and the Empirical Logic of</w:t>
      </w:r>
      <w:r>
        <w:t xml:space="preserve"> </w:t>
      </w:r>
      <w:r>
        <w:t xml:space="preserve">“</w:t>
      </w:r>
      <w:r>
        <w:t xml:space="preserve">No Alternative</w:t>
      </w:r>
      <w:r>
        <w:t xml:space="preserve">”</w:t>
      </w:r>
    </w:p>
    <w:p>
      <w:pPr>
        <w:pStyle w:val="FirstParagraph"/>
      </w:pPr>
      <w:r>
        <w:t xml:space="preserve">The argument I am developing in this chapter — that the Yom Kippur War was a critical juncture for Israel’s Special Operations Forces because the existing inventory of SOFs proved inadequate against the new Soviet-armed Arab militaries — needs empirical foundation. It is not enough to argue that, in retrospect, the war revealed inadequacy. The argument is that the inadequacy was visible, almost in real time, to the young officers who experienced it. Those officers would, in the war’s aftermath, become the entrepreneurs of the next generation. To make the argument empirically, I will compress four parallel narratives that played out during the war, in the same days that Betser was on the Golan. The four narratives concern, respectively, a Sayeret Matkal reservist attempt to rescue a downed IAF pilot in the Sinai; the destruction of the most decorated armored reconnaissance unit in the IDF’s order of battle; a Paratroopers’ Reconnaissance Platoon operation against Iraqi reinforcements in Syria that depended on improvised use of weapons the soldiers had never trained on; and the capture and torture-to-death of one of Israel’s senior fighter pilots. All four narratives produced, within months, new units that did not previously exist.</w:t>
      </w:r>
    </w:p>
    <w:p>
      <w:pPr>
        <w:pStyle w:val="BodyText"/>
      </w:pPr>
      <w:r>
        <w:t xml:space="preserve">The first narrative concerns First Lieutenant Ishay Katziri, an A-4 Skyhawk pilot of the 102nd IAF Squadron, whose plane was hit by an Egyptian SA-7 over Lake Bardawil in the northern Sinai during a strike on the afternoon of October 6, and who ejected wounded.</w:t>
      </w:r>
      <w:r>
        <w:rPr>
          <w:rStyle w:val="EndnoteReference"/>
        </w:rPr>
        <w:endnoteReference w:id="70"/>
      </w:r>
      <w:r>
        <w:t xml:space="preserve"> </w:t>
      </w:r>
      <w:r>
        <w:t xml:space="preserve">By the morning of October 8, when the tank crew that had witnessed his ejection was reduced to one surviving soldier and that soldier had walked himself to an IDF armored company, the situation was becoming desperate. The surviving soldier was rushed to Balooza, where a team of young Sayeret Matkal reservists under Ehud Yatom was waiting for an assignment. They had completed their mandatory service eight months earlier, were in good physical shape, and had trained extensively in the Sinai as conscripts. Major General Shmuel</w:t>
      </w:r>
      <w:r>
        <w:t xml:space="preserve"> </w:t>
      </w:r>
      <w:r>
        <w:t xml:space="preserve">“</w:t>
      </w:r>
      <w:r>
        <w:t xml:space="preserve">Gorodish</w:t>
      </w:r>
      <w:r>
        <w:t xml:space="preserve">”</w:t>
      </w:r>
      <w:r>
        <w:t xml:space="preserve"> </w:t>
      </w:r>
      <w:r>
        <w:t xml:space="preserve">Gonen, the GOC of the Southern Command, agreed that a search and rescue mission was a suitable task for these reservists. Yatom and his soldiers were eager to contribute. He did not disclose to the senior officers that the team had no experience in such operations. In fact, the improvised mission stood in sharp contrast with the unit’s modus operandi: Sayeret Matkal operated mostly at night, conducted long and meticulous preparations, and relied on detailed maps and current intelligence. Yatom’s team had none of those things. They began their five-mile walk at 8 a.m. on October 8. Their individual weapons were Uzis. They had a single MAG. They had no detailed map of the area, did not know the pilot’s exact location, and had no information about the Egyptian deployment. The flat terrain exposed them to enemy scouts. At around noon Yatom identified the canopy of Katziri’s parachute. He had no way of knowing that the Egyptians had captured Katziri earlier that morning and had left the canopy as bait. As soon as the team came within range of Egyptian AK-47s, the Egyptians opened fire. Avner Ron, the MAG operator, was killed shortly after the engagement began. The Uzis the rest of the team carried were ineffective at the range from which they were being shot at. Outmanned, outgunned, and with neither air nor artillery support, the team retreated.</w:t>
      </w:r>
      <w:r>
        <w:rPr>
          <w:rStyle w:val="EndnoteReference"/>
        </w:rPr>
        <w:endnoteReference w:id="71"/>
      </w:r>
      <w:r>
        <w:t xml:space="preserve"> </w:t>
      </w:r>
      <w:r>
        <w:t xml:space="preserve">Katziri was never recovered.</w:t>
      </w:r>
    </w:p>
    <w:p>
      <w:pPr>
        <w:pStyle w:val="BodyText"/>
      </w:pPr>
      <w:r>
        <w:t xml:space="preserve">The second narrative concerns Palsar 7 — the reconnaissance company of the 7th Armored Brigade. In 1967, Palsar 7 had served as the spearhead for the brigade’s battalions, leading the tanks through obstacles and traps and providing brigade commanders with up-to-the-minute portrayals of the battlefield. The unit had lost sixteen of its men in the Six-Day War and had received nine citations: it was the most decorated platoon of the war.</w:t>
      </w:r>
      <w:r>
        <w:rPr>
          <w:rStyle w:val="EndnoteReference"/>
        </w:rPr>
        <w:endnoteReference w:id="72"/>
      </w:r>
      <w:r>
        <w:t xml:space="preserve"> </w:t>
      </w:r>
      <w:r>
        <w:t xml:space="preserve">The reality of the Yom Kippur War was different. By late 1972, the IDF had dissolved one of its two standing armored reconnaissance platoons, Palsar 401. When Palsar 7 arrived in the Golan Heights at the start of the war, the tank battalions were holding back the advancing Syrian forces and the platoon stayed in the rear, awaiting the counteroffensive. While Raful and Betser were meeting with Avigdor</w:t>
      </w:r>
      <w:r>
        <w:t xml:space="preserve"> </w:t>
      </w:r>
      <w:r>
        <w:t xml:space="preserve">“</w:t>
      </w:r>
      <w:r>
        <w:t xml:space="preserve">Yanush</w:t>
      </w:r>
      <w:r>
        <w:t xml:space="preserve">”</w:t>
      </w:r>
      <w:r>
        <w:t xml:space="preserve"> </w:t>
      </w:r>
      <w:r>
        <w:t xml:space="preserve">Ben-Gal — commander of the 7th Brigade, who was leading the defensive battle in the Valley of Tears — to discuss integrating Sayeret Matkal into the brigade’s counterattack, Palsar 7 rushed to the aid of a Golani infantry company that was engaging a large Syrian force near the village of Buq’ata. On their way back, the company’s APCs were ambushed by helicopter-borne Syrian commandos equipped with rocket-propelled grenades.</w:t>
      </w:r>
      <w:r>
        <w:rPr>
          <w:rStyle w:val="EndnoteReference"/>
        </w:rPr>
        <w:endnoteReference w:id="73"/>
      </w:r>
      <w:r>
        <w:t xml:space="preserve"> </w:t>
      </w:r>
      <w:r>
        <w:t xml:space="preserve">The unit asked for permission to engage. Within less than thirty minutes of close-quarters fighting, Palsar 7 lost twenty-three of its men, including the company commander and his deputy.</w:t>
      </w:r>
      <w:r>
        <w:rPr>
          <w:rStyle w:val="EndnoteReference"/>
        </w:rPr>
        <w:endnoteReference w:id="74"/>
      </w:r>
      <w:r>
        <w:t xml:space="preserve"> </w:t>
      </w:r>
      <w:r>
        <w:t xml:space="preserve">Such upheavals are inherent to any war. But the tragedy of Palsar 7 left one of the IDF’s main armored brigades without its reconnaissance company at a decisive stage of the counteroffensive.</w:t>
      </w:r>
      <w:r>
        <w:rPr>
          <w:rStyle w:val="EndnoteReference"/>
        </w:rPr>
        <w:endnoteReference w:id="75"/>
      </w:r>
      <w:r>
        <w:t xml:space="preserve"> </w:t>
      </w:r>
      <w:r>
        <w:t xml:space="preserve">The most decorated platoon of 1967 had been reduced, within six years, to a unit that the new Arab combined-arms doctrine had specifically been designed to defeat.</w:t>
      </w:r>
    </w:p>
    <w:p>
      <w:pPr>
        <w:pStyle w:val="BodyText"/>
      </w:pPr>
      <w:r>
        <w:t xml:space="preserve">The third narrative concerns the Paratroopers’ Reconnaissance Platoon and its commander, then-Captain Shaul Mofaz — later to become Chief of Staff, then Minister of Defense.</w:t>
      </w:r>
      <w:r>
        <w:rPr>
          <w:rStyle w:val="EndnoteReference"/>
        </w:rPr>
        <w:endnoteReference w:id="76"/>
      </w:r>
      <w:r>
        <w:t xml:space="preserve"> </w:t>
      </w:r>
      <w:r>
        <w:t xml:space="preserve">In the original IDF plans for an Israeli-initiated war, the platoon had been designated to spearhead the Paratroopers Brigade’s effort to capture strategic assets behind the Egyptian lines. But the plans had assumed Israel would initiate the war and set its course. As soon as the IDF found itself on the defensive, the platoon lost its mission. The brigade’s three battalions — the 890th, the 202nd, and the 50th — deployed without it. The platoon remained in the rear as a contingency force. On October 11, when Israel was ready to launch its counteroffensive in the north, Brigadier General Emmanuel Shaked — commander of the IDF’s infantry forces — summoned Mofaz for a briefing. Mofaz remembered the sense of distress that he felt as he entered the General Headquarters. Shaked told him that AMAN had information about Iraqi forces heading west toward Syria to reinforce the Syrian war effort. The platoon’s mission was to stop the Iraqi reinforcement. The platoon had twenty-four hours to plan and execute the operation. On the evening of October 12, while Netanyahu and Betser were searching for Ben Hanan, Mofaz and twenty-five of his operators disembarked a Sikorsky CH-53 fifty-two miles northeast of Damascus, near the Syria–Iraq–Jordan tri-border area. They split into two teams and waited for the Iraqi convoy. It took them a while to realize that the Iraqi vehicles were maintaining long spacing between trucks in order to avoid detection — and that, while the team had been waiting for a</w:t>
      </w:r>
      <w:r>
        <w:t xml:space="preserve"> </w:t>
      </w:r>
      <w:r>
        <w:t xml:space="preserve">“</w:t>
      </w:r>
      <w:r>
        <w:t xml:space="preserve">convoy,</w:t>
      </w:r>
      <w:r>
        <w:t xml:space="preserve">”</w:t>
      </w:r>
      <w:r>
        <w:t xml:space="preserve"> </w:t>
      </w:r>
      <w:r>
        <w:t xml:space="preserve">real Iraqi reinforcement was passing them by every ten minutes in the form of individual trucks. As soon as they realized the mistake, the teams engaged. They destroyed several vehicles and the bridge that the convoy was using. The helicopter that was waiting nearby extracted them and brought them home unharmed.</w:t>
      </w:r>
      <w:r>
        <w:rPr>
          <w:rStyle w:val="EndnoteReference"/>
        </w:rPr>
        <w:endnoteReference w:id="77"/>
      </w:r>
      <w:r>
        <w:t xml:space="preserve"> </w:t>
      </w:r>
      <w:r>
        <w:t xml:space="preserve">In the debrief, Mofaz realized that the convoy misreading was not the only element that had jeopardized the operation. The Uzis the team carried, like Yatom’s at Balooza, were ill-fitted for the mission. Worse, several members of the team had decided on a whim before boarding the helicopter to take several M-72 LAW rocket launchers that had arrived hours earlier from the United States as part of Operation Nickel Grass. None of the soldiers had ever trained on the LAW. Worse still, in the dark of the loading area no one had noticed that the rockets they had picked up were inert training dummies made of calcium sulfate.</w:t>
      </w:r>
      <w:r>
        <w:rPr>
          <w:rStyle w:val="EndnoteReference"/>
        </w:rPr>
        <w:endnoteReference w:id="78"/>
      </w:r>
    </w:p>
    <w:p>
      <w:pPr>
        <w:pStyle w:val="BodyText"/>
      </w:pPr>
      <w:r>
        <w:t xml:space="preserve">The Iraqi-convoy operation succeeded — barely, and only because the Iraqis were poor at convoy security and because the helicopter pilot was good. The next night the GHQ replicated it against a bridge on the Homs–Damascus road, which was one of the main routes the Syrian military was using to transfer supplies to its units in the south. Codenamed Operation Davidka, the operation suffered immediately when heavy cloud cover forced the helicopter pilot to change his planned path and to land the team four kilometers from the designated landing zone. Vigilant Syrian forces identified the platoon almost immediately and closed in. The operation avoided disaster only because of the resourcefulness of the helicopter pilot who, despite the immense risk, flew back into the area and extracted the team.</w:t>
      </w:r>
      <w:r>
        <w:rPr>
          <w:rStyle w:val="EndnoteReference"/>
        </w:rPr>
        <w:endnoteReference w:id="79"/>
      </w:r>
      <w:r>
        <w:t xml:space="preserve"> </w:t>
      </w:r>
      <w:r>
        <w:t xml:space="preserve">Davidka concluded the involvement of the Paratroopers’ Reconnaissance Platoon in the war. Two operations. One that succeeded against inferior security with dummy rockets and untrained men. One that failed in landing and was saved by a single pilot.</w:t>
      </w:r>
    </w:p>
    <w:p>
      <w:pPr>
        <w:pStyle w:val="BodyText"/>
      </w:pPr>
      <w:r>
        <w:t xml:space="preserve">The fourth narrative concerns Lieutenant Colonel Avi Lanir, commander of the 101st Squadron — the IAF’s first jet fighter squadron, the most senior squadron in the Air Force. On the morning of October 13, Lanir returned to Hatzor airbase after a long discussion at IAF headquarters. He was tired, but he asked the operations room to add him to the on-call list. Shortly afterward, a Syrian MiG appeared over the Golan. For Lanir, who had scored his third career kill only the day before, engaging an enemy plane had become almost routine. But because he had missed the morning briefing, he was unaware that several of the Syrian mobile SA-6 batteries had been relocated overnight. The MiG was bait. Its pilot’s mission was to lure IAF fighters into the engagement zone of the new SA-6 emplacements.</w:t>
      </w:r>
      <w:r>
        <w:rPr>
          <w:rStyle w:val="EndnoteReference"/>
        </w:rPr>
        <w:endnoteReference w:id="80"/>
      </w:r>
      <w:r>
        <w:t xml:space="preserve"> </w:t>
      </w:r>
      <w:r>
        <w:t xml:space="preserve">The back of Lanir’s plane took a direct hit. He turned for the Israeli lines but had to eject above the battleground. Both Syrian forces and Israeli tank crews of the 188th Armored Brigade saw him land. The Syrians reached him first. They evacuated him quickly to a medical facility and from there to prison. They identified him quickly as the senior IAF officer in their hands — the most senior fighter pilot to fall captive in the entire war — and they had reason to believe, on the basis of interrogations of other Israeli POWs, that Lanir belonged to the small group of IAF pilots qualified to carry and deliver nuclear weapons. They subjected him to extreme physical torture. Like Uri Ilan two decades earlier — the IDF soldier whose 1955 suicide rather than divulgence of secrets had become a foundational story of Israeli military ethos — Lanir chose to die rather than to betray what he knew.</w:t>
      </w:r>
      <w:r>
        <w:rPr>
          <w:rStyle w:val="EndnoteReference"/>
        </w:rPr>
        <w:endnoteReference w:id="81"/>
      </w:r>
    </w:p>
    <w:p>
      <w:pPr>
        <w:pStyle w:val="BodyText"/>
      </w:pPr>
      <w:r>
        <w:t xml:space="preserve">Four narratives, four units. The first — the Yatom-Katziri attempt at Balooza — produced, within fifteen months, the founding nucleus of Unit 669, the IAF airborne search-and-rescue unit. The second — the destruction of Palsar 7 — produced, within twenty-four months, the doctrinal rationale for restructuring the IDF’s armored reconnaissance posture. The third — the Mofaz operations against the Iraqi convoy and the Homs–Damascus bridge — became the empirical case, in the staff colleges, for why a paratroopers’ reconnaissance platoon was not the right institutional home for the kind of long-range strike-and-reconnaissance mission a future war would require. The fourth — the Lanir tragedy — gave the Air Force commander, Benny Peled, the strategic-value argument he would need in 1974 to push 669 from a paper plan to an operational unit.</w:t>
      </w:r>
    </w:p>
    <w:p>
      <w:pPr>
        <w:pStyle w:val="BodyText"/>
      </w:pPr>
      <w:r>
        <w:t xml:space="preserve">The four narratives also produced one man’s conviction. Muki Betser ended the war grief-stricken and frustrated. The operations Sayeret Matkal had carried out — the Ben Hanan rescue, the Syrian commando ambush at Naffakh, the half-dozen other engagements he and his colleagues had managed to extract from a war that nobody had planned to use them in — had been competent. None of them had been a game-changer. None had moved the needle. None had been the kind of operation that would force a Yamit-style strategic recalculation in Cairo or Damascus. Betser was convinced that special operations could have such an effect. He was convinced, by the end of October 1973, that the IDF possessed neither the doctrine, nor the equipment, nor the institutional architecture to deliver them. And he was convinced — partly out of his own ambition, partly out of the unmistakable lesson that the existing units had not been enough — that someone had to build what was missing.</w:t>
      </w:r>
    </w:p>
    <w:p>
      <w:pPr>
        <w:pStyle w:val="BodyText"/>
      </w:pPr>
      <w:r>
        <w:t xml:space="preserve">The next sections of this chapter will follow what he did. But before we follow him into the bureaucratic commando operation that would, between 1974 and 1976, produce the institutional skeleton of Shaldag, we need to dwell for a moment on the informal meeting that Sayeret Matkal’s officers convened in the weeks after the ceasefire — the meeting at which the unit’s institutional identity, after thirty days of war, was up for renegotiation. It was at that meeting that Betser made the choice that would carry him out of his own unit and into the bureaucratic spaces of central Tel Aviv. We turn there next.</w:t>
      </w:r>
    </w:p>
    <w:bookmarkEnd w:id="82"/>
    <w:bookmarkStart w:id="90" w:name="the-lanir-logic-and-the-669-idea"/>
    <w:p>
      <w:pPr>
        <w:pStyle w:val="Heading2"/>
      </w:pPr>
      <w:r>
        <w:t xml:space="preserve">7.6 The Lanir Logic and the 669 Idea</w:t>
      </w:r>
    </w:p>
    <w:p>
      <w:pPr>
        <w:pStyle w:val="FirstParagraph"/>
      </w:pPr>
      <w:r>
        <w:t xml:space="preserve">Before we turn to Betser’s post-war meeting, however, we need to follow one of the four parallel narratives a little further forward in time — because it produced, in parallel with Shaldag and on the same Air Force institutional terrain, the second of the two units this chapter is about. The Lanir tragedy did not merely make a strategic-value argument for an airborne search-and-rescue unit. It made the argument to the only audience that mattered. Major General Benny Peled, who had assumed command of the Israel Air Force on May 16, 1973 — five months before the war — had been the IAF commander in office during the catastrophe of the war’s first three days, when one out of every four IAF aircraft had been damaged and one hundred and two fighter jets, twenty-seven percent of Israel’s combat air strength, had been lost.</w:t>
      </w:r>
      <w:r>
        <w:rPr>
          <w:rStyle w:val="EndnoteReference"/>
        </w:rPr>
        <w:endnoteReference w:id="83"/>
      </w:r>
      <w:r>
        <w:t xml:space="preserve"> </w:t>
      </w:r>
      <w:r>
        <w:t xml:space="preserve">The numerical scale of the loss was already, by itself, sufficient to focus Peled’s attention on pilot recovery. But the Lanir case made the moral and strategic argument concrete in a way no statistic could. The most senior fighter pilot to fall captive in the war — a man whom the Syrians had identified as potentially nuclear-qualified, and whom they had tortured to death rather than recover alive — had been left on a Syrian battlefield because no Israeli unit existed whose mission was, in the doctrinal sense, to go in and bring him home.</w:t>
      </w:r>
    </w:p>
    <w:p>
      <w:pPr>
        <w:pStyle w:val="BodyText"/>
      </w:pPr>
      <w:r>
        <w:t xml:space="preserve">The institutional groundwork for what would become Unit 669 had in fact been laid the previous summer, although nobody at the time would have called it groundwork.</w:t>
      </w:r>
      <w:r>
        <w:rPr>
          <w:rStyle w:val="EndnoteReference"/>
        </w:rPr>
        <w:endnoteReference w:id="84"/>
      </w:r>
      <w:r>
        <w:t xml:space="preserve"> </w:t>
      </w:r>
      <w:r>
        <w:t xml:space="preserve">On June 23, 1972, two IAF F-4E Phantoms had collided during a routine maneuver over the Mediterranean. Assisted by divers from Unit 707, the physicians and medics of the IAF’s airborne medical unit YARPA 386 had managed to save three of the four pilots. The fourth had drowned in the time it took to coordinate the dive, the medical evacuation, and the helicopter pickup. An IAF committee that investigated the event concluded that a single specialized unit, dedicated to all phases of pilot recovery rather than improvising them across three different organizations, would yield better results. By 1970 the IAF had already established its second transport-helicopter squadron — the 118 Nocturnal Birds of Prey, whose pilots were experienced with the kind of complex low-level operations that a search-and-rescue role would require — and the entry costs of standing up an airborne recovery unit were, by IDF standards, low.</w:t>
      </w:r>
      <w:r>
        <w:rPr>
          <w:rStyle w:val="EndnoteReference"/>
        </w:rPr>
        <w:endnoteReference w:id="85"/>
      </w:r>
      <w:r>
        <w:t xml:space="preserve"> </w:t>
      </w:r>
      <w:r>
        <w:t xml:space="preserve">But in the absence of an urgent need and a powerful military entrepreneur, the formation of the unit had progressed unhurriedly throughout 1972 and into 1973, and when the war broke out it was still in its planning stages.</w:t>
      </w:r>
    </w:p>
    <w:p>
      <w:pPr>
        <w:pStyle w:val="BodyText"/>
      </w:pPr>
      <w:r>
        <w:t xml:space="preserve">The war ended that. By the time the smoke had cleared in late October, the Lanir tragedy had foregrounded the strategic-value argument; the Yatom-Katziri attempt at Balooza had foregrounded the operational-competence argument; and Ezer Weizman’s by-now-famous line —</w:t>
      </w:r>
      <w:r>
        <w:t xml:space="preserve"> </w:t>
      </w:r>
      <w:r>
        <w:t xml:space="preserve">“</w:t>
      </w:r>
      <w:r>
        <w:t xml:space="preserve">the missile bent the jet’s wing</w:t>
      </w:r>
      <w:r>
        <w:t xml:space="preserve">”</w:t>
      </w:r>
      <w:r>
        <w:t xml:space="preserve"> </w:t>
      </w:r>
      <w:r>
        <w:t xml:space="preserve">— had foregrounded the cultural argument that the IAF’s invulnerability myth had ended.</w:t>
      </w:r>
      <w:r>
        <w:rPr>
          <w:rStyle w:val="EndnoteReference"/>
        </w:rPr>
        <w:endnoteReference w:id="86"/>
      </w:r>
      <w:r>
        <w:t xml:space="preserve"> </w:t>
      </w:r>
      <w:r>
        <w:t xml:space="preserve">Peled, who like all senior IAF officers had absorbed Lieutenant Colonel Iceal Hambleton’s 1972 ejection over North Vietnam and the eleven-day, multi-service Bat 21 rescue operation that the U.S. Air Force had mounted to recover him,</w:t>
      </w:r>
      <w:r>
        <w:rPr>
          <w:rStyle w:val="EndnoteReference"/>
        </w:rPr>
        <w:endnoteReference w:id="87"/>
      </w:r>
      <w:r>
        <w:t xml:space="preserve"> </w:t>
      </w:r>
      <w:r>
        <w:t xml:space="preserve">could now make the argument to the General Staff that an airborne rescue unit was not a luxury. It was an extension of the IAF’s most expensive investment — the pilot. Within months of the ceasefire, the 669 formation moved from paper to operational reality. The first commander, the doctrine, the helicopter integration with the 118 Squadron, and the recruitment of physicians and operators followed in 1974 and 1975.</w:t>
      </w:r>
    </w:p>
    <w:p>
      <w:pPr>
        <w:pStyle w:val="BodyText"/>
      </w:pPr>
      <w:r>
        <w:t xml:space="preserve">What did not follow — and this is the part of the 669 story that bears directly on Shaldag — was the smooth absorption of Unit 707, the naval-defensive-diving unit that the IAF founders had initially hoped would provide their first cohort of operators. Unit 707, as I argued in Chapter 6, had spent the post-1967 years quietly building itself into a credible rival to Shayetet 13, and during the Yom Kippur War it had repeatedly searched for combat missions in the Red Sea and the Mediterranean, finding few that suited its training.</w:t>
      </w:r>
      <w:r>
        <w:rPr>
          <w:rStyle w:val="EndnoteReference"/>
        </w:rPr>
        <w:endnoteReference w:id="88"/>
      </w:r>
      <w:r>
        <w:t xml:space="preserve"> </w:t>
      </w:r>
      <w:r>
        <w:t xml:space="preserve">By late 1973, with Shayetet 13’s reputation reinforced by its participation in the Suez crossing and Unit 707 still struggling to articulate a distinct doctrinal identity, rumors of the unit’s looming downsizing reached the founders of 669. They approached the Ashdod Harbor team. Like Avraham Arnan in 1957, however, they found it hard to market the new unit. The professional divers of 707, who for all intents and purposes had served as naval commandos, were reluctant to join an unknown IAF unit whose primary designation would not be combat but rescue. The negotiation collapsed.</w:t>
      </w:r>
      <w:r>
        <w:rPr>
          <w:rStyle w:val="EndnoteReference"/>
        </w:rPr>
        <w:endnoteReference w:id="89"/>
      </w:r>
      <w:r>
        <w:t xml:space="preserve"> </w:t>
      </w:r>
      <w:r>
        <w:t xml:space="preserve">Unit 669 would have to build its first cohort from scratch.</w:t>
      </w:r>
    </w:p>
    <w:p>
      <w:pPr>
        <w:pStyle w:val="BodyText"/>
      </w:pPr>
      <w:r>
        <w:t xml:space="preserve">By 1975, then, both Shaldag and 669 were embryonic institutions inside the IAF orbit. They were geographically close — both eventually based at IAF facilities — and doctrinally complementary. One went in to designate targets for IAF precision strike. The other went in to recover the pilots whose aircraft had launched the strike. Together they were the operational arms of the post-1973 Air Special Forces Group. And both of them existed because, eighteen days in October 1973, the existing IDF SOF inventory had proved unequal to what the war demanded of it.</w:t>
      </w:r>
    </w:p>
    <w:bookmarkEnd w:id="90"/>
    <w:bookmarkStart w:id="98" w:name="whither-the-unit-and-betsers-conviction"/>
    <w:p>
      <w:pPr>
        <w:pStyle w:val="Heading2"/>
      </w:pPr>
      <w:r>
        <w:t xml:space="preserve">7.7</w:t>
      </w:r>
      <w:r>
        <w:t xml:space="preserve"> </w:t>
      </w:r>
      <w:r>
        <w:t xml:space="preserve">“</w:t>
      </w:r>
      <w:r>
        <w:t xml:space="preserve">Whither the Unit</w:t>
      </w:r>
      <w:r>
        <w:t xml:space="preserve">”</w:t>
      </w:r>
      <w:r>
        <w:t xml:space="preserve"> </w:t>
      </w:r>
      <w:r>
        <w:t xml:space="preserve">and Betser’s Conviction</w:t>
      </w:r>
    </w:p>
    <w:p>
      <w:pPr>
        <w:pStyle w:val="FirstParagraph"/>
      </w:pPr>
      <w:r>
        <w:t xml:space="preserve">The informal meeting that Sayeret Matkal’s officers convened in late October or early November 1973 had no formal title and produced no official protocol. It was, by all accounts, a few dozen men in their late twenties and early thirties — Giora Zorea, Amiram Levine, Yonatan Netanyahu, Muki Betser, Uzi Dayan, and the rest of the unit’s senior cadre — sitting in a room somewhere on the unit’s base, talking about the war they had just been excluded from, and asking what their unit was now for.</w:t>
      </w:r>
      <w:r>
        <w:rPr>
          <w:rStyle w:val="EndnoteReference"/>
        </w:rPr>
        <w:endnoteReference w:id="91"/>
      </w:r>
      <w:r>
        <w:t xml:space="preserve"> </w:t>
      </w:r>
      <w:r>
        <w:t xml:space="preserve">What it became known as — Le’an Holekhet Ha-Yehida,</w:t>
      </w:r>
      <w:r>
        <w:t xml:space="preserve"> </w:t>
      </w:r>
      <w:r>
        <w:t xml:space="preserve">“</w:t>
      </w:r>
      <w:r>
        <w:t xml:space="preserve">Whither the Unit</w:t>
      </w:r>
      <w:r>
        <w:t xml:space="preserve">”</w:t>
      </w:r>
      <w:r>
        <w:t xml:space="preserve"> </w:t>
      </w:r>
      <w:r>
        <w:t xml:space="preserve">— captured both its substance and its mood.</w:t>
      </w:r>
    </w:p>
    <w:p>
      <w:pPr>
        <w:pStyle w:val="BodyText"/>
      </w:pPr>
      <w:r>
        <w:t xml:space="preserve">The conversation was not a unanimous one. Some officers, particularly those closest in spirit to Avraham Arnan’s original 1957 vision, argued that the war had vindicated the unit’s intelligence-collection mission and that any expansion into wartime ground operations or counterterrorism risked the kind of dilution that had hollowed out Sayeret Shaked. But most of those present — Betser among them — argued the opposite. Sayeret Matkal had been built, by 1973, into something larger than a strategic-eavesdropping unit. It had spearheaded Israel’s counterterrorism response at Sabena in May 1972. It had led the Spring of Youth raid in Beirut in April 1973. It had carried out, during the eighteen days of the war, a half-dozen consequential ground operations even though no one had planned for it to do so. The unit was, in fact, the IDF’s premier SOF whether the IDF formally recognized it or not.</w:t>
      </w:r>
      <w:r>
        <w:rPr>
          <w:rStyle w:val="EndnoteReference"/>
        </w:rPr>
        <w:endnoteReference w:id="92"/>
      </w:r>
      <w:r>
        <w:t xml:space="preserve"> </w:t>
      </w:r>
      <w:r>
        <w:t xml:space="preserve">What the meeting concluded — informally, by working consensus rather than by vote — was that Sayeret Matkal should be expanded into a versatile SOF, with intelligence collection, counterterrorism, and wartime special operations as three equally important designations. The unit, in Betser’s later phrasing, would</w:t>
      </w:r>
      <w:r>
        <w:t xml:space="preserve"> </w:t>
      </w:r>
      <w:r>
        <w:t xml:space="preserve">“</w:t>
      </w:r>
      <w:r>
        <w:t xml:space="preserve">spearhead the IDF’s counterterrorism efforts and wartime special operations</w:t>
      </w:r>
      <w:r>
        <w:t xml:space="preserve">”</w:t>
      </w:r>
      <w:r>
        <w:t xml:space="preserve"> </w:t>
      </w:r>
      <w:r>
        <w:t xml:space="preserve">while retaining its original role as the operational arm of AMAN.</w:t>
      </w:r>
      <w:r>
        <w:rPr>
          <w:rStyle w:val="EndnoteReference"/>
        </w:rPr>
        <w:endnoteReference w:id="93"/>
      </w:r>
    </w:p>
    <w:p>
      <w:pPr>
        <w:pStyle w:val="BodyText"/>
      </w:pPr>
      <w:r>
        <w:t xml:space="preserve">The meeting also produced, however, a quieter and more far-reaching realization. Sayeret Matkal could not, by itself, do all of the things the war had shown the IDF needed. The unit was small. Its operators were a strategic asset that could not be deployed in volume against the kind of corps-level air-defense problems that had broken the IAF’s back. Even if the meeting’s expansion vision were formally adopted, the unit would still need a partner — a unit larger than itself, doctrinally focused on the air-ground integration problem, capable of being deployed in formation to designate SAM batteries for precision strike. That partner did not exist. Someone would have to build it.</w:t>
      </w:r>
    </w:p>
    <w:p>
      <w:pPr>
        <w:pStyle w:val="BodyText"/>
      </w:pPr>
      <w:r>
        <w:t xml:space="preserve">The institutional environment in which that argument was made was not encouraging. In the immediate aftermath of the war, as I noted earlier, the IDF was in a state of shock. With no clear alternative, it continued to implement its prewar plans. The regional preventive battalions Charuv and Egoz — small, politically weak, geographically remote — were disbanded.</w:t>
      </w:r>
      <w:r>
        <w:rPr>
          <w:rStyle w:val="EndnoteReference"/>
        </w:rPr>
        <w:endnoteReference w:id="94"/>
      </w:r>
      <w:r>
        <w:t xml:space="preserve"> </w:t>
      </w:r>
      <w:r>
        <w:t xml:space="preserve">Their soldiers were transferred to fill the depleted ranks of the armored brigades, which despite their catastrophic losses had emerged from the war with what Betser would later describe, with a measure of bitterness, as</w:t>
      </w:r>
      <w:r>
        <w:t xml:space="preserve"> </w:t>
      </w:r>
      <w:r>
        <w:t xml:space="preserve">“</w:t>
      </w:r>
      <w:r>
        <w:t xml:space="preserve">a heroic aura.</w:t>
      </w:r>
      <w:r>
        <w:t xml:space="preserve">”</w:t>
      </w:r>
      <w:r>
        <w:t xml:space="preserve"> </w:t>
      </w:r>
      <w:r>
        <w:t xml:space="preserve">After all, the tank battalions had stood between the Syrian and Egyptian storming armies and the Israeli rear. Moreover, at that point, none of the senior decision-makers had reason to assume that Israel’s future wars would not resemble the Yom Kippur outline. The armor officers who occupied the helm of the security sector emphasized the need to rebuild the corps. The manufacturing of the Merkava — Israel’s first indigenous main battle tank, which had been in development since 1970 — was already in full swing. The sunk costs and the Merkava’s strong lobbies inside the IDF and across the multiple Israeli weapons manufacturers that took part in its development made the further expansion of the IDF Armored Corps an institutional certainty.</w:t>
      </w:r>
      <w:r>
        <w:rPr>
          <w:rStyle w:val="EndnoteReference"/>
        </w:rPr>
        <w:endnoteReference w:id="95"/>
      </w:r>
      <w:r>
        <w:t xml:space="preserve"> </w:t>
      </w:r>
      <w:r>
        <w:t xml:space="preserve">Tank inventory grew from 1,225 in 1973 to 3,800 in 1982 — a tripling in nine years, even as the strategic landscape was transforming.</w:t>
      </w:r>
      <w:r>
        <w:rPr>
          <w:rStyle w:val="EndnoteReference"/>
        </w:rPr>
        <w:endnoteReference w:id="96"/>
      </w:r>
    </w:p>
    <w:p>
      <w:pPr>
        <w:pStyle w:val="BodyText"/>
      </w:pPr>
      <w:r>
        <w:t xml:space="preserve">Betser drew the obvious conclusion. If the post-war institutional weight of the IDF was going to be poured into rebuilding the armored corps along the lines of the failed prewar doctrine, then a new SOF would not be built from inside the institutional center of the IDF. It would have to be built from the margins. And it would have to be built by someone willing to do something no Sayeret Matkal officer had done before: leave the army temporarily and run the institutional campaign as a civilian.</w:t>
      </w:r>
    </w:p>
    <w:p>
      <w:pPr>
        <w:pStyle w:val="BodyText"/>
      </w:pPr>
      <w:r>
        <w:t xml:space="preserve">There was one further advantage that he had not yet articulated to himself but that would prove decisive. His Nahalal neighbor, Major General Mussa Peled — one of the senior armor commanders whose 146th Reserve Armored Division had executed the counterattack that had broken the Syrian advance in the southern Golan on October 8 — was a personal friend whom he could approach directly.</w:t>
      </w:r>
      <w:r>
        <w:rPr>
          <w:rStyle w:val="EndnoteReference"/>
        </w:rPr>
        <w:endnoteReference w:id="97"/>
      </w:r>
      <w:r>
        <w:t xml:space="preserve"> </w:t>
      </w:r>
      <w:r>
        <w:t xml:space="preserve">The armor lobby was the most powerful institutional bloc in the post-1973 IDF, and through Mussa Peled, Betser had a single-degree-of-separation channel into it. The Jezreel Valley network — the same network of moshavim and kibbutzim that had produced Wingate’s SNS in the 1930s, the Palmach in the 1940s, the paratroopers in the 1950s, and Sayeret Matkal in the 1960s — was about to deliver, one more time, the social capital that the next Israeli SOF would be built on.</w:t>
      </w:r>
    </w:p>
    <w:bookmarkEnd w:id="98"/>
    <w:bookmarkStart w:id="103" w:name="X592d13f59850e28bace0348824d9e032b27bd93"/>
    <w:p>
      <w:pPr>
        <w:pStyle w:val="Heading2"/>
      </w:pPr>
      <w:r>
        <w:t xml:space="preserve">7.8 The Civilian Move: Chimavir, Dayan, and the Wingate Family Network</w:t>
      </w:r>
    </w:p>
    <w:p>
      <w:pPr>
        <w:pStyle w:val="FirstParagraph"/>
      </w:pPr>
      <w:r>
        <w:t xml:space="preserve">Before he embarked on his expedition, Betser approached Giora Zorea, his commander, and asked for a leave of absence from the army.</w:t>
      </w:r>
      <w:r>
        <w:rPr>
          <w:rStyle w:val="EndnoteReference"/>
        </w:rPr>
        <w:endnoteReference w:id="99"/>
      </w:r>
      <w:r>
        <w:t xml:space="preserve"> </w:t>
      </w:r>
      <w:r>
        <w:t xml:space="preserve">The request was unusual. Active-duty officers of Sayeret Matkal did not, as a matter of practice, take civilian leave to pursue institutional projects. But Zorea, who had been Betser’s superior at Naffakh and who had seen the full arc of the war from inside the unit’s senior officer corps, understood what Betser was after. To pursue the project, Betser needed access to policymakers within and beyond the military. As a civilian, he could ignore the military’s chain of command and use his social ties to approach whomever he wanted. Much like Avraham Arnan, who two decades earlier had chosen to place the base of Sayeret Matkal close to the nerve center of the defense establishment in Tel Aviv, Betser realized that proximity to decision-makers — and the capacity to walk into their offices without being intercepted by their gatekeepers — was decisive.</w:t>
      </w:r>
      <w:r>
        <w:rPr>
          <w:rStyle w:val="EndnoteReference"/>
        </w:rPr>
        <w:endnoteReference w:id="100"/>
      </w:r>
    </w:p>
    <w:p>
      <w:pPr>
        <w:pStyle w:val="BodyText"/>
      </w:pPr>
      <w:r>
        <w:t xml:space="preserve">He found a temporary job in Chimavir, a crop-dusting aircraft company whose offices were a short walking distance from the Ministry of Defense and the IDF General Staff in central Tel Aviv. From there he launched what he would later describe as his bureaucratic commando operation. The first target was Moshe Dayan, the minister of defense. Dayan was not only a Nahalal neighbor. He was a friend of the Betser family who had served, in 1938 and 1939, with Muki’s father Nachman in Charles Orde Wingate’s Special Night Squads. The two men had walked the same hills of the Lower Galilee under the same British officer, and they had retained, across four decades, the kind of bond that the SNS network created among its survivors.</w:t>
      </w:r>
      <w:r>
        <w:rPr>
          <w:rStyle w:val="EndnoteReference"/>
        </w:rPr>
        <w:endnoteReference w:id="101"/>
      </w:r>
    </w:p>
    <w:p>
      <w:pPr>
        <w:pStyle w:val="BodyText"/>
      </w:pPr>
      <w:r>
        <w:t xml:space="preserve">I want to dwell on this fact for a moment, because it is the structural condition that makes Betser’s entrepreneurial mode possible — and it is also the deepest illustration of the book’s argument about the cumulative character of Israeli SOF development.</w:t>
      </w:r>
    </w:p>
    <w:p>
      <w:pPr>
        <w:pStyle w:val="BodyText"/>
      </w:pPr>
      <w:r>
        <w:t xml:space="preserve">The Wingate network, which I traced in Chapter 2, was not merely a set of military skills transferred from a British officer to a generation of Yishuv fighters. It was a social network: a horizon of personal trust among the men (and a small number of women) who had served together in 1938 and 1939, that persisted as a social fact across the subsequent four decades of Israeli history. Nachman Betser, Moshe Dayan, Yigal Allon, and Yitzhak Sadeh — to take the four most prominent members of the network — had retained personal relationships well into the 1970s. The Palmach generation that the Wingate network produced had, in turn, become the founding generation of the IDF, the security establishment, and the political class. By 1974, when Muki Betser drove from his temporary office at Chimavir to the Ministry of Defense to meet with Moshe Dayan, he was traversing not a bureaucratic distance but a familial one. Dayan was, in the literal anthropological sense, his uncle in the network — the man who had walked the Galilee with his father.</w:t>
      </w:r>
    </w:p>
    <w:p>
      <w:pPr>
        <w:pStyle w:val="BodyText"/>
      </w:pPr>
      <w:r>
        <w:t xml:space="preserve">This is the third entrepreneurial mode I want to identify in this book. Yitzhak Sadeh, as I argued in Chapter 2, had built FOSH from inside the Histadrut and the Haganah — an institutional founder, working through formal structures, with permission. Avraham Arnan, as I argued in Chapter 5, had built Sayeret Matkal from inside AMAN — an internal founder, working through bureaucratic indirection, often without permission but always within the system. Muki Betser was now doing something neither of his predecessors had done. He was building from outside, as a civilian, using a social network that pre-dated all three of the formal institutions involved — the IDF, the IAF, and the Ministry of Defense. The Wingate network was older than the State of Israel; it was, in fact, older than the IDF by a decade. And it was strong enough, in 1974, to function as Betser’s institutional ladder.</w:t>
      </w:r>
    </w:p>
    <w:p>
      <w:pPr>
        <w:pStyle w:val="BodyText"/>
      </w:pPr>
      <w:r>
        <w:t xml:space="preserve">The first meeting with Dayan, which Betser later described in his memoirs as warm and surprisingly direct, did not by itself produce the unit.</w:t>
      </w:r>
      <w:r>
        <w:rPr>
          <w:rStyle w:val="EndnoteReference"/>
        </w:rPr>
        <w:endnoteReference w:id="102"/>
      </w:r>
      <w:r>
        <w:t xml:space="preserve"> </w:t>
      </w:r>
      <w:r>
        <w:t xml:space="preserve">Dayan listened. He understood. He saw the operational logic of an SA-6-suppression force that would use airborne precision designation to put precision-guided munitions onto mobile Soviet air defenses. He authorized Betser to continue developing the concept. But Dayan, in October and November 1973, was a man whose own political survival was unsettled. The Agranat Commission had begun its hearings. The political ground in Tel Aviv was shifting. By the summer of 1974, Dayan would be out of the Ministry of Defense altogether, replaced as defense minister by Shimon Peres in Yitzhak Rabin’s new government. Betser, who had bet his first move on Dayan, would have to start over with new interlocutors.</w:t>
      </w:r>
    </w:p>
    <w:p>
      <w:pPr>
        <w:pStyle w:val="BodyText"/>
      </w:pPr>
      <w:r>
        <w:t xml:space="preserve">He was not willing to give up easily.</w:t>
      </w:r>
    </w:p>
    <w:bookmarkEnd w:id="103"/>
    <w:bookmarkStart w:id="116" w:name="X7de43ec6ef0af98e750e8c3f45eb564d8d24d5e"/>
    <w:p>
      <w:pPr>
        <w:pStyle w:val="Heading2"/>
      </w:pPr>
      <w:r>
        <w:t xml:space="preserve">7.9 The Laser Designator and the IAF Coalition</w:t>
      </w:r>
    </w:p>
    <w:p>
      <w:pPr>
        <w:pStyle w:val="FirstParagraph"/>
      </w:pPr>
      <w:r>
        <w:t xml:space="preserve">The technical problem Betser was trying to solve was, in its narrowest framing, an electromagnetic one. The Soviet mobile SA-6 surface-to-air missile system that had broken the IAF’s back during the war’s first days was, by 1974, the most pressing single hardware threat to Israeli air superiority. The system’s mobility meant it could not be destroyed in the way fixed Egyptian and Syrian airbases had been destroyed in 1967; its semi-active radar homing meant it could not be jammed by the IAF’s existing electronic countermeasures; and its dense deployment in overlapping envelopes with the SA-2 and SA-3 batteries meant that IAF pilots attempting to fly under one battery flew into the engagement zone of another. The IAF needed a way to destroy SA-6 batteries from outside their engagement envelopes — to engage them, in the doctrinal phrase Betser would later use,</w:t>
      </w:r>
      <w:r>
        <w:t xml:space="preserve"> </w:t>
      </w:r>
      <w:r>
        <w:t xml:space="preserve">“</w:t>
      </w:r>
      <w:r>
        <w:t xml:space="preserve">from outside the missile-impacted zone</w:t>
      </w:r>
      <w:r>
        <w:t xml:space="preserve">”</w:t>
      </w:r>
      <w:r>
        <w:t xml:space="preserve"> </w:t>
      </w:r>
      <w:r>
        <w:t xml:space="preserve">(me-chutz le-azor mukeh tilim, or AMAT).</w:t>
      </w:r>
      <w:r>
        <w:rPr>
          <w:rStyle w:val="EndnoteReference"/>
        </w:rPr>
        <w:endnoteReference w:id="104"/>
      </w:r>
    </w:p>
    <w:p>
      <w:pPr>
        <w:pStyle w:val="BodyText"/>
      </w:pPr>
      <w:r>
        <w:t xml:space="preserve">The technological answer, by 1974, was visible on the horizon of military R&amp;D: laser-guided munitions. The idea was straightforward in principle. An aircraft flying at standoff range, outside the SA-6’s engagement envelope, releases a precision-guided bomb. A ground team near the target — close enough to see it, far enough away to survive — illuminates the target with a portable laser designator. The bomb tracks the laser reflection to impact. The IAF survives. The SAM batteries die. The first generation of operational laser-guided munitions had been used by the U.S. Air Force in Vietnam from 1968 onward, most famously against the Thanh Hoa bridge in May 1972, and by the early 1970s several European and Israeli defense companies were exploring portable laser designators.</w:t>
      </w:r>
      <w:r>
        <w:rPr>
          <w:rStyle w:val="EndnoteReference"/>
        </w:rPr>
        <w:endnoteReference w:id="105"/>
      </w:r>
      <w:r>
        <w:t xml:space="preserve"> </w:t>
      </w:r>
      <w:r>
        <w:t xml:space="preserve">But the Israeli effort, as Betser discovered during what he later called his expedition through the IDF’s technological units, was in trouble.</w:t>
      </w:r>
      <w:r>
        <w:rPr>
          <w:rStyle w:val="EndnoteReference"/>
        </w:rPr>
        <w:endnoteReference w:id="106"/>
      </w:r>
      <w:r>
        <w:t xml:space="preserve"> </w:t>
      </w:r>
      <w:r>
        <w:t xml:space="preserve">At Tadiran, the Israeli electronics company that had received the early research-and-development contract, a young engineer had nearly completed a working portable laser-designator prototype. The project, however, had been defunded. Six million dollars separated the engineer from a completed system. Without a unit that needed the technology, and without a strong institutional lobby pushing the IDF to acquire it, the engineer was helpless. (The engineer, whose name remains classified, would in the 1980s go on to command Talpiot, the IDF’s elite military R&amp;D program — a biographical detail that, as much as anything else, captures how concentrated the Israeli military-technological ecosystem was in this period.)</w:t>
      </w:r>
      <w:r>
        <w:rPr>
          <w:rStyle w:val="EndnoteReference"/>
        </w:rPr>
        <w:endnoteReference w:id="107"/>
      </w:r>
    </w:p>
    <w:p>
      <w:pPr>
        <w:pStyle w:val="BodyText"/>
      </w:pPr>
      <w:r>
        <w:t xml:space="preserve">Betser now had the technological piece. He needed the institutional coalition. He cast a wide net.</w:t>
      </w:r>
      <w:r>
        <w:rPr>
          <w:rStyle w:val="EndnoteReference"/>
        </w:rPr>
        <w:endnoteReference w:id="108"/>
      </w:r>
      <w:r>
        <w:t xml:space="preserve"> </w:t>
      </w:r>
      <w:r>
        <w:t xml:space="preserve">Two major generals proved to be the load-bearing allies. Major General Benny Peled, the IAF commander, believed in the vision from the first conversation. He committed the IAF — quietly, without yet revealing the plan to the General Staff — to absorbing the new unit once it existed.</w:t>
      </w:r>
      <w:r>
        <w:rPr>
          <w:rStyle w:val="EndnoteReference"/>
        </w:rPr>
        <w:endnoteReference w:id="109"/>
      </w:r>
      <w:r>
        <w:t xml:space="preserve"> </w:t>
      </w:r>
      <w:r>
        <w:t xml:space="preserve">More immediately critical, Major General Yekutiel</w:t>
      </w:r>
      <w:r>
        <w:t xml:space="preserve"> </w:t>
      </w:r>
      <w:r>
        <w:t xml:space="preserve">“</w:t>
      </w:r>
      <w:r>
        <w:t xml:space="preserve">Kuti</w:t>
      </w:r>
      <w:r>
        <w:t xml:space="preserve">”</w:t>
      </w:r>
      <w:r>
        <w:t xml:space="preserve"> </w:t>
      </w:r>
      <w:r>
        <w:t xml:space="preserve">Adam, the GOC of the Southern Command, was instrumental in raising the five million dollars from inside the IAF’s discretionary budget that completed the laser-designator development. (The six-million-dollar figure Betser used was the total project shortfall; the IAF’s specific commitment was five million.) Adam also did something more institutionally consequential. From 1976 onward, when he had moved into a position of senior procurement authority, he backed all of Shaldag’s technological developments without going through the normal IDF tender process. This was the bureaucratic protection that allowed the unit to acquire what it needed without being slowed by the procurement system that would, in normal circumstances, have killed any unit lacking a formal table of organization and equipment.</w:t>
      </w:r>
      <w:r>
        <w:rPr>
          <w:rStyle w:val="EndnoteReference"/>
        </w:rPr>
        <w:endnoteReference w:id="110"/>
      </w:r>
    </w:p>
    <w:p>
      <w:pPr>
        <w:pStyle w:val="BodyText"/>
      </w:pPr>
      <w:r>
        <w:t xml:space="preserve">Inside the IAF Operations Department, Betser found a continuous interlocutor in Aviahu Ben-Nun, the department head — a senior fighter pilot who would later command the IAF in his own right — and a daily liaison in Ido Ambar, a younger officer whose role was to keep the conversation between Betser and the IAF current as the latter waited for the unit to materialize.</w:t>
      </w:r>
      <w:r>
        <w:rPr>
          <w:rStyle w:val="EndnoteReference"/>
        </w:rPr>
        <w:endnoteReference w:id="111"/>
      </w:r>
      <w:r>
        <w:t xml:space="preserve"> </w:t>
      </w:r>
      <w:r>
        <w:t xml:space="preserve">When Ben-Nun was succeeded by Iftach Spector in the IAF Operations Department, the alliance deepened. Spector, who had already established himself as one of the IAF’s most original tactical thinkers, was enthusiastic about the idea of operating helicopters under enemy radar at low altitude to deliver Shaldag teams to SA-6 designations.</w:t>
      </w:r>
      <w:r>
        <w:rPr>
          <w:rStyle w:val="EndnoteReference"/>
        </w:rPr>
        <w:endnoteReference w:id="112"/>
      </w:r>
      <w:r>
        <w:t xml:space="preserve"> </w:t>
      </w:r>
      <w:r>
        <w:t xml:space="preserve">The IAF helicopter partner Betser was given was Squadron 201 at Hatzor Air Base, under the command of Aviam Sela. Squadron 201 became the squadron with which Shaldag, throughout its formative years, would train its delivery doctrine.</w:t>
      </w:r>
      <w:r>
        <w:rPr>
          <w:rStyle w:val="EndnoteReference"/>
        </w:rPr>
        <w:endnoteReference w:id="113"/>
      </w:r>
    </w:p>
    <w:p>
      <w:pPr>
        <w:pStyle w:val="BodyText"/>
      </w:pPr>
      <w:r>
        <w:t xml:space="preserve">By the end of 1975 — perhaps a year and a half into the project, working from his Chimavir office and from rented IDF facilities — Betser had assembled the doctrinal, technological, and institutional architecture of the unit. The doctrine: airborne insertion at low altitude under radar, laser designation of SA-6 batteries, precision strike from standoff range by IAF aircraft. The technology: the Tadiran laser designator, completed with IAF money; a thermal-imaging FLIR night-vision binocular for nighttime identification of targets, classified at the highest level and brought online in 1976; an encrypted instant-messaging radio developed at the Weizmann Institute that allowed teams to communicate silently from inside enemy territory.</w:t>
      </w:r>
      <w:r>
        <w:rPr>
          <w:rStyle w:val="EndnoteReference"/>
        </w:rPr>
        <w:endnoteReference w:id="114"/>
      </w:r>
      <w:r>
        <w:t xml:space="preserve"> </w:t>
      </w:r>
      <w:r>
        <w:t xml:space="preserve">And one more decision that I want to dwell on, because it captures the doctrinal logic of the unit better than any other procurement choice. After experimenting briefly with five Spanish Montesa motorcycles, Betser settled on the Swedish Husqvarna cross motorcycle. The IDF acquired one hundred and twenty of them. The doctrinal logic was force multiplication: a single Yas’ur transport helicopter could carry twelve Husqvarna motorcycles, which doubled the effective fighter delivery rate per helicopter. A team that would otherwise have walked or jeeped to a target could now, with motorcycles, cover ten times the ground in the same time, on terrain that was impassable to wheeled vehicles. Every Shaldag operator received a motorcycle license. The unit trained on them. Years later, when all-terrain vehicles became operational, the motorcycles would be replaced — but the doctrinal logic that had selected them, the helicopter-to-ground force-multiplication math, did not change.</w:t>
      </w:r>
      <w:r>
        <w:rPr>
          <w:rStyle w:val="EndnoteReference"/>
        </w:rPr>
        <w:endnoteReference w:id="115"/>
      </w:r>
    </w:p>
    <w:p>
      <w:pPr>
        <w:pStyle w:val="BodyText"/>
      </w:pPr>
      <w:r>
        <w:t xml:space="preserve">The institutional architecture was, on paper, modest. Shaldag in 1975 was a reserve platoon — formally, a reserve element under Sayeret Matkal’s chain of command. It had no independent table of organization. Its operators were Sayeret Matkal reservists. It existed, in the formal IDF organization chart, as an appendix to its mother unit. As Betser well understood, that was the point.</w:t>
      </w:r>
    </w:p>
    <w:bookmarkEnd w:id="116"/>
    <w:bookmarkStart w:id="123" w:name="shaldag-as-reserve-platoon-19741976"/>
    <w:p>
      <w:pPr>
        <w:pStyle w:val="Heading2"/>
      </w:pPr>
      <w:r>
        <w:t xml:space="preserve">7.10 Shaldag as Reserve Platoon, 1974–1976</w:t>
      </w:r>
    </w:p>
    <w:p>
      <w:pPr>
        <w:pStyle w:val="FirstParagraph"/>
      </w:pPr>
      <w:r>
        <w:t xml:space="preserve">The decision to incubate the new unit as a reserve platoon of Sayeret Matkal rather than as an independent organization was, in retrospect, the single shrewdest institutional move Betser made.</w:t>
      </w:r>
      <w:r>
        <w:rPr>
          <w:rStyle w:val="EndnoteReference"/>
        </w:rPr>
        <w:endnoteReference w:id="117"/>
      </w:r>
      <w:r>
        <w:t xml:space="preserve"> </w:t>
      </w:r>
      <w:r>
        <w:t xml:space="preserve">Rather than try to form a new unit — a process that, in the IDF of 1974, would have required senior authorization, a table of organization, and a formal place on the General Staff’s manpower roster — Betser relied on Sayeret Matkal’s existing facilities and logistical support. As a platoon within Sayeret Matkal, the unit did not pose a bureaucratic threat to anyone. Its operators were reservists of their mother unit. They were formally under Sayeret Matkal’s chain of command. And most importantly, the platoon could be framed, when convenient, as the institutional resolution of the continuous internal debate over Sayeret Matkal’s wartime designations: rather than expanding the mother unit’s role into wartime ground operations directly, the IDF was, in effect, allowing the mother unit to grow a wartime appendage that would absorb that mission without contaminating the unit’s core intelligence-collection identity.</w:t>
      </w:r>
    </w:p>
    <w:p>
      <w:pPr>
        <w:pStyle w:val="BodyText"/>
      </w:pPr>
      <w:r>
        <w:t xml:space="preserve">The reserve battalion in its first eighteen months consisted of one training company and three reserve companies — approximately one hundred and twenty operators, drawn from the discharged ranks of Sayeret Matkal and, in a smaller number, from the discharged ranks of the Paratroopers’ Reconnaissance Platoon and Sayeret Shaked.</w:t>
      </w:r>
      <w:r>
        <w:rPr>
          <w:rStyle w:val="EndnoteReference"/>
        </w:rPr>
        <w:endnoteReference w:id="118"/>
      </w:r>
      <w:r>
        <w:t xml:space="preserve"> </w:t>
      </w:r>
      <w:r>
        <w:t xml:space="preserve">Whenever someone in the military hierarchy presented Betser with a bureaucratic hurdle, he bypassed that individual and used his civilian status and his expanding network of ties to approach a higher-ranking officer. The method was effective. And, perhaps as importantly, it was deniable. Any senior officer who tried to block Betser’s progress could find himself outflanked the next morning by a one-on-one conversation that Betser had arranged at Chimavir-walking-distance with the officer’s own superior.</w:t>
      </w:r>
    </w:p>
    <w:p>
      <w:pPr>
        <w:pStyle w:val="BodyText"/>
      </w:pPr>
      <w:r>
        <w:t xml:space="preserve">The unit’s physical base shifted as the alliance with the IAF deepened. The battalion’s first administrative offices were at the IDF base at Sirkin, in the central Sharon — a base that the IDF’s training and reserve infrastructure had inherited from the British Mandate, and that was, for a unit with no formal table of organization, a useful anonymity.</w:t>
      </w:r>
      <w:r>
        <w:rPr>
          <w:rStyle w:val="EndnoteReference"/>
        </w:rPr>
        <w:endnoteReference w:id="119"/>
      </w:r>
      <w:r>
        <w:t xml:space="preserve"> </w:t>
      </w:r>
      <w:r>
        <w:t xml:space="preserve">Training, however, took place in the field. The unit’s primary training area, throughout its formative years, was the Jabal Libni complex in the central Sinai — the terrain the IDF had inherited from the 1967 conquest and would retain until the 1979–1982 withdrawal under the Egyptian peace treaty.</w:t>
      </w:r>
      <w:r>
        <w:rPr>
          <w:rStyle w:val="EndnoteReference"/>
        </w:rPr>
        <w:endnoteReference w:id="120"/>
      </w:r>
      <w:r>
        <w:t xml:space="preserve"> </w:t>
      </w:r>
      <w:r>
        <w:t xml:space="preserve">The Sinai gave Shaldag the open, mountainous, low-population-density terrain in which its doctrine — airborne insertion, motorcycle-borne maneuver, laser designation of targets, helicopter extraction — could be rehearsed at scale.</w:t>
      </w:r>
    </w:p>
    <w:p>
      <w:pPr>
        <w:pStyle w:val="BodyText"/>
      </w:pPr>
      <w:r>
        <w:t xml:space="preserve">When Iftach Spector succeeded Aviahu Ben-Nun at the IAF Operations Department, he made a further institutional offer that would prove decisive in 1975 or early 1976. Spector proposed that Shaldag relocate its base to Palmachim — the IAF base south of Tel Aviv that already housed Squadron 201’s transport helicopters and that would, within a few years, become the IAF’s principal helicopter base. Betser agreed.</w:t>
      </w:r>
      <w:r>
        <w:rPr>
          <w:rStyle w:val="EndnoteReference"/>
        </w:rPr>
        <w:endnoteReference w:id="121"/>
      </w:r>
      <w:r>
        <w:t xml:space="preserve"> </w:t>
      </w:r>
      <w:r>
        <w:t xml:space="preserve">The move from Sirkin to Palmachim was not, in 1976, a formal transfer; the unit remained, on paper, a reserve platoon under Sayeret Matkal. But it was, in effect, the moment Shaldag became geographically embedded in the IAF’s institutional ecology. From Palmachim, the unit could train daily with Squadron 201, integrate with the IAF’s planning cycles, and draw on the air arm’s intelligence and budgetary resources in ways that no Intelligence Corps base could have facilitated.</w:t>
      </w:r>
    </w:p>
    <w:p>
      <w:pPr>
        <w:pStyle w:val="BodyText"/>
      </w:pPr>
      <w:r>
        <w:t xml:space="preserve">This was, however, the moment the unit’s existence began to attract the attention of more senior officers. Sometime in mid-1976 — exact date to verify — Major General Rafael</w:t>
      </w:r>
      <w:r>
        <w:t xml:space="preserve"> </w:t>
      </w:r>
      <w:r>
        <w:t xml:space="preserve">“</w:t>
      </w:r>
      <w:r>
        <w:t xml:space="preserve">Raful</w:t>
      </w:r>
      <w:r>
        <w:t xml:space="preserve">”</w:t>
      </w:r>
      <w:r>
        <w:t xml:space="preserve"> </w:t>
      </w:r>
      <w:r>
        <w:t xml:space="preserve">Eitan, who had by then been promoted to deputy chief of the general staff, came to visit the unit.</w:t>
      </w:r>
      <w:r>
        <w:rPr>
          <w:rStyle w:val="EndnoteReference"/>
        </w:rPr>
        <w:endnoteReference w:id="122"/>
      </w:r>
      <w:r>
        <w:t xml:space="preserve"> </w:t>
      </w:r>
      <w:r>
        <w:t xml:space="preserve">Raful, with whom Betser had spent the night of October 8, 1973 at Naffakh under almost the opposite institutional circumstances, was now in a position to formalize or disband the unit at will. He saw what Shaldag had become: a reserve battalion of one hundred and twenty operators, trained on Husqvarna cross-motorcycles and FLIR thermal binoculars, embedded in the IAF’s helicopter base, with a doctrinal mission of laser-designating SA-6 batteries for IAF precision strike, and with its own developing communications technology from the Weizmann Institute. Raful did not disband the unit. He asked, instead, that Betser begin the process of transferring the unit’s institutional home from the Intelligence Corps to the Office of the Chief Infantry and Paratroopers Officer (Ktzin Heyl Raglim ve-Tzanchanim, or קצח”ר), which would give it a clearer organizational identity as a ground combat unit rather than an intelligence-collection one. The problem, as Betser explained at the time, was that the reserve battalion was institutionally a branch of Sayeret Matkal, and any transfer would require renegotiating the unit’s relationship with its mother organization.</w:t>
      </w:r>
    </w:p>
    <w:p>
      <w:pPr>
        <w:pStyle w:val="BodyText"/>
      </w:pPr>
      <w:r>
        <w:t xml:space="preserve">The conversation with Raful was, in the end, the moment Shaldag stopped being a reserve platoon and began the institutional motion that would, within sixteen months, turn it into a regular standing battalion. We turn to that motion — and to the role of Operation Entebbe, of Motta Gur, of Sayeret Shaked’s dissolution, and of Shaldag’s first dedicated standing company — next.</w:t>
      </w:r>
    </w:p>
    <w:bookmarkEnd w:id="123"/>
    <w:bookmarkStart w:id="131" w:name="X7d1c2b7d668ec642ed644411b40f434eba55a04"/>
    <w:p>
      <w:pPr>
        <w:pStyle w:val="Heading2"/>
      </w:pPr>
      <w:r>
        <w:t xml:space="preserve">7.11 Independence and the Sayeret Shaked Inheritance, 1976–1977</w:t>
      </w:r>
    </w:p>
    <w:p>
      <w:pPr>
        <w:pStyle w:val="FirstParagraph"/>
      </w:pPr>
      <w:r>
        <w:t xml:space="preserve">The events of 1976 that turned Shaldag from a reserve platoon under Sayeret Matkal into a regular standing battalion of the IDF were sequenced by external pressure, not by Betser’s planning. Three events compressed the institutional decisions of that year: Benny Peled’s revelation of the unit’s existence to the chief of the general staff; Operation Entebbe on the night of July 3–4, 1976; and the simultaneous decision by Rafael Eitan, now deputy chief of the general staff, to disband Sayeret Shaked.</w:t>
      </w:r>
    </w:p>
    <w:p>
      <w:pPr>
        <w:pStyle w:val="BodyText"/>
      </w:pPr>
      <w:r>
        <w:t xml:space="preserve">The Peled revelation came first.</w:t>
      </w:r>
      <w:r>
        <w:rPr>
          <w:rStyle w:val="EndnoteReference"/>
        </w:rPr>
        <w:endnoteReference w:id="124"/>
      </w:r>
      <w:r>
        <w:t xml:space="preserve"> </w:t>
      </w:r>
      <w:r>
        <w:t xml:space="preserve">Sometime in the spring of 1976, with Betser’s project having grown to the point where it was no longer plausibly invisible inside the IAF and increasingly conspicuous to senior intelligence officers, Major General Benny Peled, the commander of the IAF, walked into the office of Chief of Staff Mordechai</w:t>
      </w:r>
      <w:r>
        <w:t xml:space="preserve"> </w:t>
      </w:r>
      <w:r>
        <w:t xml:space="preserve">“</w:t>
      </w:r>
      <w:r>
        <w:t xml:space="preserve">Motta</w:t>
      </w:r>
      <w:r>
        <w:t xml:space="preserve">”</w:t>
      </w:r>
      <w:r>
        <w:t xml:space="preserve"> </w:t>
      </w:r>
      <w:r>
        <w:t xml:space="preserve">Gur and told him that the IAF had been quietly developing an SOF for SAM suppression and laser-designated precision strike. Gur, who had taken over from David Elazar after the Agranat Commission removed the latter in April 1974, was not pleased to learn of an unit in his army that he had not authorized. He was, however, sufficiently pragmatic to ask Peled to invite him to the next live exercise of the unit. The exercise was scheduled for the Ktziot training area in the northern Negev. Betser, who by this point had developed an intuition for what senior officers were impressed by, planned the exercise carefully: airborne insertion at dusk under simulated radar coverage, motorcycle delivery from the LZ to a designated SAM site, FLIR-aided night identification of the battery, laser designation, and a simulated precision strike. Gur watched it. He approved.</w:t>
      </w:r>
      <w:r>
        <w:rPr>
          <w:rStyle w:val="EndnoteReference"/>
        </w:rPr>
        <w:endnoteReference w:id="125"/>
      </w:r>
      <w:r>
        <w:t xml:space="preserve"> </w:t>
      </w:r>
      <w:r>
        <w:t xml:space="preserve">The decision to formalize the unit moved from a question of whether to a question of when.</w:t>
      </w:r>
    </w:p>
    <w:p>
      <w:pPr>
        <w:pStyle w:val="BodyText"/>
      </w:pPr>
      <w:r>
        <w:t xml:space="preserve">The when was answered by Entebbe. On the night of July 3–4, 1976, four IAF C-130 Hercules transports flying low across Africa landed at Entebbe Airport in Uganda. The Sayeret Matkal force aboard — including Muki Betser, who participated in the assault on the old terminal where the hostages were held — rescued 102 of the 105 Israeli and Jewish hostages held by the Palestinian and German hijackers of Air France Flight 139. Yonatan Netanyahu, the unit’s commander and Betser’s old comrade from the Naffakh ambush of October 9, 1973, was killed leading the assault. The operation became, within hours, the single most celebrated event in the history of Israeli SOFs. I will not narrate Entebbe in this chapter. I have done so at length elsewhere, in The Israeli Secret Services and the Struggle Against Terrorism, Chapter 6.</w:t>
      </w:r>
      <w:r>
        <w:rPr>
          <w:rStyle w:val="EndnoteReference"/>
        </w:rPr>
        <w:endnoteReference w:id="126"/>
      </w:r>
      <w:r>
        <w:t xml:space="preserve"> </w:t>
      </w:r>
      <w:r>
        <w:t xml:space="preserve">The framework relevant to the entrepreneurial argument of this book requires only one observation. Entebbe validated the strategic role of SOFs in the IDF at a level no operation since the Six-Day War had matched, and it did so at precisely the moment Shaldag was awaiting its formal authorization. By the end of August 1976, the General Staff had approved the conversion of Shaldag from a reserve platoon of Sayeret Matkal into a regular standing battalion. Betser, who had run the project as a Major while on indefinite civilian leave, was returned to active duty and promoted to lieutenant colonel. The unit was institutionally transferred from the Intelligence Corps to the Office of the Chief Infantry and Paratroopers Officer (קצח”ר), where it joined the IDF’s combat ground arm.</w:t>
      </w:r>
      <w:r>
        <w:rPr>
          <w:rStyle w:val="EndnoteReference"/>
        </w:rPr>
        <w:endnoteReference w:id="127"/>
      </w:r>
    </w:p>
    <w:p>
      <w:pPr>
        <w:pStyle w:val="BodyText"/>
      </w:pPr>
      <w:r>
        <w:t xml:space="preserve">The third event of 1976 produced Shaldag’s first dedicated standing company. In the same months as the Entebbe authorization, Raful — now in his role as deputy chief of staff — concluded that Sayeret Shaked, the Negev preventive battalion that had survived the 1974 round of preventive-unit dissolutions, could no longer be sustained. Shaked’s original mission, the counterinfiltration role in the Negev, had been overtaken by the construction of the Egyptian peace process and by the changed security geography of the post-1973 period. Raful, in a decision that would prove decisive for Shaldag, approached Betser with an offer: he would disband Shaked and would allow Betser to select the forty best officers and operators from the battalion as the founding cadre of Shaldag’s first standing company.</w:t>
      </w:r>
      <w:r>
        <w:rPr>
          <w:rStyle w:val="EndnoteReference"/>
        </w:rPr>
        <w:endnoteReference w:id="128"/>
      </w:r>
      <w:r>
        <w:t xml:space="preserve"> </w:t>
      </w:r>
      <w:r>
        <w:t xml:space="preserve">This is the moment Shaldag inherited its human capital. The forty Shaked veterans, men trained under Amos Yarkoni in the desert and under his successors in Patzi Chen and Rahav and Amazia Chen’s Sayeret HaLikud, brought to Shaldag a tradition of small-unit tactical excellence that the unit’s reserve cadre could not have generated on its own. To them was added the steady inflow from the Sayeret Matkal feeder pipeline: as Betser would later describe it in his interviews with Uri Milstein,</w:t>
      </w:r>
      <w:r>
        <w:t xml:space="preserve"> </w:t>
      </w:r>
      <w:r>
        <w:t xml:space="preserve">“</w:t>
      </w:r>
      <w:r>
        <w:t xml:space="preserve">everyone discharged from Sayeret Matkal came to Betser.</w:t>
      </w:r>
      <w:r>
        <w:t xml:space="preserve">”</w:t>
      </w:r>
      <w:r>
        <w:t xml:space="preserve"> </w:t>
      </w:r>
      <w:r>
        <w:t xml:space="preserve">The unit’s quality, from 1976 onward, was a downstream effect of two of Israel’s three premier SOFs — its mother unit and the unit Raful disbanded.</w:t>
      </w:r>
      <w:r>
        <w:rPr>
          <w:rStyle w:val="EndnoteReference"/>
        </w:rPr>
        <w:endnoteReference w:id="129"/>
      </w:r>
    </w:p>
    <w:p>
      <w:pPr>
        <w:pStyle w:val="BodyText"/>
      </w:pPr>
      <w:r>
        <w:t xml:space="preserve">The first dedicated company commander appointed by Betser to lead Shaldag’s new standing element was Arik Shor — a paratroopers-and-Sayeret Matkal veteran whose first task was to standardize the doctrine that had been developed informally during the reserve-platoon phase. Within twelve months, the company had grown to two; within twenty-four, to three. By 1977 or 1978, depending on which administrative date one uses, the unit was institutionally independent of Sayeret Matkal entirely. Its headquarters had moved south to the southern part of the Palmachim Air Force base, where it would remain. In parallel, the project that had begun in the Chimavir office in 1974 produced an institutional architecture larger than Shaldag itself: a Special Operations command headquarters known as Mishmam (מסגרת מבצעים מיוחדים, the Framework for Special Operations), funded by the IDF General Staff at sixty million shekels and standing up between 1977 and 1978.</w:t>
      </w:r>
      <w:r>
        <w:rPr>
          <w:rStyle w:val="EndnoteReference"/>
        </w:rPr>
        <w:endnoteReference w:id="130"/>
      </w:r>
      <w:r>
        <w:t xml:space="preserve"> </w:t>
      </w:r>
      <w:r>
        <w:t xml:space="preserve">Mishmam was the institutional precursor to what would, more than three decades later, become the IDF’s Depth Command. We will return to that lineage at the chapter’s end.</w:t>
      </w:r>
    </w:p>
    <w:bookmarkEnd w:id="131"/>
    <w:bookmarkStart w:id="142" w:name="X02c377a23a3f8edca5a09f5905b17873829ac4e"/>
    <w:p>
      <w:pPr>
        <w:pStyle w:val="Heading2"/>
      </w:pPr>
      <w:r>
        <w:t xml:space="preserve">7.12 The 1980s IAF Integration and the Premier Three</w:t>
      </w:r>
    </w:p>
    <w:p>
      <w:pPr>
        <w:pStyle w:val="FirstParagraph"/>
      </w:pPr>
      <w:r>
        <w:t xml:space="preserve">By 1983, Shaldag was a regular standing battalion based at Palmachim, with three companies of operators, dedicated reservists, a doctrine matured by nine years of joint training with Squadron 201, the laser-designator, FLIR, and Weizmann-encrypted-radio technological inventory, and — critically — an institutional pattern in which the IAF supported most of its exercises, its operational planning, its intelligence requirements, and a substantial portion of its budget.</w:t>
      </w:r>
      <w:r>
        <w:rPr>
          <w:rStyle w:val="EndnoteReference"/>
        </w:rPr>
        <w:endnoteReference w:id="132"/>
      </w:r>
      <w:r>
        <w:t xml:space="preserve"> </w:t>
      </w:r>
      <w:r>
        <w:t xml:space="preserve">On paper, Shaldag remained under the Office of the Chief Infantry and Paratroopers Officer, then under Major General Yitzhak Mordechai. In practice, it was functionally an Air Force unit.</w:t>
      </w:r>
    </w:p>
    <w:p>
      <w:pPr>
        <w:pStyle w:val="BodyText"/>
      </w:pPr>
      <w:r>
        <w:t xml:space="preserve">The reorganization that closed the gap between paper and practice came from outside the unit. In 1983, Moshe Levy — known in the IDF by the nickname</w:t>
      </w:r>
      <w:r>
        <w:t xml:space="preserve"> </w:t>
      </w:r>
      <w:r>
        <w:t xml:space="preserve">“</w:t>
      </w:r>
      <w:r>
        <w:t xml:space="preserve">Moshe-and-a-Half</w:t>
      </w:r>
      <w:r>
        <w:t xml:space="preserve">”</w:t>
      </w:r>
      <w:r>
        <w:t xml:space="preserve"> </w:t>
      </w:r>
      <w:r>
        <w:t xml:space="preserve">(Moshe ve-Hetzi) for his height — replaced Raful as chief of the general staff.</w:t>
      </w:r>
      <w:r>
        <w:rPr>
          <w:rStyle w:val="EndnoteReference"/>
        </w:rPr>
        <w:endnoteReference w:id="133"/>
      </w:r>
      <w:r>
        <w:t xml:space="preserve"> </w:t>
      </w:r>
      <w:r>
        <w:t xml:space="preserve">Defense Minister Moshe Arens, who took office under Yitzhak Shamir’s government, initiated the broader reorganization that would, within several years, produce the modern Israeli ground arm. The Office of the Chief Infantry and Paratroopers Officer, of which Shaldag was administratively a part, would be subordinated under the new Field Forces Headquarters (Mifkadat Heylot Ha-Sadeh, מפח”ש; today Mifkadat Zro’a Ha-Yabasha, or Mazi). Shaldag and the rest of the Special Operations Command — by that point an institutional grouping that included the reserve battalion that fed Shaldag, the Operational Body that Betser would now command, and a small staff at the General Staff level — would be elevated to direct subordination under the General Staff.</w:t>
      </w:r>
      <w:r>
        <w:rPr>
          <w:rStyle w:val="EndnoteReference"/>
        </w:rPr>
        <w:endnoteReference w:id="134"/>
      </w:r>
    </w:p>
    <w:p>
      <w:pPr>
        <w:pStyle w:val="BodyText"/>
      </w:pPr>
      <w:r>
        <w:t xml:space="preserve">In the summer of 1983, Betser was appointed to command this new Operational Body and was promoted to colonel.</w:t>
      </w:r>
      <w:r>
        <w:rPr>
          <w:rStyle w:val="EndnoteReference"/>
        </w:rPr>
        <w:endnoteReference w:id="135"/>
      </w:r>
      <w:r>
        <w:t xml:space="preserve"> </w:t>
      </w:r>
      <w:r>
        <w:t xml:space="preserve">Udi Shlomi had commanded the predecessor body, in a less formalized configuration, for the previous two years. The new body was institutionally housed under the Office of the Chief Infantry and Paratroopers, under Yitzhak Mordechai, but its operational work was conducted at the General Staff. The work itself, Betser later wrote in his autobiography,</w:t>
      </w:r>
      <w:r>
        <w:t xml:space="preserve"> </w:t>
      </w:r>
      <w:r>
        <w:t xml:space="preserve">“</w:t>
      </w:r>
      <w:r>
        <w:t xml:space="preserve">I cannot expand on today, for obvious reasons.</w:t>
      </w:r>
      <w:r>
        <w:t xml:space="preserve">”</w:t>
      </w:r>
      <w:r>
        <w:rPr>
          <w:rStyle w:val="EndnoteReference"/>
        </w:rPr>
        <w:endnoteReference w:id="136"/>
      </w:r>
    </w:p>
    <w:p>
      <w:pPr>
        <w:pStyle w:val="BodyText"/>
      </w:pPr>
      <w:r>
        <w:t xml:space="preserve">The integration of Shaldag into the IAF — the move that the unit’s de facto basing and operational integration had been moving toward for nearly a decade — happened during these two years. The push came from inside the IAF. Major General Amos Lapidot, who had succeeded David Ivry as IAF commander, together with his senior officers, identified the moment of the broader IDF reorganization as the moment to formalize the annexation of Shaldag.</w:t>
      </w:r>
      <w:r>
        <w:rPr>
          <w:rStyle w:val="EndnoteReference"/>
        </w:rPr>
        <w:endnoteReference w:id="137"/>
      </w:r>
      <w:r>
        <w:t xml:space="preserve"> </w:t>
      </w:r>
      <w:r>
        <w:t xml:space="preserve">The Air Force, after all, was already supplying most of what the unit needed. The unit was already based on Air Force property. Its operational doctrine was a joint Air Force–ground-team doctrine. The remaining administrative anomaly was simply the Office of the Chief Infantry’s claim on the unit’s table of organization.</w:t>
      </w:r>
    </w:p>
    <w:p>
      <w:pPr>
        <w:pStyle w:val="BodyText"/>
      </w:pPr>
      <w:r>
        <w:t xml:space="preserve">Lapidot and his officers approached Betser directly. They knew — because Betser had spent the better part of a decade resisting precisely this move — that the proposal was not a foregone conclusion. The senior IAF officers explained their reasoning. Before taking the question to Moshe Levy, Betser consulted with Major General David Ivry, deputy chief of the general staff and Lapidot’s predecessor as IAF commander.</w:t>
      </w:r>
      <w:r>
        <w:rPr>
          <w:rStyle w:val="EndnoteReference"/>
        </w:rPr>
        <w:endnoteReference w:id="138"/>
      </w:r>
      <w:r>
        <w:t xml:space="preserve"> </w:t>
      </w:r>
      <w:r>
        <w:t xml:space="preserve">Ivry, whom Betser later described in his autobiography as</w:t>
      </w:r>
      <w:r>
        <w:t xml:space="preserve"> </w:t>
      </w:r>
      <w:r>
        <w:t xml:space="preserve">“</w:t>
      </w:r>
      <w:r>
        <w:t xml:space="preserve">a man as honest as I have ever met,</w:t>
      </w:r>
      <w:r>
        <w:t xml:space="preserve">”</w:t>
      </w:r>
      <w:r>
        <w:t xml:space="preserve"> </w:t>
      </w:r>
      <w:r>
        <w:t xml:space="preserve">was direct: in his view, the transfer was a natural move; the process would be smooth; the unit would not be harmed.</w:t>
      </w:r>
    </w:p>
    <w:p>
      <w:pPr>
        <w:pStyle w:val="BodyText"/>
      </w:pPr>
      <w:r>
        <w:t xml:space="preserve">The meeting with the chief of staff took, by Betser’s account, a long time. Betser came prepared with the data — the advantages and the disadvantages of the transfer, the operational integration metrics, the budgetary dependencies, the concerns of the ground forces about losing the unit. He laid them out. Moshe-and-a-Half listened. In the end, the two men agreed that Shaldag should be transferred to the full command of the Air Force, on the institutional model that already governed the placement of two of Israel’s other elite units: as Betser put it,</w:t>
      </w:r>
      <w:r>
        <w:t xml:space="preserve"> </w:t>
      </w:r>
      <w:r>
        <w:t xml:space="preserve">“</w:t>
      </w:r>
      <w:r>
        <w:t xml:space="preserve">just as the Flotilla is subordinate to the Navy, and Sayeret Matkal to the Intelligence Corps.</w:t>
      </w:r>
      <w:r>
        <w:t xml:space="preserve">”</w:t>
      </w:r>
      <w:r>
        <w:t xml:space="preserve"> </w:t>
      </w:r>
      <w:r>
        <w:t xml:space="preserve">At the door of the chief of staff’s office, after the agreement had been reached, Moshe Levy turned to Betser and made him a parting promise:</w:t>
      </w:r>
      <w:r>
        <w:t xml:space="preserve"> </w:t>
      </w:r>
      <w:r>
        <w:t xml:space="preserve">“</w:t>
      </w:r>
      <w:r>
        <w:t xml:space="preserve">Don’t worry. We will not harm [the unit].</w:t>
      </w:r>
      <w:r>
        <w:t xml:space="preserve">”</w:t>
      </w:r>
      <w:r>
        <w:rPr>
          <w:rStyle w:val="EndnoteReference"/>
        </w:rPr>
        <w:endnoteReference w:id="139"/>
      </w:r>
    </w:p>
    <w:p>
      <w:pPr>
        <w:pStyle w:val="BodyText"/>
      </w:pPr>
      <w:r>
        <w:t xml:space="preserve">The formal transfer was implemented over the following months. Shaldag, on paper, became an Air Force unit — the IAF’s official elite force, ranked alongside Sayeret Matkal and Shayetet 13 as one of Israel’s three premier ground-deliverable SOFs. It would remain so for the next four decades.</w:t>
      </w:r>
      <w:r>
        <w:rPr>
          <w:rStyle w:val="EndnoteReference"/>
        </w:rPr>
        <w:endnoteReference w:id="140"/>
      </w:r>
      <w:r>
        <w:t xml:space="preserve"> </w:t>
      </w:r>
      <w:r>
        <w:t xml:space="preserve">The 1980s integration was, in Gal Hirsch’s later characterization, the</w:t>
      </w:r>
      <w:r>
        <w:t xml:space="preserve"> </w:t>
      </w:r>
      <w:r>
        <w:t xml:space="preserve">“</w:t>
      </w:r>
      <w:r>
        <w:t xml:space="preserve">major breakthrough that eventually turned Shaldag into one of Israel’s</w:t>
      </w:r>
      <w:r>
        <w:t xml:space="preserve"> </w:t>
      </w:r>
      <w:r>
        <w:t xml:space="preserve">‘</w:t>
      </w:r>
      <w:r>
        <w:t xml:space="preserve">Premier Three.</w:t>
      </w:r>
      <w:r>
        <w:t xml:space="preserve">’</w:t>
      </w:r>
      <w:r>
        <w:t xml:space="preserve">”</w:t>
      </w:r>
      <w:r>
        <w:rPr>
          <w:rStyle w:val="EndnoteReference"/>
        </w:rPr>
        <w:endnoteReference w:id="141"/>
      </w:r>
      <w:r>
        <w:t xml:space="preserve"> </w:t>
      </w:r>
      <w:r>
        <w:t xml:space="preserve">The phrase — premier three (meshlosh ha-yokra) — became, from the 1980s onward, the standard journalistic shorthand for the upper tier of the Israeli SOF community. That Shaldag joined the Premier Three only nine years after its founding, and that it did so on the back of an entrepreneurial campaign that began in a Chimavir crop-dusting office walking distance from the Ministry of Defense, is the empirical content of the chapter’s central claim. The third critical juncture of Israel’s SOF history produced its third entrepreneur, and the third entrepreneur — between October 1973 and the early 1980s — produced a new premier unit.</w:t>
      </w:r>
    </w:p>
    <w:bookmarkEnd w:id="142"/>
    <w:bookmarkStart w:id="146" w:name="forward-links-entebbe-moses-solomon"/>
    <w:p>
      <w:pPr>
        <w:pStyle w:val="Heading2"/>
      </w:pPr>
      <w:r>
        <w:t xml:space="preserve">7.13 Forward Links: Entebbe, Moses, Solomon</w:t>
      </w:r>
    </w:p>
    <w:p>
      <w:pPr>
        <w:pStyle w:val="FirstParagraph"/>
      </w:pPr>
      <w:r>
        <w:t xml:space="preserve">Three operations stand out, in retrospect, as the operational validation of the post-1973 IAF-SOF model that Betser, Peled, Adam, and Spector had together built. I will not narrate them in detail; this chapter is about the founding, not the use, of the institution. But I want to flag them for the reader who is following the institutional argument across the book’s chapters.</w:t>
      </w:r>
    </w:p>
    <w:p>
      <w:pPr>
        <w:pStyle w:val="BodyText"/>
      </w:pPr>
      <w:r>
        <w:t xml:space="preserve">The first, as I noted in §7.11, is Entebbe. The reframing this book offers — beyond the conventional narrative I provided in my earlier work</w:t>
      </w:r>
      <w:r>
        <w:rPr>
          <w:rStyle w:val="EndnoteReference"/>
        </w:rPr>
        <w:endnoteReference w:id="143"/>
      </w:r>
      <w:r>
        <w:t xml:space="preserve"> </w:t>
      </w:r>
      <w:r>
        <w:t xml:space="preserve">— is that Entebbe was the IAF-SOF model’s first operational validation. The C-130 Hercules transports were IAF assets. The deep-airfield insertion was an IAF-SOF concept of operations. The integration of helicopters (the Mossad’s helicopter that flew the operation’s mock-up scouting mission) with fixed-wing transports with ground-assault forces with onboard medical evacuation (YARPA 386’s first international mission) was the operational pattern that, eight years later, Shaldag would inherit and routinize. Sayeret Matkal carried out the assault. But the IAF was the operational architecture inside which the assault was possible.</w:t>
      </w:r>
    </w:p>
    <w:p>
      <w:pPr>
        <w:pStyle w:val="BodyText"/>
      </w:pPr>
      <w:r>
        <w:t xml:space="preserve">The second is Operation Moses, the airlift of approximately 8,000 Ethiopian Jews from Sudanese refugee camps to Israel between November 1984 and January 1985. The operation’s center of gravity was a clandestine airfield in eastern Sudan, secured for Boeing 707 evacuation flights operating under cover at night. Shaldag operators are documented as having provided airfield security and forward control for the C-130 and 707 flights during the operation’s most exposed phases.</w:t>
      </w:r>
      <w:r>
        <w:rPr>
          <w:rStyle w:val="EndnoteReference"/>
        </w:rPr>
        <w:endnoteReference w:id="144"/>
      </w:r>
      <w:r>
        <w:t xml:space="preserve"> </w:t>
      </w:r>
      <w:r>
        <w:t xml:space="preserve">This was, in operational form, the doctrinal mission Betser had envisioned in 1974: an SOF team on the ground in friendly cover, securing an airfield, controlling the air picture, and integrating with IAF strategic lift. The mission set was different from SA-6 designation, but the doctrinal architecture was identical.</w:t>
      </w:r>
    </w:p>
    <w:p>
      <w:pPr>
        <w:pStyle w:val="BodyText"/>
      </w:pPr>
      <w:r>
        <w:t xml:space="preserve">The third is Operation Solomon, the May 24–25, 1991 airlift of approximately 14,325 Ethiopian Jews from Addis Ababa to Israel during a 36-hour window in which the Mengistu regime was collapsing under the Eritrean and Tigrayan offensives. The IAF flew 35 sorties using El Al Boeing 747s, C-130s, and C-5 Galaxies obtained from the U.S. Air Force. Shaldag operators secured Addis Ababa Bole International Airport during the evacuation.</w:t>
      </w:r>
      <w:r>
        <w:rPr>
          <w:rStyle w:val="EndnoteReference"/>
        </w:rPr>
        <w:endnoteReference w:id="145"/>
      </w:r>
      <w:r>
        <w:t xml:space="preserve"> </w:t>
      </w:r>
      <w:r>
        <w:t xml:space="preserve">Solomon was the largest airborne evacuation operation in human history. It was executed in a thirty-six-hour window. The ground-secure-the-airfield mission that made it possible was performed by the unit that had been founded, sixteen years earlier, to laser-designate SA-6 batteries.</w:t>
      </w:r>
    </w:p>
    <w:p>
      <w:pPr>
        <w:pStyle w:val="BodyText"/>
      </w:pPr>
      <w:r>
        <w:t xml:space="preserve">The doctrinal lineage from the Tadiran laser designator of 1974 to the Bole International Airport of 1991 is the operational arc of this chapter.</w:t>
      </w:r>
    </w:p>
    <w:bookmarkEnd w:id="146"/>
    <w:bookmarkStart w:id="151" w:name="Xeebe0e0ef4daf738cd7f4d2c875bb939657d789"/>
    <w:p>
      <w:pPr>
        <w:pStyle w:val="Heading2"/>
      </w:pPr>
      <w:r>
        <w:t xml:space="preserve">7.14 Conclusion: Calamities, Stirling 1995, and the Depth That Was Not Yet Built</w:t>
      </w:r>
    </w:p>
    <w:p>
      <w:pPr>
        <w:pStyle w:val="FirstParagraph"/>
      </w:pPr>
      <w:r>
        <w:t xml:space="preserve">In the conclusion of the Yom Kippur War material that I drafted in §7.5, I quoted the sentence that, in many ways, summarizes the argument of the chapter and of the book: military victories reinforce path dependencies, while calamities can become critical junctures.</w:t>
      </w:r>
      <w:r>
        <w:rPr>
          <w:rStyle w:val="EndnoteReference"/>
        </w:rPr>
        <w:endnoteReference w:id="147"/>
      </w:r>
      <w:r>
        <w:t xml:space="preserve"> </w:t>
      </w:r>
      <w:r>
        <w:t xml:space="preserve">The Yom Kippur War, in this framework, is the great Israeli calamity of the post-1948 period. The two earlier critical junctures I have traced in this book — the 1936 Arab Revolt and the convergence of post-1956 lessons that produced Sayeret Matkal in 1957 — were also calamitous moments, but neither approached the existential scale of October 1973. The post-1973 Israeli SOF expansion — Shaldag, Maglan, Moran, Meitar, Yanmam, Yahmam, Nitzan, Duvdevan, and the eight engineering elite companies that followed — is what an institutional system produces when its calamity is large enough.</w:t>
      </w:r>
    </w:p>
    <w:p>
      <w:pPr>
        <w:pStyle w:val="BodyText"/>
      </w:pPr>
      <w:r>
        <w:t xml:space="preserve">Muki Betser was the third entrepreneur because, in the institutional vacuum that the war opened, he had the social capital (the Wingate-SNS network, the Nahalal-armor channel through Mussa Peled, the Sayeret Matkal officer-corps network, the family friendship with Moshe Dayan), the doctrinal vision (the laser-designation, helicopter-delivered, motorcycle-mobile SA-6 hunting concept), the structural innovation (the civilian-status workaround, the reserve-platoon-of-the-mother-unit incubation), and the stubbornness (nine years from October 1973 to the 1983 IAF transfer) to translate the calamity into a permanent institution. Sadeh had done the same in 1936. Arnan had done the same in 1957. Betser was the third in the lineage.</w:t>
      </w:r>
    </w:p>
    <w:p>
      <w:pPr>
        <w:pStyle w:val="BodyText"/>
      </w:pPr>
      <w:r>
        <w:t xml:space="preserve">In 1995, twenty-two years after the war that produced him, Betser received an unexpected invitation. David Stirling — the founder of the British Special Air Service, the man whose 1941 Long Range Desert Group raids in North Africa had defined what a special operations force was — was about to celebrate his eightieth birthday at the SAS regimental association’s annual gathering in London. Stirling, who had been knighted by Queen Elizabeth in 1990 and was, by the mid-1990s, the closest thing the global SOF community had to a living patriarch, invited Betser personally to attend.</w:t>
      </w:r>
      <w:r>
        <w:rPr>
          <w:rStyle w:val="EndnoteReference"/>
        </w:rPr>
        <w:endnoteReference w:id="148"/>
      </w:r>
    </w:p>
    <w:p>
      <w:pPr>
        <w:pStyle w:val="BodyText"/>
      </w:pPr>
      <w:r>
        <w:t xml:space="preserve">The invitation closes the lineage that the book has been tracing. Sadeh, in the Galilee in 1936, had read about Stirling — or, more precisely, had read about the LRDG and the SAS in their first published accounts — and had absorbed the operational principle that an irregular force, properly trained, could operate inside the enemy’s rear at strategic ranges far beyond what conventional military theory permitted. Arnan, twenty years later, had built Sayeret Matkal on Stirling’s model. Betser, twenty more years later, had built Shaldag on the same model — refined for the technological conditions of late-twentieth-century air warfare, but recognizably the same operational doctrine that Stirling had pioneered in 1941. The three Israeli entrepreneurs, across three critical junctures and sixty years, had been working inside a single conceptual lineage. In 1995, the founder personally acknowledged the third generation.</w:t>
      </w:r>
    </w:p>
    <w:p>
      <w:pPr>
        <w:pStyle w:val="BodyText"/>
      </w:pPr>
      <w:r>
        <w:t xml:space="preserve">There remains one institutional aspiration Betser carried out of his Shaldag command and into the rest of his career. To operate the unit at scale, the Mishmam framework he had built between 1977 and 1978 had to be expanded. The unit, in his vision, needed an institutional headquarters at the General Staff level that could plan, command, and coordinate special operations at the depth strategic scale — not just the operational scale that Mishmam had been designed for. He hoped, after the IAF transfer and after a planned period of advanced military studies, to establish such a headquarters himself.</w:t>
      </w:r>
      <w:r>
        <w:rPr>
          <w:rStyle w:val="EndnoteReference"/>
        </w:rPr>
        <w:endnoteReference w:id="149"/>
      </w:r>
      <w:r>
        <w:t xml:space="preserve"> </w:t>
      </w:r>
      <w:r>
        <w:t xml:space="preserve">He did not. The institutional vehicle he envisioned would eventually be built — but not by him. The IDF’s Depth Command (Mifkedet Ha-Omek, מפקדת העומק), authorized by the General Staff in 2011 and operational from 2013, is the institution Betser sketched in 1979 but did not get to construct.</w:t>
      </w:r>
      <w:r>
        <w:rPr>
          <w:rStyle w:val="EndnoteReference"/>
        </w:rPr>
        <w:endnoteReference w:id="150"/>
      </w:r>
    </w:p>
    <w:p>
      <w:pPr>
        <w:pStyle w:val="BodyText"/>
      </w:pPr>
      <w:r>
        <w:t xml:space="preserve">We will return to the Depth Command in Chapter 9, when we trace the contemporary era of Israeli SOFs from the Second Lebanon War of 2006 through the October 7, 2023 catastrophe and the war that followed. The Depth Command will be one of the load-bearing institutions of that period — and one of the conceptual heirs of the third entrepreneur’s unfinished work. The fourth critical juncture, if October 7 produces one, will be the test of whether the institutional architecture Betser and his successors built can survive a calamity larger than the one that produced it.</w:t>
      </w:r>
    </w:p>
    <w:p>
      <w:pPr>
        <w:pStyle w:val="BodyText"/>
      </w:pPr>
      <w:r>
        <w:t xml:space="preserve">For now, this chapter ends here. Muki Betser, the third entrepreneur of Israel’s Special Operations Forces, retired from the IDF in [TK year — verify, likely 1986]. Shaldag remains operational. So does Maglan. So does Unit 669. So does Sayeret Matkal. So does Shayetet 13. The Premier Three has held. The four critical junctures of 1936, 1957, 1973, and (possibly) 2023, have produced four generations of entrepreneurs and a continuously expanding ecosystem of Special Operations Forces. The question the book’s final chapters will ask is whether that ecosystem, in its current form, is the answer to the strategic environment Israel now faces — or whether it has, after fifty years of cumulative expansion, become its own form of institutional path dependency.</w:t>
      </w:r>
    </w:p>
    <w:p>
      <w:pPr>
        <w:pStyle w:val="BodyText"/>
      </w:pPr>
      <w:r>
        <w:t xml:space="preserve">That is the question of Chapters 9 and 10.</w:t>
      </w:r>
    </w:p>
    <w:bookmarkEnd w:id="151"/>
    <w:bookmarkStart w:id="152" w:name="notes"/>
    <w:p>
      <w:pPr>
        <w:pStyle w:val="Heading2"/>
      </w:pPr>
      <w:r>
        <w:t xml:space="preserve">Notes</w:t>
      </w:r>
    </w:p>
    <w:bookmarkEnd w:id="152"/>
    <w:bookmarkEnd w:id="153"/>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[CITATION MISSING — endnote text absent from the merged draft; recover from the chapter source file]</w:t>
      </w:r>
    </w:p>
  </w:endnote>
  <w:endnote w:id="21">
    <w:p>
      <w:pPr>
        <w:pStyle w:val="EndnoteText"/>
      </w:pPr>
      <w:r>
        <w:rPr>
          <w:rStyle w:val="EndnoteReference"/>
        </w:rPr>
        <w:endnoteRef/>
      </w:r>
      <w:r>
        <w:t xml:space="preserve"> </w:t>
      </w:r>
      <w:r>
        <w:t xml:space="preserve">[CITATION MISSING — endnote text absent from the merged draft; recover from the chapter source file]</w:t>
      </w:r>
    </w:p>
  </w:endnote>
  <w:endnote w:id="22">
    <w:p>
      <w:pPr>
        <w:pStyle w:val="EndnoteText"/>
      </w:pPr>
      <w:r>
        <w:rPr>
          <w:rStyle w:val="EndnoteReference"/>
        </w:rPr>
        <w:endnoteRef/>
      </w:r>
      <w:r>
        <w:t xml:space="preserve"> </w:t>
      </w:r>
      <w:r>
        <w:t xml:space="preserve">[CITATION MISSING — endnote text absent from the merged draft; recover from the chapter source file]</w:t>
      </w:r>
    </w:p>
  </w:endnote>
  <w:endnote w:id="23">
    <w:p>
      <w:pPr>
        <w:pStyle w:val="EndnoteText"/>
      </w:pPr>
      <w:r>
        <w:rPr>
          <w:rStyle w:val="EndnoteReference"/>
        </w:rPr>
        <w:endnoteRef/>
      </w:r>
      <w:r>
        <w:t xml:space="preserve"> </w:t>
      </w:r>
      <w:r>
        <w:t xml:space="preserve">[CITATION MISSING — endnote text absent from the merged draft; recover from the chapter source file]</w:t>
      </w:r>
    </w:p>
  </w:endnote>
  <w:endnote w:id="24">
    <w:p>
      <w:pPr>
        <w:pStyle w:val="EndnoteText"/>
      </w:pPr>
      <w:r>
        <w:rPr>
          <w:rStyle w:val="EndnoteReference"/>
        </w:rPr>
        <w:endnoteRef/>
      </w:r>
      <w:r>
        <w:t xml:space="preserve"> </w:t>
      </w:r>
      <w:r>
        <w:t xml:space="preserve">[CITATION MISSING — endnote text absent from the merged draft; recover from the chapter source file]</w:t>
      </w:r>
    </w:p>
  </w:endnote>
  <w:endnote w:id="25">
    <w:p>
      <w:pPr>
        <w:pStyle w:val="EndnoteText"/>
      </w:pPr>
      <w:r>
        <w:rPr>
          <w:rStyle w:val="EndnoteReference"/>
        </w:rPr>
        <w:endnoteRef/>
      </w:r>
      <w:r>
        <w:t xml:space="preserve"> </w:t>
      </w:r>
      <w:r>
        <w:t xml:space="preserve">[CITATION MISSING — endnote text absent from the merged draft; recover from the chapter source file]</w:t>
      </w:r>
    </w:p>
  </w:endnote>
  <w:endnote w:id="26">
    <w:p>
      <w:pPr>
        <w:pStyle w:val="EndnoteText"/>
      </w:pPr>
      <w:r>
        <w:rPr>
          <w:rStyle w:val="EndnoteReference"/>
        </w:rPr>
        <w:endnoteRef/>
      </w:r>
      <w:r>
        <w:t xml:space="preserve"> </w:t>
      </w:r>
      <w:r>
        <w:t xml:space="preserve">[CITATION MISSING — endnote text absent from the merged draft; recover from the chapter source file]</w:t>
      </w:r>
    </w:p>
  </w:endnote>
  <w:endnote w:id="27">
    <w:p>
      <w:pPr>
        <w:pStyle w:val="EndnoteText"/>
      </w:pPr>
      <w:r>
        <w:rPr>
          <w:rStyle w:val="EndnoteReference"/>
        </w:rPr>
        <w:endnoteRef/>
      </w:r>
      <w:r>
        <w:t xml:space="preserve"> </w:t>
      </w:r>
      <w:r>
        <w:t xml:space="preserve">[CITATION MISSING — endnote text absent from the merged draft; recover from the chapter source file]</w:t>
      </w:r>
    </w:p>
  </w:endnote>
  <w:endnote w:id="28">
    <w:p>
      <w:pPr>
        <w:pStyle w:val="EndnoteText"/>
      </w:pPr>
      <w:r>
        <w:rPr>
          <w:rStyle w:val="EndnoteReference"/>
        </w:rPr>
        <w:endnoteRef/>
      </w:r>
      <w:r>
        <w:t xml:space="preserve"> </w:t>
      </w:r>
      <w:r>
        <w:t xml:space="preserve">[CITATION MISSING — endnote text absent from the merged draft; recover from the chapter source file]</w:t>
      </w:r>
    </w:p>
  </w:endnote>
  <w:endnote w:id="29">
    <w:p>
      <w:pPr>
        <w:pStyle w:val="EndnoteText"/>
      </w:pPr>
      <w:r>
        <w:rPr>
          <w:rStyle w:val="EndnoteReference"/>
        </w:rPr>
        <w:endnoteRef/>
      </w:r>
      <w:r>
        <w:t xml:space="preserve"> </w:t>
      </w:r>
      <w:r>
        <w:t xml:space="preserve">[CITATION MISSING — endnote text absent from the merged draft; recover from the chapter source file]</w:t>
      </w:r>
    </w:p>
  </w:endnote>
  <w:endnote w:id="31">
    <w:p>
      <w:pPr>
        <w:pStyle w:val="EndnoteText"/>
      </w:pPr>
      <w:r>
        <w:rPr>
          <w:rStyle w:val="EndnoteReference"/>
        </w:rPr>
        <w:endnoteRef/>
      </w:r>
      <w:r>
        <w:t xml:space="preserve"> </w:t>
      </w:r>
      <w:r>
        <w:t xml:space="preserve">[CITATION MISSING — endnote text absent from the merged draft; recover from the chapter source file]</w:t>
      </w:r>
    </w:p>
  </w:endnote>
  <w:endnote w:id="32">
    <w:p>
      <w:pPr>
        <w:pStyle w:val="EndnoteText"/>
      </w:pPr>
      <w:r>
        <w:rPr>
          <w:rStyle w:val="EndnoteReference"/>
        </w:rPr>
        <w:endnoteRef/>
      </w:r>
      <w:r>
        <w:t xml:space="preserve"> </w:t>
      </w:r>
      <w:r>
        <w:t xml:space="preserve">[CITATION MISSING — endnote text absent from the merged draft; recover from the chapter source file]</w:t>
      </w:r>
    </w:p>
  </w:endnote>
  <w:endnote w:id="33">
    <w:p>
      <w:pPr>
        <w:pStyle w:val="EndnoteText"/>
      </w:pPr>
      <w:r>
        <w:rPr>
          <w:rStyle w:val="EndnoteReference"/>
        </w:rPr>
        <w:endnoteRef/>
      </w:r>
      <w:r>
        <w:t xml:space="preserve"> </w:t>
      </w:r>
      <w:r>
        <w:t xml:space="preserve">[CITATION MISSING — endnote text absent from the merged draft; recover from the chapter source file]</w:t>
      </w:r>
    </w:p>
  </w:endnote>
  <w:endnote w:id="34">
    <w:p>
      <w:pPr>
        <w:pStyle w:val="EndnoteText"/>
      </w:pPr>
      <w:r>
        <w:rPr>
          <w:rStyle w:val="EndnoteReference"/>
        </w:rPr>
        <w:endnoteRef/>
      </w:r>
      <w:r>
        <w:t xml:space="preserve"> </w:t>
      </w:r>
      <w:r>
        <w:t xml:space="preserve">[CITATION MISSING — endnote text absent from the merged draft; recover from the chapter source file]</w:t>
      </w:r>
    </w:p>
  </w:endnote>
  <w:endnote w:id="35">
    <w:p>
      <w:pPr>
        <w:pStyle w:val="EndnoteText"/>
      </w:pPr>
      <w:r>
        <w:rPr>
          <w:rStyle w:val="EndnoteReference"/>
        </w:rPr>
        <w:endnoteRef/>
      </w:r>
      <w:r>
        <w:t xml:space="preserve"> </w:t>
      </w:r>
      <w:r>
        <w:t xml:space="preserve">[CITATION MISSING — endnote text absent from the merged draft; recover from the chapter source file]</w:t>
      </w:r>
    </w:p>
  </w:endnote>
  <w:endnote w:id="36">
    <w:p>
      <w:pPr>
        <w:pStyle w:val="EndnoteText"/>
      </w:pPr>
      <w:r>
        <w:rPr>
          <w:rStyle w:val="EndnoteReference"/>
        </w:rPr>
        <w:endnoteRef/>
      </w:r>
      <w:r>
        <w:t xml:space="preserve"> </w:t>
      </w:r>
      <w:r>
        <w:t xml:space="preserve">[CITATION MISSING — endnote text absent from the merged draft; recover from the chapter source file]</w:t>
      </w:r>
    </w:p>
  </w:endnote>
  <w:endnote w:id="37">
    <w:p>
      <w:pPr>
        <w:pStyle w:val="EndnoteText"/>
      </w:pPr>
      <w:r>
        <w:rPr>
          <w:rStyle w:val="EndnoteReference"/>
        </w:rPr>
        <w:endnoteRef/>
      </w:r>
      <w:r>
        <w:t xml:space="preserve"> </w:t>
      </w:r>
      <w:r>
        <w:t xml:space="preserve">[CITATION MISSING — endnote text absent from the merged draft; recover from the chapter source file]</w:t>
      </w:r>
    </w:p>
  </w:endnote>
  <w:endnote w:id="38">
    <w:p>
      <w:pPr>
        <w:pStyle w:val="EndnoteText"/>
      </w:pPr>
      <w:r>
        <w:rPr>
          <w:rStyle w:val="EndnoteReference"/>
        </w:rPr>
        <w:endnoteRef/>
      </w:r>
      <w:r>
        <w:t xml:space="preserve"> </w:t>
      </w:r>
      <w:r>
        <w:t xml:space="preserve">[CITATION MISSING — endnote text absent from the merged draft; recover from the chapter source file]</w:t>
      </w:r>
    </w:p>
  </w:endnote>
  <w:endnote w:id="39">
    <w:p>
      <w:pPr>
        <w:pStyle w:val="EndnoteText"/>
      </w:pPr>
      <w:r>
        <w:rPr>
          <w:rStyle w:val="EndnoteReference"/>
        </w:rPr>
        <w:endnoteRef/>
      </w:r>
      <w:r>
        <w:t xml:space="preserve"> </w:t>
      </w:r>
      <w:r>
        <w:t xml:space="preserve">[CITATION MISSING — endnote text absent from the merged draft; recover from the chapter source file]</w:t>
      </w:r>
    </w:p>
  </w:endnote>
  <w:endnote w:id="40">
    <w:p>
      <w:pPr>
        <w:pStyle w:val="EndnoteText"/>
      </w:pPr>
      <w:r>
        <w:rPr>
          <w:rStyle w:val="EndnoteReference"/>
        </w:rPr>
        <w:endnoteRef/>
      </w:r>
      <w:r>
        <w:t xml:space="preserve"> </w:t>
      </w:r>
      <w:r>
        <w:t xml:space="preserve">[CITATION MISSING — endnote text absent from the merged draft; recover from the chapter source file]</w:t>
      </w:r>
    </w:p>
  </w:endnote>
  <w:endnote w:id="41">
    <w:p>
      <w:pPr>
        <w:pStyle w:val="EndnoteText"/>
      </w:pPr>
      <w:r>
        <w:rPr>
          <w:rStyle w:val="EndnoteReference"/>
        </w:rPr>
        <w:endnoteRef/>
      </w:r>
      <w:r>
        <w:t xml:space="preserve"> </w:t>
      </w:r>
      <w:r>
        <w:t xml:space="preserve">[CITATION MISSING — endnote text absent from the merged draft; recover from the chapter source file]</w:t>
      </w:r>
    </w:p>
  </w:endnote>
  <w:endnote w:id="42">
    <w:p>
      <w:pPr>
        <w:pStyle w:val="EndnoteText"/>
      </w:pPr>
      <w:r>
        <w:rPr>
          <w:rStyle w:val="EndnoteReference"/>
        </w:rPr>
        <w:endnoteRef/>
      </w:r>
      <w:r>
        <w:t xml:space="preserve"> </w:t>
      </w:r>
      <w:r>
        <w:t xml:space="preserve">[CITATION MISSING — endnote text absent from the merged draft; recover from the chapter source file]</w:t>
      </w:r>
    </w:p>
  </w:endnote>
  <w:endnote w:id="43">
    <w:p>
      <w:pPr>
        <w:pStyle w:val="EndnoteText"/>
      </w:pPr>
      <w:r>
        <w:rPr>
          <w:rStyle w:val="EndnoteReference"/>
        </w:rPr>
        <w:endnoteRef/>
      </w:r>
      <w:r>
        <w:t xml:space="preserve"> </w:t>
      </w:r>
      <w:r>
        <w:t xml:space="preserve">[CITATION MISSING — endnote text absent from the merged draft; recover from the chapter source file]</w:t>
      </w:r>
    </w:p>
  </w:endnote>
  <w:endnote w:id="44">
    <w:p>
      <w:pPr>
        <w:pStyle w:val="EndnoteText"/>
      </w:pPr>
      <w:r>
        <w:rPr>
          <w:rStyle w:val="EndnoteReference"/>
        </w:rPr>
        <w:endnoteRef/>
      </w:r>
      <w:r>
        <w:t xml:space="preserve"> </w:t>
      </w:r>
      <w:r>
        <w:t xml:space="preserve">[CITATION MISSING — endnote text absent from the merged draft; recover from the chapter source file]</w:t>
      </w:r>
    </w:p>
  </w:endnote>
  <w:endnote w:id="45">
    <w:p>
      <w:pPr>
        <w:pStyle w:val="EndnoteText"/>
      </w:pPr>
      <w:r>
        <w:rPr>
          <w:rStyle w:val="EndnoteReference"/>
        </w:rPr>
        <w:endnoteRef/>
      </w:r>
      <w:r>
        <w:t xml:space="preserve"> </w:t>
      </w:r>
      <w:r>
        <w:t xml:space="preserve">[CITATION MISSING — endnote text absent from the merged draft; recover from the chapter source file]</w:t>
      </w:r>
    </w:p>
  </w:endnote>
  <w:endnote w:id="47">
    <w:p>
      <w:pPr>
        <w:pStyle w:val="EndnoteText"/>
      </w:pPr>
      <w:r>
        <w:rPr>
          <w:rStyle w:val="EndnoteReference"/>
        </w:rPr>
        <w:endnoteRef/>
      </w:r>
      <w:r>
        <w:t xml:space="preserve"> </w:t>
      </w:r>
      <w:r>
        <w:t xml:space="preserve">[CITATION MISSING — endnote text absent from the merged draft; recover from the chapter source file]</w:t>
      </w:r>
    </w:p>
  </w:endnote>
  <w:endnote w:id="48">
    <w:p>
      <w:pPr>
        <w:pStyle w:val="EndnoteText"/>
      </w:pPr>
      <w:r>
        <w:rPr>
          <w:rStyle w:val="EndnoteReference"/>
        </w:rPr>
        <w:endnoteRef/>
      </w:r>
      <w:r>
        <w:t xml:space="preserve"> </w:t>
      </w:r>
      <w:r>
        <w:t xml:space="preserve">[CITATION MISSING — endnote text absent from the merged draft; recover from the chapter source file]</w:t>
      </w:r>
    </w:p>
  </w:endnote>
  <w:endnote w:id="49">
    <w:p>
      <w:pPr>
        <w:pStyle w:val="EndnoteText"/>
      </w:pPr>
      <w:r>
        <w:rPr>
          <w:rStyle w:val="EndnoteReference"/>
        </w:rPr>
        <w:endnoteRef/>
      </w:r>
      <w:r>
        <w:t xml:space="preserve"> </w:t>
      </w:r>
      <w:r>
        <w:t xml:space="preserve">[CITATION MISSING — endnote text absent from the merged draft; recover from the chapter source file]</w:t>
      </w:r>
    </w:p>
  </w:endnote>
  <w:endnote w:id="50">
    <w:p>
      <w:pPr>
        <w:pStyle w:val="EndnoteText"/>
      </w:pPr>
      <w:r>
        <w:rPr>
          <w:rStyle w:val="EndnoteReference"/>
        </w:rPr>
        <w:endnoteRef/>
      </w:r>
      <w:r>
        <w:t xml:space="preserve"> </w:t>
      </w:r>
      <w:r>
        <w:t xml:space="preserve">[CITATION MISSING — endnote text absent from the merged draft; recover from the chapter source file]</w:t>
      </w:r>
    </w:p>
  </w:endnote>
  <w:endnote w:id="51">
    <w:p>
      <w:pPr>
        <w:pStyle w:val="EndnoteText"/>
      </w:pPr>
      <w:r>
        <w:rPr>
          <w:rStyle w:val="EndnoteReference"/>
        </w:rPr>
        <w:endnoteRef/>
      </w:r>
      <w:r>
        <w:t xml:space="preserve"> </w:t>
      </w:r>
      <w:r>
        <w:t xml:space="preserve">[CITATION MISSING — endnote text absent from the merged draft; recover from the chapter source file]</w:t>
      </w:r>
    </w:p>
  </w:endnote>
  <w:endnote w:id="52">
    <w:p>
      <w:pPr>
        <w:pStyle w:val="EndnoteText"/>
      </w:pPr>
      <w:r>
        <w:rPr>
          <w:rStyle w:val="EndnoteReference"/>
        </w:rPr>
        <w:endnoteRef/>
      </w:r>
      <w:r>
        <w:t xml:space="preserve"> </w:t>
      </w:r>
      <w:r>
        <w:t xml:space="preserve">[CITATION MISSING — endnote text absent from the merged draft; recover from the chapter source file]</w:t>
      </w:r>
    </w:p>
  </w:endnote>
  <w:endnote w:id="54">
    <w:p>
      <w:pPr>
        <w:pStyle w:val="EndnoteText"/>
      </w:pPr>
      <w:r>
        <w:rPr>
          <w:rStyle w:val="EndnoteReference"/>
        </w:rPr>
        <w:endnoteRef/>
      </w:r>
      <w:r>
        <w:t xml:space="preserve"> </w:t>
      </w:r>
      <w:r>
        <w:t xml:space="preserve">[CITATION MISSING — endnote text absent from the merged draft; recover from the chapter source file]</w:t>
      </w:r>
    </w:p>
  </w:endnote>
  <w:endnote w:id="55">
    <w:p>
      <w:pPr>
        <w:pStyle w:val="EndnoteText"/>
      </w:pPr>
      <w:r>
        <w:rPr>
          <w:rStyle w:val="EndnoteReference"/>
        </w:rPr>
        <w:endnoteRef/>
      </w:r>
      <w:r>
        <w:t xml:space="preserve"> </w:t>
      </w:r>
      <w:r>
        <w:t xml:space="preserve">[CITATION MISSING — endnote text absent from the merged draft; recover from the chapter source file]</w:t>
      </w:r>
    </w:p>
  </w:endnote>
  <w:endnote w:id="56">
    <w:p>
      <w:pPr>
        <w:pStyle w:val="EndnoteText"/>
      </w:pPr>
      <w:r>
        <w:rPr>
          <w:rStyle w:val="EndnoteReference"/>
        </w:rPr>
        <w:endnoteRef/>
      </w:r>
      <w:r>
        <w:t xml:space="preserve"> </w:t>
      </w:r>
      <w:r>
        <w:t xml:space="preserve">[CITATION MISSING — endnote text absent from the merged draft; recover from the chapter source file]</w:t>
      </w:r>
    </w:p>
  </w:endnote>
  <w:endnote w:id="57">
    <w:p>
      <w:pPr>
        <w:pStyle w:val="EndnoteText"/>
      </w:pPr>
      <w:r>
        <w:rPr>
          <w:rStyle w:val="EndnoteReference"/>
        </w:rPr>
        <w:endnoteRef/>
      </w:r>
      <w:r>
        <w:t xml:space="preserve"> </w:t>
      </w:r>
      <w:r>
        <w:t xml:space="preserve">[CITATION MISSING — endnote text absent from the merged draft; recover from the chapter source file]</w:t>
      </w:r>
    </w:p>
  </w:endnote>
  <w:endnote w:id="58">
    <w:p>
      <w:pPr>
        <w:pStyle w:val="EndnoteText"/>
      </w:pPr>
      <w:r>
        <w:rPr>
          <w:rStyle w:val="EndnoteReference"/>
        </w:rPr>
        <w:endnoteRef/>
      </w:r>
      <w:r>
        <w:t xml:space="preserve"> </w:t>
      </w:r>
      <w:r>
        <w:t xml:space="preserve">[CITATION MISSING — endnote text absent from the merged draft; recover from the chapter source file]</w:t>
      </w:r>
    </w:p>
  </w:endnote>
  <w:endnote w:id="59">
    <w:p>
      <w:pPr>
        <w:pStyle w:val="EndnoteText"/>
      </w:pPr>
      <w:r>
        <w:rPr>
          <w:rStyle w:val="EndnoteReference"/>
        </w:rPr>
        <w:endnoteRef/>
      </w:r>
      <w:r>
        <w:t xml:space="preserve"> </w:t>
      </w:r>
      <w:r>
        <w:t xml:space="preserve">[CITATION MISSING — endnote text absent from the merged draft; recover from the chapter source file]</w:t>
      </w:r>
    </w:p>
  </w:endnote>
  <w:endnote w:id="60">
    <w:p>
      <w:pPr>
        <w:pStyle w:val="EndnoteText"/>
      </w:pPr>
      <w:r>
        <w:rPr>
          <w:rStyle w:val="EndnoteReference"/>
        </w:rPr>
        <w:endnoteRef/>
      </w:r>
      <w:r>
        <w:t xml:space="preserve"> </w:t>
      </w:r>
      <w:r>
        <w:t xml:space="preserve">[CITATION MISSING — endnote text absent from the merged draft; recover from the chapter source file]</w:t>
      </w:r>
    </w:p>
  </w:endnote>
  <w:endnote w:id="61">
    <w:p>
      <w:pPr>
        <w:pStyle w:val="EndnoteText"/>
      </w:pPr>
      <w:r>
        <w:rPr>
          <w:rStyle w:val="EndnoteReference"/>
        </w:rPr>
        <w:endnoteRef/>
      </w:r>
      <w:r>
        <w:t xml:space="preserve"> </w:t>
      </w:r>
      <w:r>
        <w:t xml:space="preserve">[CITATION MISSING — endnote text absent from the merged draft; recover from the chapter source file]</w:t>
      </w:r>
    </w:p>
  </w:endnote>
  <w:endnote w:id="62">
    <w:p>
      <w:pPr>
        <w:pStyle w:val="EndnoteText"/>
      </w:pPr>
      <w:r>
        <w:rPr>
          <w:rStyle w:val="EndnoteReference"/>
        </w:rPr>
        <w:endnoteRef/>
      </w:r>
      <w:r>
        <w:t xml:space="preserve"> </w:t>
      </w:r>
      <w:r>
        <w:t xml:space="preserve">[CITATION MISSING — endnote text absent from the merged draft; recover from the chapter source file]</w:t>
      </w:r>
    </w:p>
  </w:endnote>
  <w:endnote w:id="63">
    <w:p>
      <w:pPr>
        <w:pStyle w:val="EndnoteText"/>
      </w:pPr>
      <w:r>
        <w:rPr>
          <w:rStyle w:val="EndnoteReference"/>
        </w:rPr>
        <w:endnoteRef/>
      </w:r>
      <w:r>
        <w:t xml:space="preserve"> </w:t>
      </w:r>
      <w:r>
        <w:t xml:space="preserve">[CITATION MISSING — endnote text absent from the merged draft; recover from the chapter source file]</w:t>
      </w:r>
    </w:p>
  </w:endnote>
  <w:endnote w:id="64">
    <w:p>
      <w:pPr>
        <w:pStyle w:val="EndnoteText"/>
      </w:pPr>
      <w:r>
        <w:rPr>
          <w:rStyle w:val="EndnoteReference"/>
        </w:rPr>
        <w:endnoteRef/>
      </w:r>
      <w:r>
        <w:t xml:space="preserve"> </w:t>
      </w:r>
      <w:r>
        <w:t xml:space="preserve">[CITATION MISSING — endnote text absent from the merged draft; recover from the chapter source file]</w:t>
      </w:r>
    </w:p>
  </w:endnote>
  <w:endnote w:id="65">
    <w:p>
      <w:pPr>
        <w:pStyle w:val="EndnoteText"/>
      </w:pPr>
      <w:r>
        <w:rPr>
          <w:rStyle w:val="EndnoteReference"/>
        </w:rPr>
        <w:endnoteRef/>
      </w:r>
      <w:r>
        <w:t xml:space="preserve"> </w:t>
      </w:r>
      <w:r>
        <w:t xml:space="preserve">[CITATION MISSING — endnote text absent from the merged draft; recover from the chapter source file]</w:t>
      </w:r>
    </w:p>
  </w:endnote>
  <w:endnote w:id="66">
    <w:p>
      <w:pPr>
        <w:pStyle w:val="EndnoteText"/>
      </w:pPr>
      <w:r>
        <w:rPr>
          <w:rStyle w:val="EndnoteReference"/>
        </w:rPr>
        <w:endnoteRef/>
      </w:r>
      <w:r>
        <w:t xml:space="preserve"> </w:t>
      </w:r>
      <w:r>
        <w:t xml:space="preserve">[CITATION MISSING — endnote text absent from the merged draft; recover from the chapter source file]</w:t>
      </w:r>
    </w:p>
  </w:endnote>
  <w:endnote w:id="67">
    <w:p>
      <w:pPr>
        <w:pStyle w:val="EndnoteText"/>
      </w:pPr>
      <w:r>
        <w:rPr>
          <w:rStyle w:val="EndnoteReference"/>
        </w:rPr>
        <w:endnoteRef/>
      </w:r>
      <w:r>
        <w:t xml:space="preserve"> </w:t>
      </w:r>
      <w:r>
        <w:t xml:space="preserve">[CITATION MISSING — endnote text absent from the merged draft; recover from the chapter source file]</w:t>
      </w:r>
    </w:p>
  </w:endnote>
  <w:endnote w:id="68">
    <w:p>
      <w:pPr>
        <w:pStyle w:val="EndnoteText"/>
      </w:pPr>
      <w:r>
        <w:rPr>
          <w:rStyle w:val="EndnoteReference"/>
        </w:rPr>
        <w:endnoteRef/>
      </w:r>
      <w:r>
        <w:t xml:space="preserve"> </w:t>
      </w:r>
      <w:r>
        <w:t xml:space="preserve">[CITATION MISSING — endnote text absent from the merged draft; recover from the chapter source file]</w:t>
      </w:r>
    </w:p>
  </w:endnote>
  <w:endnote w:id="70">
    <w:p>
      <w:pPr>
        <w:pStyle w:val="EndnoteText"/>
      </w:pPr>
      <w:r>
        <w:rPr>
          <w:rStyle w:val="EndnoteReference"/>
        </w:rPr>
        <w:endnoteRef/>
      </w:r>
      <w:r>
        <w:t xml:space="preserve"> </w:t>
      </w:r>
      <w:r>
        <w:t xml:space="preserve">[CITATION MISSING — endnote text absent from the merged draft; recover from the chapter source file]</w:t>
      </w:r>
    </w:p>
  </w:endnote>
  <w:endnote w:id="71">
    <w:p>
      <w:pPr>
        <w:pStyle w:val="EndnoteText"/>
      </w:pPr>
      <w:r>
        <w:rPr>
          <w:rStyle w:val="EndnoteReference"/>
        </w:rPr>
        <w:endnoteRef/>
      </w:r>
      <w:r>
        <w:t xml:space="preserve"> </w:t>
      </w:r>
      <w:r>
        <w:t xml:space="preserve">[CITATION MISSING — endnote text absent from the merged draft; recover from the chapter source file]</w:t>
      </w:r>
    </w:p>
  </w:endnote>
  <w:endnote w:id="72">
    <w:p>
      <w:pPr>
        <w:pStyle w:val="EndnoteText"/>
      </w:pPr>
      <w:r>
        <w:rPr>
          <w:rStyle w:val="EndnoteReference"/>
        </w:rPr>
        <w:endnoteRef/>
      </w:r>
      <w:r>
        <w:t xml:space="preserve"> </w:t>
      </w:r>
      <w:r>
        <w:t xml:space="preserve">[CITATION MISSING — endnote text absent from the merged draft; recover from the chapter source file]</w:t>
      </w:r>
    </w:p>
  </w:endnote>
  <w:endnote w:id="73">
    <w:p>
      <w:pPr>
        <w:pStyle w:val="EndnoteText"/>
      </w:pPr>
      <w:r>
        <w:rPr>
          <w:rStyle w:val="EndnoteReference"/>
        </w:rPr>
        <w:endnoteRef/>
      </w:r>
      <w:r>
        <w:t xml:space="preserve"> </w:t>
      </w:r>
      <w:r>
        <w:t xml:space="preserve">[CITATION MISSING — endnote text absent from the merged draft; recover from the chapter source file]</w:t>
      </w:r>
    </w:p>
  </w:endnote>
  <w:endnote w:id="74">
    <w:p>
      <w:pPr>
        <w:pStyle w:val="EndnoteText"/>
      </w:pPr>
      <w:r>
        <w:rPr>
          <w:rStyle w:val="EndnoteReference"/>
        </w:rPr>
        <w:endnoteRef/>
      </w:r>
      <w:r>
        <w:t xml:space="preserve"> </w:t>
      </w:r>
      <w:r>
        <w:t xml:space="preserve">[CITATION MISSING — endnote text absent from the merged draft; recover from the chapter source file]</w:t>
      </w:r>
    </w:p>
  </w:endnote>
  <w:endnote w:id="75">
    <w:p>
      <w:pPr>
        <w:pStyle w:val="EndnoteText"/>
      </w:pPr>
      <w:r>
        <w:rPr>
          <w:rStyle w:val="EndnoteReference"/>
        </w:rPr>
        <w:endnoteRef/>
      </w:r>
      <w:r>
        <w:t xml:space="preserve"> </w:t>
      </w:r>
      <w:r>
        <w:t xml:space="preserve">[CITATION MISSING — endnote text absent from the merged draft; recover from the chapter source file]</w:t>
      </w:r>
    </w:p>
  </w:endnote>
  <w:endnote w:id="76">
    <w:p>
      <w:pPr>
        <w:pStyle w:val="EndnoteText"/>
      </w:pPr>
      <w:r>
        <w:rPr>
          <w:rStyle w:val="EndnoteReference"/>
        </w:rPr>
        <w:endnoteRef/>
      </w:r>
      <w:r>
        <w:t xml:space="preserve"> </w:t>
      </w:r>
      <w:r>
        <w:t xml:space="preserve">[CITATION MISSING — endnote text absent from the merged draft; recover from the chapter source file]</w:t>
      </w:r>
    </w:p>
  </w:endnote>
  <w:endnote w:id="77">
    <w:p>
      <w:pPr>
        <w:pStyle w:val="EndnoteText"/>
      </w:pPr>
      <w:r>
        <w:rPr>
          <w:rStyle w:val="EndnoteReference"/>
        </w:rPr>
        <w:endnoteRef/>
      </w:r>
      <w:r>
        <w:t xml:space="preserve"> </w:t>
      </w:r>
      <w:r>
        <w:t xml:space="preserve">[CITATION MISSING — endnote text absent from the merged draft; recover from the chapter source file]</w:t>
      </w:r>
    </w:p>
  </w:endnote>
  <w:endnote w:id="78">
    <w:p>
      <w:pPr>
        <w:pStyle w:val="EndnoteText"/>
      </w:pPr>
      <w:r>
        <w:rPr>
          <w:rStyle w:val="EndnoteReference"/>
        </w:rPr>
        <w:endnoteRef/>
      </w:r>
      <w:r>
        <w:t xml:space="preserve"> </w:t>
      </w:r>
      <w:r>
        <w:t xml:space="preserve">[CITATION MISSING — endnote text absent from the merged draft; recover from the chapter source file]</w:t>
      </w:r>
    </w:p>
  </w:endnote>
  <w:endnote w:id="79">
    <w:p>
      <w:pPr>
        <w:pStyle w:val="EndnoteText"/>
      </w:pPr>
      <w:r>
        <w:rPr>
          <w:rStyle w:val="EndnoteReference"/>
        </w:rPr>
        <w:endnoteRef/>
      </w:r>
      <w:r>
        <w:t xml:space="preserve"> </w:t>
      </w:r>
      <w:r>
        <w:t xml:space="preserve">[CITATION MISSING — endnote text absent from the merged draft; recover from the chapter source file]</w:t>
      </w:r>
    </w:p>
  </w:endnote>
  <w:endnote w:id="80">
    <w:p>
      <w:pPr>
        <w:pStyle w:val="EndnoteText"/>
      </w:pPr>
      <w:r>
        <w:rPr>
          <w:rStyle w:val="EndnoteReference"/>
        </w:rPr>
        <w:endnoteRef/>
      </w:r>
      <w:r>
        <w:t xml:space="preserve"> </w:t>
      </w:r>
      <w:r>
        <w:t xml:space="preserve">[CITATION MISSING — endnote text absent from the merged draft; recover from the chapter source file]</w:t>
      </w:r>
    </w:p>
  </w:endnote>
  <w:endnote w:id="81">
    <w:p>
      <w:pPr>
        <w:pStyle w:val="EndnoteText"/>
      </w:pPr>
      <w:r>
        <w:rPr>
          <w:rStyle w:val="EndnoteReference"/>
        </w:rPr>
        <w:endnoteRef/>
      </w:r>
      <w:r>
        <w:t xml:space="preserve"> </w:t>
      </w:r>
      <w:r>
        <w:t xml:space="preserve">[CITATION MISSING — endnote text absent from the merged draft; recover from the chapter source file]</w:t>
      </w:r>
    </w:p>
  </w:endnote>
  <w:endnote w:id="83">
    <w:p>
      <w:pPr>
        <w:pStyle w:val="EndnoteText"/>
      </w:pPr>
      <w:r>
        <w:rPr>
          <w:rStyle w:val="EndnoteReference"/>
        </w:rPr>
        <w:endnoteRef/>
      </w:r>
      <w:r>
        <w:t xml:space="preserve"> </w:t>
      </w:r>
      <w:r>
        <w:t xml:space="preserve">[CITATION MISSING — endnote text absent from the merged draft; recover from the chapter source file]</w:t>
      </w:r>
    </w:p>
  </w:endnote>
  <w:endnote w:id="84">
    <w:p>
      <w:pPr>
        <w:pStyle w:val="EndnoteText"/>
      </w:pPr>
      <w:r>
        <w:rPr>
          <w:rStyle w:val="EndnoteReference"/>
        </w:rPr>
        <w:endnoteRef/>
      </w:r>
      <w:r>
        <w:t xml:space="preserve"> </w:t>
      </w:r>
      <w:r>
        <w:t xml:space="preserve">[CITATION MISSING — endnote text absent from the merged draft; recover from the chapter source file]</w:t>
      </w:r>
    </w:p>
  </w:endnote>
  <w:endnote w:id="85">
    <w:p>
      <w:pPr>
        <w:pStyle w:val="EndnoteText"/>
      </w:pPr>
      <w:r>
        <w:rPr>
          <w:rStyle w:val="EndnoteReference"/>
        </w:rPr>
        <w:endnoteRef/>
      </w:r>
      <w:r>
        <w:t xml:space="preserve"> </w:t>
      </w:r>
      <w:r>
        <w:t xml:space="preserve">[CITATION MISSING — endnote text absent from the merged draft; recover from the chapter source file]</w:t>
      </w:r>
    </w:p>
  </w:endnote>
  <w:endnote w:id="86">
    <w:p>
      <w:pPr>
        <w:pStyle w:val="EndnoteText"/>
      </w:pPr>
      <w:r>
        <w:rPr>
          <w:rStyle w:val="EndnoteReference"/>
        </w:rPr>
        <w:endnoteRef/>
      </w:r>
      <w:r>
        <w:t xml:space="preserve"> </w:t>
      </w:r>
      <w:r>
        <w:t xml:space="preserve">[CITATION MISSING — endnote text absent from the merged draft; recover from the chapter source file]</w:t>
      </w:r>
    </w:p>
  </w:endnote>
  <w:endnote w:id="87">
    <w:p>
      <w:pPr>
        <w:pStyle w:val="EndnoteText"/>
      </w:pPr>
      <w:r>
        <w:rPr>
          <w:rStyle w:val="EndnoteReference"/>
        </w:rPr>
        <w:endnoteRef/>
      </w:r>
      <w:r>
        <w:t xml:space="preserve"> </w:t>
      </w:r>
      <w:r>
        <w:t xml:space="preserve">[CITATION MISSING — endnote text absent from the merged draft; recover from the chapter source file]</w:t>
      </w:r>
    </w:p>
  </w:endnote>
  <w:endnote w:id="88">
    <w:p>
      <w:pPr>
        <w:pStyle w:val="EndnoteText"/>
      </w:pPr>
      <w:r>
        <w:rPr>
          <w:rStyle w:val="EndnoteReference"/>
        </w:rPr>
        <w:endnoteRef/>
      </w:r>
      <w:r>
        <w:t xml:space="preserve"> </w:t>
      </w:r>
      <w:r>
        <w:t xml:space="preserve">[CITATION MISSING — endnote text absent from the merged draft; recover from the chapter source file]</w:t>
      </w:r>
    </w:p>
  </w:endnote>
  <w:endnote w:id="89">
    <w:p>
      <w:pPr>
        <w:pStyle w:val="EndnoteText"/>
      </w:pPr>
      <w:r>
        <w:rPr>
          <w:rStyle w:val="EndnoteReference"/>
        </w:rPr>
        <w:endnoteRef/>
      </w:r>
      <w:r>
        <w:t xml:space="preserve"> </w:t>
      </w:r>
      <w:r>
        <w:t xml:space="preserve">[CITATION MISSING — endnote text absent from the merged draft; recover from the chapter source file]</w:t>
      </w:r>
    </w:p>
  </w:endnote>
  <w:endnote w:id="91">
    <w:p>
      <w:pPr>
        <w:pStyle w:val="EndnoteText"/>
      </w:pPr>
      <w:r>
        <w:rPr>
          <w:rStyle w:val="EndnoteReference"/>
        </w:rPr>
        <w:endnoteRef/>
      </w:r>
      <w:r>
        <w:t xml:space="preserve"> </w:t>
      </w:r>
      <w:r>
        <w:t xml:space="preserve">[CITATION MISSING — endnote text absent from the merged draft; recover from the chapter source file]</w:t>
      </w:r>
    </w:p>
  </w:endnote>
  <w:endnote w:id="92">
    <w:p>
      <w:pPr>
        <w:pStyle w:val="EndnoteText"/>
      </w:pPr>
      <w:r>
        <w:rPr>
          <w:rStyle w:val="EndnoteReference"/>
        </w:rPr>
        <w:endnoteRef/>
      </w:r>
      <w:r>
        <w:t xml:space="preserve"> </w:t>
      </w:r>
      <w:r>
        <w:t xml:space="preserve">[CITATION MISSING — endnote text absent from the merged draft; recover from the chapter source file]</w:t>
      </w:r>
    </w:p>
  </w:endnote>
  <w:endnote w:id="93">
    <w:p>
      <w:pPr>
        <w:pStyle w:val="EndnoteText"/>
      </w:pPr>
      <w:r>
        <w:rPr>
          <w:rStyle w:val="EndnoteReference"/>
        </w:rPr>
        <w:endnoteRef/>
      </w:r>
      <w:r>
        <w:t xml:space="preserve"> </w:t>
      </w:r>
      <w:r>
        <w:t xml:space="preserve">[CITATION MISSING — endnote text absent from the merged draft; recover from the chapter source file]</w:t>
      </w:r>
    </w:p>
  </w:endnote>
  <w:endnote w:id="94">
    <w:p>
      <w:pPr>
        <w:pStyle w:val="EndnoteText"/>
      </w:pPr>
      <w:r>
        <w:rPr>
          <w:rStyle w:val="EndnoteReference"/>
        </w:rPr>
        <w:endnoteRef/>
      </w:r>
      <w:r>
        <w:t xml:space="preserve"> </w:t>
      </w:r>
      <w:r>
        <w:t xml:space="preserve">[CITATION MISSING — endnote text absent from the merged draft; recover from the chapter source file]</w:t>
      </w:r>
    </w:p>
  </w:endnote>
  <w:endnote w:id="95">
    <w:p>
      <w:pPr>
        <w:pStyle w:val="EndnoteText"/>
      </w:pPr>
      <w:r>
        <w:rPr>
          <w:rStyle w:val="EndnoteReference"/>
        </w:rPr>
        <w:endnoteRef/>
      </w:r>
      <w:r>
        <w:t xml:space="preserve"> </w:t>
      </w:r>
      <w:r>
        <w:t xml:space="preserve">[CITATION MISSING — endnote text absent from the merged draft; recover from the chapter source file]</w:t>
      </w:r>
    </w:p>
  </w:endnote>
  <w:endnote w:id="96">
    <w:p>
      <w:pPr>
        <w:pStyle w:val="EndnoteText"/>
      </w:pPr>
      <w:r>
        <w:rPr>
          <w:rStyle w:val="EndnoteReference"/>
        </w:rPr>
        <w:endnoteRef/>
      </w:r>
      <w:r>
        <w:t xml:space="preserve"> </w:t>
      </w:r>
      <w:r>
        <w:t xml:space="preserve">[CITATION MISSING — endnote text absent from the merged draft; recover from the chapter source file]</w:t>
      </w:r>
    </w:p>
  </w:endnote>
  <w:endnote w:id="97">
    <w:p>
      <w:pPr>
        <w:pStyle w:val="EndnoteText"/>
      </w:pPr>
      <w:r>
        <w:rPr>
          <w:rStyle w:val="EndnoteReference"/>
        </w:rPr>
        <w:endnoteRef/>
      </w:r>
      <w:r>
        <w:t xml:space="preserve"> </w:t>
      </w:r>
      <w:r>
        <w:t xml:space="preserve">[CITATION MISSING — endnote text absent from the merged draft; recover from the chapter source file]</w:t>
      </w:r>
    </w:p>
  </w:endnote>
  <w:endnote w:id="99">
    <w:p>
      <w:pPr>
        <w:pStyle w:val="EndnoteText"/>
      </w:pPr>
      <w:r>
        <w:rPr>
          <w:rStyle w:val="EndnoteReference"/>
        </w:rPr>
        <w:endnoteRef/>
      </w:r>
      <w:r>
        <w:t xml:space="preserve"> </w:t>
      </w:r>
      <w:r>
        <w:t xml:space="preserve">[CITATION MISSING — endnote text absent from the merged draft; recover from the chapter source file]</w:t>
      </w:r>
    </w:p>
  </w:endnote>
  <w:endnote w:id="100">
    <w:p>
      <w:pPr>
        <w:pStyle w:val="EndnoteText"/>
      </w:pPr>
      <w:r>
        <w:rPr>
          <w:rStyle w:val="EndnoteReference"/>
        </w:rPr>
        <w:endnoteRef/>
      </w:r>
      <w:r>
        <w:t xml:space="preserve"> </w:t>
      </w:r>
      <w:r>
        <w:t xml:space="preserve">[CITATION MISSING — endnote text absent from the merged draft; recover from the chapter source file]</w:t>
      </w:r>
    </w:p>
  </w:endnote>
  <w:endnote w:id="101">
    <w:p>
      <w:pPr>
        <w:pStyle w:val="EndnoteText"/>
      </w:pPr>
      <w:r>
        <w:rPr>
          <w:rStyle w:val="EndnoteReference"/>
        </w:rPr>
        <w:endnoteRef/>
      </w:r>
      <w:r>
        <w:t xml:space="preserve"> </w:t>
      </w:r>
      <w:r>
        <w:t xml:space="preserve">[CITATION MISSING — endnote text absent from the merged draft; recover from the chapter source file]</w:t>
      </w:r>
    </w:p>
  </w:endnote>
  <w:endnote w:id="102">
    <w:p>
      <w:pPr>
        <w:pStyle w:val="EndnoteText"/>
      </w:pPr>
      <w:r>
        <w:rPr>
          <w:rStyle w:val="EndnoteReference"/>
        </w:rPr>
        <w:endnoteRef/>
      </w:r>
      <w:r>
        <w:t xml:space="preserve"> </w:t>
      </w:r>
      <w:r>
        <w:t xml:space="preserve">[CITATION MISSING — endnote text absent from the merged draft; recover from the chapter source file]</w:t>
      </w:r>
    </w:p>
  </w:endnote>
  <w:endnote w:id="104">
    <w:p>
      <w:pPr>
        <w:pStyle w:val="EndnoteText"/>
      </w:pPr>
      <w:r>
        <w:rPr>
          <w:rStyle w:val="EndnoteReference"/>
        </w:rPr>
        <w:endnoteRef/>
      </w:r>
      <w:r>
        <w:t xml:space="preserve"> </w:t>
      </w:r>
      <w:r>
        <w:t xml:space="preserve">[CITATION MISSING — endnote text absent from the merged draft; recover from the chapter source file]</w:t>
      </w:r>
    </w:p>
  </w:endnote>
  <w:endnote w:id="105">
    <w:p>
      <w:pPr>
        <w:pStyle w:val="EndnoteText"/>
      </w:pPr>
      <w:r>
        <w:rPr>
          <w:rStyle w:val="EndnoteReference"/>
        </w:rPr>
        <w:endnoteRef/>
      </w:r>
      <w:r>
        <w:t xml:space="preserve"> </w:t>
      </w:r>
      <w:r>
        <w:t xml:space="preserve">[CITATION MISSING — endnote text absent from the merged draft; recover from the chapter source file]</w:t>
      </w:r>
    </w:p>
  </w:endnote>
  <w:endnote w:id="106">
    <w:p>
      <w:pPr>
        <w:pStyle w:val="EndnoteText"/>
      </w:pPr>
      <w:r>
        <w:rPr>
          <w:rStyle w:val="EndnoteReference"/>
        </w:rPr>
        <w:endnoteRef/>
      </w:r>
      <w:r>
        <w:t xml:space="preserve"> </w:t>
      </w:r>
      <w:r>
        <w:t xml:space="preserve">[CITATION MISSING — endnote text absent from the merged draft; recover from the chapter source file]</w:t>
      </w:r>
    </w:p>
  </w:endnote>
  <w:endnote w:id="107">
    <w:p>
      <w:pPr>
        <w:pStyle w:val="EndnoteText"/>
      </w:pPr>
      <w:r>
        <w:rPr>
          <w:rStyle w:val="EndnoteReference"/>
        </w:rPr>
        <w:endnoteRef/>
      </w:r>
      <w:r>
        <w:t xml:space="preserve"> </w:t>
      </w:r>
      <w:r>
        <w:t xml:space="preserve">[CITATION MISSING — endnote text absent from the merged draft; recover from the chapter source file]</w:t>
      </w:r>
    </w:p>
  </w:endnote>
  <w:endnote w:id="108">
    <w:p>
      <w:pPr>
        <w:pStyle w:val="EndnoteText"/>
      </w:pPr>
      <w:r>
        <w:rPr>
          <w:rStyle w:val="EndnoteReference"/>
        </w:rPr>
        <w:endnoteRef/>
      </w:r>
      <w:r>
        <w:t xml:space="preserve"> </w:t>
      </w:r>
      <w:r>
        <w:t xml:space="preserve">[CITATION MISSING — endnote text absent from the merged draft; recover from the chapter source file]</w:t>
      </w:r>
    </w:p>
  </w:endnote>
  <w:endnote w:id="109">
    <w:p>
      <w:pPr>
        <w:pStyle w:val="EndnoteText"/>
      </w:pPr>
      <w:r>
        <w:rPr>
          <w:rStyle w:val="EndnoteReference"/>
        </w:rPr>
        <w:endnoteRef/>
      </w:r>
      <w:r>
        <w:t xml:space="preserve"> </w:t>
      </w:r>
      <w:r>
        <w:t xml:space="preserve">[CITATION MISSING — endnote text absent from the merged draft; recover from the chapter source file]</w:t>
      </w:r>
    </w:p>
  </w:endnote>
  <w:endnote w:id="110">
    <w:p>
      <w:pPr>
        <w:pStyle w:val="EndnoteText"/>
      </w:pPr>
      <w:r>
        <w:rPr>
          <w:rStyle w:val="EndnoteReference"/>
        </w:rPr>
        <w:endnoteRef/>
      </w:r>
      <w:r>
        <w:t xml:space="preserve"> </w:t>
      </w:r>
      <w:r>
        <w:t xml:space="preserve">[CITATION MISSING — endnote text absent from the merged draft; recover from the chapter source file]</w:t>
      </w:r>
    </w:p>
  </w:endnote>
  <w:endnote w:id="111">
    <w:p>
      <w:pPr>
        <w:pStyle w:val="EndnoteText"/>
      </w:pPr>
      <w:r>
        <w:rPr>
          <w:rStyle w:val="EndnoteReference"/>
        </w:rPr>
        <w:endnoteRef/>
      </w:r>
      <w:r>
        <w:t xml:space="preserve"> </w:t>
      </w:r>
      <w:r>
        <w:t xml:space="preserve">[CITATION MISSING — endnote text absent from the merged draft; recover from the chapter source file]</w:t>
      </w:r>
    </w:p>
  </w:endnote>
  <w:endnote w:id="112">
    <w:p>
      <w:pPr>
        <w:pStyle w:val="EndnoteText"/>
      </w:pPr>
      <w:r>
        <w:rPr>
          <w:rStyle w:val="EndnoteReference"/>
        </w:rPr>
        <w:endnoteRef/>
      </w:r>
      <w:r>
        <w:t xml:space="preserve"> </w:t>
      </w:r>
      <w:r>
        <w:t xml:space="preserve">[CITATION MISSING — endnote text absent from the merged draft; recover from the chapter source file]</w:t>
      </w:r>
    </w:p>
  </w:endnote>
  <w:endnote w:id="113">
    <w:p>
      <w:pPr>
        <w:pStyle w:val="EndnoteText"/>
      </w:pPr>
      <w:r>
        <w:rPr>
          <w:rStyle w:val="EndnoteReference"/>
        </w:rPr>
        <w:endnoteRef/>
      </w:r>
      <w:r>
        <w:t xml:space="preserve"> </w:t>
      </w:r>
      <w:r>
        <w:t xml:space="preserve">[CITATION MISSING — endnote text absent from the merged draft; recover from the chapter source file]</w:t>
      </w:r>
    </w:p>
  </w:endnote>
  <w:endnote w:id="114">
    <w:p>
      <w:pPr>
        <w:pStyle w:val="EndnoteText"/>
      </w:pPr>
      <w:r>
        <w:rPr>
          <w:rStyle w:val="EndnoteReference"/>
        </w:rPr>
        <w:endnoteRef/>
      </w:r>
      <w:r>
        <w:t xml:space="preserve"> </w:t>
      </w:r>
      <w:r>
        <w:t xml:space="preserve">[CITATION MISSING — endnote text absent from the merged draft; recover from the chapter source file]</w:t>
      </w:r>
    </w:p>
  </w:endnote>
  <w:endnote w:id="115">
    <w:p>
      <w:pPr>
        <w:pStyle w:val="EndnoteText"/>
      </w:pPr>
      <w:r>
        <w:rPr>
          <w:rStyle w:val="EndnoteReference"/>
        </w:rPr>
        <w:endnoteRef/>
      </w:r>
      <w:r>
        <w:t xml:space="preserve"> </w:t>
      </w:r>
      <w:r>
        <w:t xml:space="preserve">[CITATION MISSING — endnote text absent from the merged draft; recover from the chapter source file]</w:t>
      </w:r>
    </w:p>
  </w:endnote>
  <w:endnote w:id="117">
    <w:p>
      <w:pPr>
        <w:pStyle w:val="EndnoteText"/>
      </w:pPr>
      <w:r>
        <w:rPr>
          <w:rStyle w:val="EndnoteReference"/>
        </w:rPr>
        <w:endnoteRef/>
      </w:r>
      <w:r>
        <w:t xml:space="preserve"> </w:t>
      </w:r>
      <w:r>
        <w:t xml:space="preserve">[CITATION MISSING — endnote text absent from the merged draft; recover from the chapter source file]</w:t>
      </w:r>
    </w:p>
  </w:endnote>
  <w:endnote w:id="118">
    <w:p>
      <w:pPr>
        <w:pStyle w:val="EndnoteText"/>
      </w:pPr>
      <w:r>
        <w:rPr>
          <w:rStyle w:val="EndnoteReference"/>
        </w:rPr>
        <w:endnoteRef/>
      </w:r>
      <w:r>
        <w:t xml:space="preserve"> </w:t>
      </w:r>
      <w:r>
        <w:t xml:space="preserve">[CITATION MISSING — endnote text absent from the merged draft; recover from the chapter source file]</w:t>
      </w:r>
    </w:p>
  </w:endnote>
  <w:endnote w:id="119">
    <w:p>
      <w:pPr>
        <w:pStyle w:val="EndnoteText"/>
      </w:pPr>
      <w:r>
        <w:rPr>
          <w:rStyle w:val="EndnoteReference"/>
        </w:rPr>
        <w:endnoteRef/>
      </w:r>
      <w:r>
        <w:t xml:space="preserve"> </w:t>
      </w:r>
      <w:r>
        <w:t xml:space="preserve">[CITATION MISSING — endnote text absent from the merged draft; recover from the chapter source file]</w:t>
      </w:r>
    </w:p>
  </w:endnote>
  <w:endnote w:id="120">
    <w:p>
      <w:pPr>
        <w:pStyle w:val="EndnoteText"/>
      </w:pPr>
      <w:r>
        <w:rPr>
          <w:rStyle w:val="EndnoteReference"/>
        </w:rPr>
        <w:endnoteRef/>
      </w:r>
      <w:r>
        <w:t xml:space="preserve"> </w:t>
      </w:r>
      <w:r>
        <w:t xml:space="preserve">[CITATION MISSING — endnote text absent from the merged draft; recover from the chapter source file]</w:t>
      </w:r>
    </w:p>
  </w:endnote>
  <w:endnote w:id="121">
    <w:p>
      <w:pPr>
        <w:pStyle w:val="EndnoteText"/>
      </w:pPr>
      <w:r>
        <w:rPr>
          <w:rStyle w:val="EndnoteReference"/>
        </w:rPr>
        <w:endnoteRef/>
      </w:r>
      <w:r>
        <w:t xml:space="preserve"> </w:t>
      </w:r>
      <w:r>
        <w:t xml:space="preserve">[CITATION MISSING — endnote text absent from the merged draft; recover from the chapter source file]</w:t>
      </w:r>
    </w:p>
  </w:endnote>
  <w:endnote w:id="122">
    <w:p>
      <w:pPr>
        <w:pStyle w:val="EndnoteText"/>
      </w:pPr>
      <w:r>
        <w:rPr>
          <w:rStyle w:val="EndnoteReference"/>
        </w:rPr>
        <w:endnoteRef/>
      </w:r>
      <w:r>
        <w:t xml:space="preserve"> </w:t>
      </w:r>
      <w:r>
        <w:t xml:space="preserve">[CITATION MISSING — endnote text absent from the merged draft; recover from the chapter source file]</w:t>
      </w:r>
    </w:p>
  </w:endnote>
  <w:endnote w:id="124">
    <w:p>
      <w:pPr>
        <w:pStyle w:val="EndnoteText"/>
      </w:pPr>
      <w:r>
        <w:rPr>
          <w:rStyle w:val="EndnoteReference"/>
        </w:rPr>
        <w:endnoteRef/>
      </w:r>
      <w:r>
        <w:t xml:space="preserve"> </w:t>
      </w:r>
      <w:r>
        <w:t xml:space="preserve">[CITATION MISSING — endnote text absent from the merged draft; recover from the chapter source file]</w:t>
      </w:r>
    </w:p>
  </w:endnote>
  <w:endnote w:id="125">
    <w:p>
      <w:pPr>
        <w:pStyle w:val="EndnoteText"/>
      </w:pPr>
      <w:r>
        <w:rPr>
          <w:rStyle w:val="EndnoteReference"/>
        </w:rPr>
        <w:endnoteRef/>
      </w:r>
      <w:r>
        <w:t xml:space="preserve"> </w:t>
      </w:r>
      <w:r>
        <w:t xml:space="preserve">[CITATION MISSING — endnote text absent from the merged draft; recover from the chapter source file]</w:t>
      </w:r>
    </w:p>
  </w:endnote>
  <w:endnote w:id="126">
    <w:p>
      <w:pPr>
        <w:pStyle w:val="EndnoteText"/>
      </w:pPr>
      <w:r>
        <w:rPr>
          <w:rStyle w:val="EndnoteReference"/>
        </w:rPr>
        <w:endnoteRef/>
      </w:r>
      <w:r>
        <w:t xml:space="preserve"> </w:t>
      </w:r>
      <w:r>
        <w:t xml:space="preserve">[CITATION MISSING — endnote text absent from the merged draft; recover from the chapter source file]</w:t>
      </w:r>
    </w:p>
  </w:endnote>
  <w:endnote w:id="127">
    <w:p>
      <w:pPr>
        <w:pStyle w:val="EndnoteText"/>
      </w:pPr>
      <w:r>
        <w:rPr>
          <w:rStyle w:val="EndnoteReference"/>
        </w:rPr>
        <w:endnoteRef/>
      </w:r>
      <w:r>
        <w:t xml:space="preserve"> </w:t>
      </w:r>
      <w:r>
        <w:t xml:space="preserve">[CITATION MISSING — endnote text absent from the merged draft; recover from the chapter source file]</w:t>
      </w:r>
    </w:p>
  </w:endnote>
  <w:endnote w:id="128">
    <w:p>
      <w:pPr>
        <w:pStyle w:val="EndnoteText"/>
      </w:pPr>
      <w:r>
        <w:rPr>
          <w:rStyle w:val="EndnoteReference"/>
        </w:rPr>
        <w:endnoteRef/>
      </w:r>
      <w:r>
        <w:t xml:space="preserve"> </w:t>
      </w:r>
      <w:r>
        <w:t xml:space="preserve">[CITATION MISSING — endnote text absent from the merged draft; recover from the chapter source file]</w:t>
      </w:r>
    </w:p>
  </w:endnote>
  <w:endnote w:id="129">
    <w:p>
      <w:pPr>
        <w:pStyle w:val="EndnoteText"/>
      </w:pPr>
      <w:r>
        <w:rPr>
          <w:rStyle w:val="EndnoteReference"/>
        </w:rPr>
        <w:endnoteRef/>
      </w:r>
      <w:r>
        <w:t xml:space="preserve"> </w:t>
      </w:r>
      <w:r>
        <w:t xml:space="preserve">[CITATION MISSING — endnote text absent from the merged draft; recover from the chapter source file]</w:t>
      </w:r>
    </w:p>
  </w:endnote>
  <w:endnote w:id="130">
    <w:p>
      <w:pPr>
        <w:pStyle w:val="EndnoteText"/>
      </w:pPr>
      <w:r>
        <w:rPr>
          <w:rStyle w:val="EndnoteReference"/>
        </w:rPr>
        <w:endnoteRef/>
      </w:r>
      <w:r>
        <w:t xml:space="preserve"> </w:t>
      </w:r>
      <w:r>
        <w:t xml:space="preserve">[CITATION MISSING — endnote text absent from the merged draft; recover from the chapter source file]</w:t>
      </w:r>
    </w:p>
  </w:endnote>
  <w:endnote w:id="132">
    <w:p>
      <w:pPr>
        <w:pStyle w:val="EndnoteText"/>
      </w:pPr>
      <w:r>
        <w:rPr>
          <w:rStyle w:val="EndnoteReference"/>
        </w:rPr>
        <w:endnoteRef/>
      </w:r>
      <w:r>
        <w:t xml:space="preserve"> </w:t>
      </w:r>
      <w:r>
        <w:t xml:space="preserve">[CITATION MISSING — endnote text absent from the merged draft; recover from the chapter source file]</w:t>
      </w:r>
    </w:p>
  </w:endnote>
  <w:endnote w:id="133">
    <w:p>
      <w:pPr>
        <w:pStyle w:val="EndnoteText"/>
      </w:pPr>
      <w:r>
        <w:rPr>
          <w:rStyle w:val="EndnoteReference"/>
        </w:rPr>
        <w:endnoteRef/>
      </w:r>
      <w:r>
        <w:t xml:space="preserve"> </w:t>
      </w:r>
      <w:r>
        <w:t xml:space="preserve">[CITATION MISSING — endnote text absent from the merged draft; recover from the chapter source file]</w:t>
      </w:r>
    </w:p>
  </w:endnote>
  <w:endnote w:id="134">
    <w:p>
      <w:pPr>
        <w:pStyle w:val="EndnoteText"/>
      </w:pPr>
      <w:r>
        <w:rPr>
          <w:rStyle w:val="EndnoteReference"/>
        </w:rPr>
        <w:endnoteRef/>
      </w:r>
      <w:r>
        <w:t xml:space="preserve"> </w:t>
      </w:r>
      <w:r>
        <w:t xml:space="preserve">[CITATION MISSING — endnote text absent from the merged draft; recover from the chapter source file]</w:t>
      </w:r>
    </w:p>
  </w:endnote>
  <w:endnote w:id="135">
    <w:p>
      <w:pPr>
        <w:pStyle w:val="EndnoteText"/>
      </w:pPr>
      <w:r>
        <w:rPr>
          <w:rStyle w:val="EndnoteReference"/>
        </w:rPr>
        <w:endnoteRef/>
      </w:r>
      <w:r>
        <w:t xml:space="preserve"> </w:t>
      </w:r>
      <w:r>
        <w:t xml:space="preserve">[CITATION MISSING — endnote text absent from the merged draft; recover from the chapter source file]</w:t>
      </w:r>
    </w:p>
  </w:endnote>
  <w:endnote w:id="136">
    <w:p>
      <w:pPr>
        <w:pStyle w:val="EndnoteText"/>
      </w:pPr>
      <w:r>
        <w:rPr>
          <w:rStyle w:val="EndnoteReference"/>
        </w:rPr>
        <w:endnoteRef/>
      </w:r>
      <w:r>
        <w:t xml:space="preserve"> </w:t>
      </w:r>
      <w:r>
        <w:t xml:space="preserve">[CITATION MISSING — endnote text absent from the merged draft; recover from the chapter source file]</w:t>
      </w:r>
    </w:p>
  </w:endnote>
  <w:endnote w:id="137">
    <w:p>
      <w:pPr>
        <w:pStyle w:val="EndnoteText"/>
      </w:pPr>
      <w:r>
        <w:rPr>
          <w:rStyle w:val="EndnoteReference"/>
        </w:rPr>
        <w:endnoteRef/>
      </w:r>
      <w:r>
        <w:t xml:space="preserve"> </w:t>
      </w:r>
      <w:r>
        <w:t xml:space="preserve">[CITATION MISSING — endnote text absent from the merged draft; recover from the chapter source file]</w:t>
      </w:r>
    </w:p>
  </w:endnote>
  <w:endnote w:id="138">
    <w:p>
      <w:pPr>
        <w:pStyle w:val="EndnoteText"/>
      </w:pPr>
      <w:r>
        <w:rPr>
          <w:rStyle w:val="EndnoteReference"/>
        </w:rPr>
        <w:endnoteRef/>
      </w:r>
      <w:r>
        <w:t xml:space="preserve"> </w:t>
      </w:r>
      <w:r>
        <w:t xml:space="preserve">[CITATION MISSING — endnote text absent from the merged draft; recover from the chapter source file]</w:t>
      </w:r>
    </w:p>
  </w:endnote>
  <w:endnote w:id="139">
    <w:p>
      <w:pPr>
        <w:pStyle w:val="EndnoteText"/>
      </w:pPr>
      <w:r>
        <w:rPr>
          <w:rStyle w:val="EndnoteReference"/>
        </w:rPr>
        <w:endnoteRef/>
      </w:r>
      <w:r>
        <w:t xml:space="preserve"> </w:t>
      </w:r>
      <w:r>
        <w:t xml:space="preserve">[CITATION MISSING — endnote text absent from the merged draft; recover from the chapter source file]</w:t>
      </w:r>
    </w:p>
  </w:endnote>
  <w:endnote w:id="140">
    <w:p>
      <w:pPr>
        <w:pStyle w:val="EndnoteText"/>
      </w:pPr>
      <w:r>
        <w:rPr>
          <w:rStyle w:val="EndnoteReference"/>
        </w:rPr>
        <w:endnoteRef/>
      </w:r>
      <w:r>
        <w:t xml:space="preserve"> </w:t>
      </w:r>
      <w:r>
        <w:t xml:space="preserve">[CITATION MISSING — endnote text absent from the merged draft; recover from the chapter source file]</w:t>
      </w:r>
    </w:p>
  </w:endnote>
  <w:endnote w:id="141">
    <w:p>
      <w:pPr>
        <w:pStyle w:val="EndnoteText"/>
      </w:pPr>
      <w:r>
        <w:rPr>
          <w:rStyle w:val="EndnoteReference"/>
        </w:rPr>
        <w:endnoteRef/>
      </w:r>
      <w:r>
        <w:t xml:space="preserve"> </w:t>
      </w:r>
      <w:r>
        <w:t xml:space="preserve">[CITATION MISSING — endnote text absent from the merged draft; recover from the chapter source file]</w:t>
      </w:r>
    </w:p>
  </w:endnote>
  <w:endnote w:id="143">
    <w:p>
      <w:pPr>
        <w:pStyle w:val="EndnoteText"/>
      </w:pPr>
      <w:r>
        <w:rPr>
          <w:rStyle w:val="EndnoteReference"/>
        </w:rPr>
        <w:endnoteRef/>
      </w:r>
      <w:r>
        <w:t xml:space="preserve"> </w:t>
      </w:r>
      <w:r>
        <w:t xml:space="preserve">[CITATION MISSING — endnote text absent from the merged draft; recover from the chapter source file]</w:t>
      </w:r>
    </w:p>
  </w:endnote>
  <w:endnote w:id="144">
    <w:p>
      <w:pPr>
        <w:pStyle w:val="EndnoteText"/>
      </w:pPr>
      <w:r>
        <w:rPr>
          <w:rStyle w:val="EndnoteReference"/>
        </w:rPr>
        <w:endnoteRef/>
      </w:r>
      <w:r>
        <w:t xml:space="preserve"> </w:t>
      </w:r>
      <w:r>
        <w:t xml:space="preserve">[CITATION MISSING — endnote text absent from the merged draft; recover from the chapter source file]</w:t>
      </w:r>
    </w:p>
  </w:endnote>
  <w:endnote w:id="145">
    <w:p>
      <w:pPr>
        <w:pStyle w:val="EndnoteText"/>
      </w:pPr>
      <w:r>
        <w:rPr>
          <w:rStyle w:val="EndnoteReference"/>
        </w:rPr>
        <w:endnoteRef/>
      </w:r>
      <w:r>
        <w:t xml:space="preserve"> </w:t>
      </w:r>
      <w:r>
        <w:t xml:space="preserve">[CITATION MISSING — endnote text absent from the merged draft; recover from the chapter source file]</w:t>
      </w:r>
    </w:p>
  </w:endnote>
  <w:endnote w:id="147">
    <w:p>
      <w:pPr>
        <w:pStyle w:val="EndnoteText"/>
      </w:pPr>
      <w:r>
        <w:rPr>
          <w:rStyle w:val="EndnoteReference"/>
        </w:rPr>
        <w:endnoteRef/>
      </w:r>
      <w:r>
        <w:t xml:space="preserve"> </w:t>
      </w:r>
      <w:r>
        <w:t xml:space="preserve">[CITATION MISSING — endnote text absent from the merged draft; recover from the chapter source file]</w:t>
      </w:r>
    </w:p>
  </w:endnote>
  <w:endnote w:id="148">
    <w:p>
      <w:pPr>
        <w:pStyle w:val="EndnoteText"/>
      </w:pPr>
      <w:r>
        <w:rPr>
          <w:rStyle w:val="EndnoteReference"/>
        </w:rPr>
        <w:endnoteRef/>
      </w:r>
      <w:r>
        <w:t xml:space="preserve"> </w:t>
      </w:r>
      <w:r>
        <w:t xml:space="preserve">[CITATION MISSING — endnote text absent from the merged draft; recover from the chapter source file]</w:t>
      </w:r>
    </w:p>
  </w:endnote>
  <w:endnote w:id="149">
    <w:p>
      <w:pPr>
        <w:pStyle w:val="EndnoteText"/>
      </w:pPr>
      <w:r>
        <w:rPr>
          <w:rStyle w:val="EndnoteReference"/>
        </w:rPr>
        <w:endnoteRef/>
      </w:r>
      <w:r>
        <w:t xml:space="preserve"> </w:t>
      </w:r>
      <w:r>
        <w:t xml:space="preserve">[CITATION MISSING — endnote text absent from the merged draft; recover from the chapter source file]</w:t>
      </w:r>
    </w:p>
  </w:endnote>
  <w:endnote w:id="150">
    <w:p>
      <w:pPr>
        <w:pStyle w:val="EndnoteText"/>
      </w:pPr>
      <w:r>
        <w:rPr>
          <w:rStyle w:val="EndnoteReference"/>
        </w:rPr>
        <w:endnoteRef/>
      </w:r>
      <w:r>
        <w:t xml:space="preserve"> </w:t>
      </w:r>
      <w:r>
        <w:t xml:space="preserve">[CITATION MISSING — endnote text absent from the merged draft; recover from the chapter source file]</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2026-08-10T01:56:50Z</dcterms:created>
  <dcterms:modified xsi:type="dcterms:W3CDTF">2026-08-10T01:56:50Z</dcterms:modified>
</cp:coreProperties>
</file>

<file path=docProps/custom.xml><?xml version="1.0" encoding="utf-8"?>
<Properties xmlns="http://schemas.openxmlformats.org/officeDocument/2006/custom-properties" xmlns:vt="http://schemas.openxmlformats.org/officeDocument/2006/docPropsVTypes"/>
</file>