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chapter-8-the-lebanon-decade"/>
    <w:p>
      <w:pPr>
        <w:pStyle w:val="Heading1"/>
      </w:pPr>
      <w:r>
        <w:t xml:space="preserve">Chapter 8 — The Lebanon Decade</w:t>
      </w:r>
    </w:p>
    <w:p>
      <w:pPr>
        <w:pStyle w:val="FirstParagraph"/>
      </w:pPr>
      <w:r>
        <w:rPr>
          <w:iCs/>
          <w:i/>
        </w:rPr>
        <w:t xml:space="preserve">1982–2000</w:t>
      </w:r>
    </w:p>
    <w:p>
      <w:pPr>
        <w:pStyle w:val="BodyText"/>
      </w:pPr>
      <w:r>
        <w:t xml:space="preserve">Chapter 8</w:t>
      </w:r>
    </w:p>
    <w:p>
      <w:pPr>
        <w:pStyle w:val="BodyText"/>
      </w:pPr>
      <w:r>
        <w:t xml:space="preserve">The Asymmetric Turn</w:t>
      </w:r>
    </w:p>
    <w:p>
      <w:pPr>
        <w:pStyle w:val="BodyText"/>
      </w:pPr>
      <w:r>
        <w:t xml:space="preserve">Lebanon, the Security Zone, the Intifada, and the Premier Three at Their Peak, 1982–2000</w:t>
      </w:r>
    </w:p>
    <w:bookmarkStart w:id="24" w:name="the-beqaa-valley-9-june-1982"/>
    <w:p>
      <w:pPr>
        <w:pStyle w:val="Heading2"/>
      </w:pPr>
      <w:r>
        <w:t xml:space="preserve">8.1 The Beqaa Valley, 9 June 1982</w:t>
      </w:r>
    </w:p>
    <w:p>
      <w:pPr>
        <w:pStyle w:val="FirstParagraph"/>
      </w:pPr>
      <w:r>
        <w:t xml:space="preserve">A few minutes past two o’clock on the afternoon of Wednesday, 9 June 1982, the Israeli Air Force began the operation that, in my own reading of the institutional history this chapter is about to trace, marked both the highest point of the conventional military doctrine the previous two chapters have reconstructed and the last moment at which that doctrine would deliver a strategic result the Israeli political and military leadership could draw on. The operation was Mole Cricket 19 — Artzav 19 in the IDF’s Hebrew code — and its target was the network of nineteen Syrian surface-to-air missile batteries that had been deployed across the Lebanese Beqaa Valley since the spring of 1981, in support of the Syrian intervention in the Lebanese civil war and against the Israeli air operations that had begun three days earlier under the broader operational umbrella of Operation Peace for Galilee.</w:t>
      </w:r>
      <w:r>
        <w:rPr>
          <w:rStyle w:val="EndnoteReference"/>
        </w:rPr>
        <w:endnoteReference w:id="20"/>
      </w:r>
    </w:p>
    <w:p>
      <w:pPr>
        <w:pStyle w:val="BodyText"/>
      </w:pPr>
      <w:r>
        <w:t xml:space="preserve">The IAF had been preparing for the SAM problem for nine years. Since the Yom Kippur War of October 1973, when Egyptian and Syrian surface-to-air missiles had inflicted on the IAF the casualty rate of approximately one fighter for every twelve sorties — a rate the institution had judged operationally unsustainable — every major institutional reform inside the IDF had been organized, in some measure, around the requirement of finding an answer to the SAM. Muki Betser’s Shaldag founding, the institutional sequence the previous chapter has traced, had been one expression of the requirement. The portable laser designator that Betser had spent a year, between 1974 and 1975, lobbying through the IDF’s procurement bureaucracy had been built for precisely this kind of operation. So had the Kachlilit — the ground-launched Shrike anti-radar missile that the Eilam-Levkovich team at MBT had developed in the post-Yom Kippur emergency under the operational name Potiphar. So had the IAF’s first integrated electronic-warfare aircraft, the modified Boeing 707 designated Ram (Thunder). The Beqaa Valley operation on the afternoon of 9 June 1982 brought all of these together, in the configuration the IAF had been refining for nine years, against the precise target type that nine years of institutional reform had been designed to defeat.</w:t>
      </w:r>
      <w:r>
        <w:rPr>
          <w:rStyle w:val="EndnoteReference"/>
        </w:rPr>
        <w:endnoteReference w:id="21"/>
      </w:r>
    </w:p>
    <w:p>
      <w:pPr>
        <w:pStyle w:val="BodyText"/>
      </w:pPr>
      <w:r>
        <w:t xml:space="preserve">The operation took, by the IAF’s own subsequent reconstruction, less than two hours. The Israeli combined-arms package that flew into the Beqaa that afternoon included reconnaissance drones to mark the SAM battery locations in real time; Boeing 707 Ram electronic-warfare aircraft to suppress the Syrian radar emissions; F-4 Phantom Kurnass aircraft armed with American AGM-78 Standard ARM anti-radiation missiles and Israeli-modified Tadmit loitering weapons; F-15 Baz and F-16 Netz air-superiority fighters to engage the Syrian MiGs that would inevitably scramble in defense; and ground-launched Israeli Shrike batteries operating from the Israeli side of the frontier under Major Yiftach Spector’s command of the IAF Operations Directorate. By approximately four o’clock in the afternoon — less than ninety minutes after the first Israeli reconnaissance drone had crossed the Lebanese frontier — seventeen of the nineteen Syrian SAM batteries had been destroyed, the Syrian air-defense radar network across the Beqaa had been comprehensively suppressed, and the IAF had established the air supremacy over Lebanese airspace it would maintain, with brief exceptions, for the following four decades.</w:t>
      </w:r>
      <w:r>
        <w:rPr>
          <w:rStyle w:val="EndnoteReference"/>
        </w:rPr>
        <w:endnoteReference w:id="22"/>
      </w:r>
    </w:p>
    <w:p>
      <w:pPr>
        <w:pStyle w:val="BodyText"/>
      </w:pPr>
      <w:r>
        <w:t xml:space="preserve">The Syrian Air Force responded as the IAF planners had calculated it would. Over the afternoon of 9 June and into the morning of 10 June, the Syrian command committed approximately one hundred MiG-21 and MiG-23 fighter aircraft against the Israeli formations operating over the Beqaa. The aerial engagement that resulted — what the IAF would call, in its institutional self-celebration of the operation, the largest jet-versus-jet combat since the Korean War — produced an Israeli kill ratio that the IAF had not approached since the opening hours of the Six-Day War fifteen years earlier. Eighty-two Syrian aircraft were shot down. The Israeli loss was one F-4 Phantom, and the pilot ejected over Israeli-controlled territory and was recovered alive within hours. The aggregate Syrian air and air-defense loss across the forty-eight-hour period of 9–10 June 1982 was a loss the Syrian Air Force would, in the institutional reckoning of the Soviet aviation advisers who were assisting the Syrian command at the time, require nearly a decade to recover from.</w:t>
      </w:r>
      <w:r>
        <w:rPr>
          <w:rStyle w:val="EndnoteReference"/>
        </w:rPr>
        <w:endnoteReference w:id="23"/>
      </w:r>
    </w:p>
    <w:p>
      <w:pPr>
        <w:pStyle w:val="BodyText"/>
      </w:pPr>
      <w:r>
        <w:t xml:space="preserve">What concerns me here is not the operational triumph. The operational details of Artzav 19 have been extensively reconstructed by Eliezer Cohen and Zvi Lavi, by Iftach Spector himself, by Benny Morris, and by every serious institutional history of the Israeli Air Force published in the past forty years. What concerns me, in the institutional argument this chapter is about to make, is the structural contrast between the operational profile Artzav 19 fits and the operational profile every major engagement the IDF Special Operations Forces will be asked to undertake for the next eighteen years will fit. Artzav 19 was a conventional operation against a conventional target. Its planning required nine years of institutional preparation. Its execution required two hours. Its measurable result — Syrian SAM batteries destroyed, Syrian aircraft shot down, Israeli air supremacy established — was unambiguous within forty-eight hours. The institutional reward to the IAF leadership was immediate and substantial. David Ivry, the IAF commander on the afternoon of 9 June, would within four years become the deputy chief of the IDF General Staff. Iftach Spector would, within the same period, command the IAF Operations Directorate. The career trajectories of every senior IAF officer associated with the operation would, in the years that followed, be defined by their proximity to it.</w:t>
      </w:r>
    </w:p>
    <w:p>
      <w:pPr>
        <w:pStyle w:val="BodyText"/>
      </w:pPr>
      <w:r>
        <w:t xml:space="preserve">I have argued, in earlier chapters of this book and again now, that the institutional pattern of the Israeli military is best understood through the prism of entrepreneurial figures whose biographies the book has traced in detail. The institutional pattern of the next eighteen years, however, will defeat the entrepreneurial frame. The challenges that the IDF Special Operations Forces will confront between the summer of 1982 and the spring of 2000 will not be the kind of challenges that can be solved by a single entrepreneur with a single doctrinal vision, however brilliantly executed. They will be chronic, asymmetric, distributed, and resistant to operational closure of the Artzav 19 type. The institutional culture of the SOF community — a culture built, as I have shown, around the operational logic of the decisive raid, the precise insertion, the unambiguous outcome — will be, across the period this chapter reconstructs, increasingly mismatched to the operational requirements the political leadership will place on it. The decade between Artzav 19 and the May 2000 withdrawal from southern Lebanon will be, in my reading, the decade in which the Israeli SOF community discovers — slowly, painfully, and never fully — that the entrepreneurial frame on which it had built its institutional identity does not, by itself, equip it for the kind of war it is now being asked to fight.</w:t>
      </w:r>
    </w:p>
    <w:p>
      <w:pPr>
        <w:pStyle w:val="BodyText"/>
      </w:pPr>
      <w:r>
        <w:t xml:space="preserve">That is the argument. The chapter that follows is the institutional history that supports it.</w:t>
      </w:r>
    </w:p>
    <w:bookmarkEnd w:id="24"/>
    <w:bookmarkStart w:id="31" w:name="the-first-lebanon-war-juneseptember-1982"/>
    <w:p>
      <w:pPr>
        <w:pStyle w:val="Heading2"/>
      </w:pPr>
      <w:r>
        <w:t xml:space="preserve">8.2 The First Lebanon War, June–September 1982</w:t>
      </w:r>
    </w:p>
    <w:p>
      <w:pPr>
        <w:pStyle w:val="FirstParagraph"/>
      </w:pPr>
      <w:r>
        <w:t xml:space="preserve">The operational context within which Artzav 19 took place was the first major Israeli ground campaign since the Yom Kippur War of October 1973. Operation Peace for Galilee — Mivtza Shlom HaGalil — had begun on the morning of Sunday, 6 June 1982, three days after the attempted assassination in London of the Israeli ambassador to the United Kingdom, Shlomo Argov, by operatives of the Abu Nidal faction. The Argov shooting, which left Argov in a coma he would not recover from for the next twenty-one years, supplied the casus belli the Begin government had been waiting for since the spring. The operational objective of Peace for Galilee, as Defense Minister Ariel Sharon would formally present it to the Israeli cabinet on the night of 5 June, was the destruction of the Palestine Liberation Organization’s military infrastructure within forty kilometers of the Israeli northern border. The actual operational plan Sharon had developed in conjunction with Chief of Staff Rafael Eitan — and which neither Begin nor most of the cabinet had been fully briefed on at the time of authorization — extended the IDF’s operational reach to Beirut itself, ninety kilometers north of the border, and contemplated the destruction not only of the PLO’s military infrastructure but of the PLO as a political organization in Lebanon. The forty-kilometer commitment had been a fiction. The actual operation, as it would unfold over the following ten weeks, would carry the IDF to the southern outskirts of Beirut by the second week of June, would impose a Western-style urban siege on the Lebanese capital through July and August, and would force the negotiated evacuation of the PLO from Lebanon in the first days of September 1982.</w:t>
      </w:r>
      <w:r>
        <w:rPr>
          <w:rStyle w:val="EndnoteReference"/>
        </w:rPr>
        <w:endnoteReference w:id="25"/>
      </w:r>
    </w:p>
    <w:p>
      <w:pPr>
        <w:pStyle w:val="BodyText"/>
      </w:pPr>
      <w:r>
        <w:t xml:space="preserve">The SOF involvement in the opening phase of the war was, in operational terms, substantial. Sayeret Tzanchanim — the paratroopers’ reconnaissance company that the previous chapter has traced from its 1956 founding through its post-Yom Kippur reconstitution — was committed in the opening hours to seize the Beaufort Castle, the Crusader-era fortress overlooking the Litani River that had served, since 1976, as a PLO observation and fire-base position above the Israeli border settlements of the upper Galilee. The Beaufort attack was, in the institutional memory of the IDF, the first operational engagement of the war. The fortress was held by a PLO garrison of approximately fifty operators. Sayeret Golani — the Golani Brigade reconnaissance company under the command of Major Goni Hernik — was assigned the ground assault. The assault, which began at approximately 11:00 p.m. on the night of 6 June and concluded with the fortress in Israeli hands by 03:00 the following morning, was completed at a cost of six dead Israeli operators, including Hernik himself. Hernik’s death on the Beaufort would become, in the broader Israeli cultural reception of the war, a touchstone of the war’s institutional cost — the kind of operational casualty the IDF had not absorbed in a single small-unit engagement since the early 1970s.</w:t>
      </w:r>
      <w:r>
        <w:rPr>
          <w:rStyle w:val="EndnoteReference"/>
        </w:rPr>
        <w:endnoteReference w:id="26"/>
      </w:r>
    </w:p>
    <w:p>
      <w:pPr>
        <w:pStyle w:val="BodyText"/>
      </w:pPr>
      <w:r>
        <w:t xml:space="preserve">Shaldag — the unit Muki Betser had constituted in 1974, that the previous chapter has traced through its 1977 independence and its 1983 absorption into the Air Force — conducted, in the same opening hours, what would be the first major operational employment of the IAF-integrated SOF concept the institutional reform had been building toward. Shaldag teams were inserted in the early hours of 6 June into the Lebanese coastal plain, into the southern approaches of Tyre, and into the eastern Beqaa, with the specific operational task of identifying and marking with portable laser designators the Syrian and PLO command-and-control nodes, ammunition stockpiles, and surface-to-surface missile launchers that the IAF was scheduled to strike in the operation’s opening hours. The institutional concept Betser had argued for through the late 1970s and that I traced in Chapter 7 — that a small unit of precision-trained operators, equipped with portable target-marking systems, could multiply the effectiveness of IAF precision-guided munitions by an order of magnitude — received, in the opening forty-eight hours of Peace for Galilee, its first large-scale operational test. The test confirmed Betser’s conception. Targets that the IAF’s pilots could not see from altitude because of cloud cover, terrain masking, or the operational tempo of the air campaign were illuminated by Shaldag laser designators on the ground, and were destroyed by IAF strikes with single-aircraft accuracy that the air-only profile of the IAF’s pre-Shaldag operations had not been able to achieve.</w:t>
      </w:r>
      <w:r>
        <w:rPr>
          <w:rStyle w:val="EndnoteReference"/>
        </w:rPr>
        <w:endnoteReference w:id="27"/>
      </w:r>
    </w:p>
    <w:p>
      <w:pPr>
        <w:pStyle w:val="BodyText"/>
      </w:pPr>
      <w:r>
        <w:t xml:space="preserve">Sayeret Matkal — the unit Avraham Arnan had founded in 1957, whose institutional history I traced in Chapter 5 and whose post-1973 drift Chapter 7 examined — was committed in the same hours to a series of deep-reconnaissance missions into eastern Lebanon and into the Syrian-controlled positions north of the Beqaa. The specific operational details of the Sayeret Matkal missions remain, more than four decades after the war, partly classified; the institutional pattern, however, is consistent with what the unit had been doing across the late 1970s — long-range insertion by helicopter at night, multi-day reconnaissance of designated military and intelligence targets, recovery from extraction points the unit’s operators had selected and the IAF’s helicopter pilots could reach. The unit’s operational record in the war was, by every account I have been able to consult, professionally executed and operationally productive. It was also, by the same accounts, institutionally peripheral. The decisive operations of the war — the armored advance up the coastal road, the helicopter-borne air assault into the Beqaa, the destruction of the Syrian Air Force on 9–10 June, the urban siege of Beirut through July and August — were not Sayeret Matkal operations. They were combined-arms operations in which the IDF’s conventional formations carried the institutional weight. The SOF community, in the institutional landscape Peace for Galilee produced, was a supplement to the conventional force rather than its decisive instrument.</w:t>
      </w:r>
      <w:r>
        <w:rPr>
          <w:rStyle w:val="EndnoteReference"/>
        </w:rPr>
        <w:endnoteReference w:id="28"/>
      </w:r>
    </w:p>
    <w:p>
      <w:pPr>
        <w:pStyle w:val="BodyText"/>
      </w:pPr>
      <w:r>
        <w:t xml:space="preserve">The institutional pattern would change, however, as the war’s strategic situation deteriorated. By the third week of June 1982 the IDF had reached the southern outskirts of Beirut. The siege that followed — through the months of July and August, with daily artillery bombardment of West Beirut and intermittent IAF strikes against PLO positions inside the city — was a different kind of war than the conventional combined-arms operations of the opening fortnight. The PLO operators inside Beirut had no fixed positions the IAF could strike from altitude. They were dispersed across the civilian population of West Beirut. They were defended, in places, by Syrian Army units the Israeli command had no operational appetite to engage directly inside an Arab capital city. The institutional instrument the IDF needed for this kind of war — small teams of operators capable of penetrating the urban environment, identifying specific PLO targets, conducting precision operations against those targets, and withdrawing without escalating into the conventional engagements the political leadership wanted to avoid — was the SOF community. The SOF community’s institutional centrality to the war, in other words, increased in proportion to the war’s institutional movement away from the conventional pattern Artzav 19 exemplified and toward the asymmetric pattern the rest of the decade would settle into.</w:t>
      </w:r>
      <w:r>
        <w:rPr>
          <w:rStyle w:val="EndnoteReference"/>
        </w:rPr>
        <w:endnoteReference w:id="29"/>
      </w:r>
    </w:p>
    <w:p>
      <w:pPr>
        <w:pStyle w:val="BodyText"/>
      </w:pPr>
      <w:r>
        <w:t xml:space="preserve">The PLO evacuation of Beirut began on 21 August 1982 and was completed by 1 September. Approximately fifteen thousand PLO operators and their families left Lebanon for Tunisia, Yemen, Syria, and Sudan, under the protection of an American-French-Italian multinational force that the United States had organized to supervise the withdrawal. The strategic objective Sharon had set for the war — the destruction of the PLO as a political organization in Lebanon — had been, by the standards of the September 1982 institutional moment, achieved. The PLO was out. The Israeli leadership had reason to believe, in those days, that the war was won. What we know, in the institutional history that followed, is that the institutional moment of September 1982 was the high-water mark of the Israeli operational position in Lebanon and that everything that came after — the Sabra and Shatila massacre two weeks later, the IDF’s prolonged occupation of southern Lebanon, the rise of Hezbollah, the eighteen-year casualty stream that would close only with the May 2000 withdrawal — was a deterioration from that high-water mark. The institutional consequences of the war’s strategic deterioration are the subject of the next two sections.</w:t>
      </w:r>
      <w:r>
        <w:rPr>
          <w:rStyle w:val="EndnoteReference"/>
        </w:rPr>
        <w:endnoteReference w:id="30"/>
      </w:r>
    </w:p>
    <w:bookmarkEnd w:id="31"/>
    <w:bookmarkStart w:id="38" w:name="X6fa6353f620d70b22f4ddb2ba02fa3bf20ea1b8"/>
    <w:p>
      <w:pPr>
        <w:pStyle w:val="Heading2"/>
      </w:pPr>
      <w:r>
        <w:t xml:space="preserve">8.3 The Lebanon Occupation and the Birth of Hezbollah, 1982–1985</w:t>
      </w:r>
    </w:p>
    <w:p>
      <w:pPr>
        <w:pStyle w:val="FirstParagraph"/>
      </w:pPr>
      <w:r>
        <w:t xml:space="preserve">The first institutional indication that the war’s outcome would not be what the Israeli leadership had projected came in the second week of September 1982. On the night of 16–17 September, Christian Phalangist militias under the command of Elie Hobeika entered the Palestinian refugee camps of Sabra and Shatila in West Beirut. The IDF had, in coordination with the Phalangist command and at Sharon’s personal authorization, encircled the camps and had agreed not to enter them itself, on the understanding that the Phalangist forces would conduct a security sweep against PLO remnants the United States had not removed in the evacuation of the previous month. What the Phalangists did, across the following thirty-six hours, was not a security sweep. It was a massacre. Between several hundred and three thousand Palestinian civilians — the exact number remains contested in the historical literature — were killed in the camps by Phalangist operators while IDF units stood at the camps’ perimeters and, in some accounts, illuminated the camps with flares at the Phalangists’ request. The international reaction was immediate and severe. Inside Israel, the political crisis the massacre produced was substantial. On 25 September approximately four hundred thousand Israelis demonstrated in Tel Aviv — at the time, one in every ten citizens of the state — demanding a commission of inquiry. The Kahan Commission, which the Begin government appointed under public pressure, would report in February 1983 that Sharon bore</w:t>
      </w:r>
      <w:r>
        <w:t xml:space="preserve"> </w:t>
      </w:r>
      <w:r>
        <w:t xml:space="preserve">“</w:t>
      </w:r>
      <w:r>
        <w:t xml:space="preserve">personal responsibility</w:t>
      </w:r>
      <w:r>
        <w:t xml:space="preserve">”</w:t>
      </w:r>
      <w:r>
        <w:t xml:space="preserve"> </w:t>
      </w:r>
      <w:r>
        <w:t xml:space="preserve">for the IDF’s failure to prevent the massacre and would recommend, in the institutional language Israeli inquiry commissions of the period used, that he be removed from the Defense Ministry. Sharon resigned the defense portfolio in February 1983 and was replaced by Moshe Arens.</w:t>
      </w:r>
      <w:r>
        <w:rPr>
          <w:rStyle w:val="EndnoteReference"/>
        </w:rPr>
        <w:endnoteReference w:id="32"/>
      </w:r>
    </w:p>
    <w:p>
      <w:pPr>
        <w:pStyle w:val="BodyText"/>
      </w:pPr>
      <w:r>
        <w:t xml:space="preserve">The Sabra and Shatila massacre marked, in my institutional reading of the period, the moment at which the war that had begun in June 1982 ceased to be an operation the Israeli political class could defend on the original strategic terms Sharon had proposed and became, instead, an operation the Israeli political class was looking for a way to exit. The exit, however, was not available. The IDF was, by the autumn of 1982, deeply embedded in Lebanon. The Phalangist allies on whom the original operational concept had depended had, in the assassination of President-elect Bashir Gemayel on 14 September 1982 — the event that had immediately preceded and operationally enabled the Sabra and Shatila massacre — lost the institutional leader through whom Sharon’s broader regional design had been mediated. The Christian-led Lebanese government Sharon had hoped to install in Beirut, and through which Israel had hoped to negotiate the formal peace treaty that would make the war’s costs strategically justifiable, was not, in the institutional configuration of late 1982 and early 1983, available. The peace treaty Sharon had negotiated with Amin Gemayel — Bashir’s brother and successor — was signed on 17 May 1983 but was never ratified by the Lebanese parliament and was, on 5 March 1984, formally repudiated by the Lebanese government. The institutional return on the war’s investment had become, by the spring of 1984, effectively zero.</w:t>
      </w:r>
      <w:r>
        <w:rPr>
          <w:rStyle w:val="EndnoteReference"/>
        </w:rPr>
        <w:endnoteReference w:id="33"/>
      </w:r>
    </w:p>
    <w:p>
      <w:pPr>
        <w:pStyle w:val="BodyText"/>
      </w:pPr>
      <w:r>
        <w:t xml:space="preserve">What had emerged in the institutional space the failed Maronite-Israeli alliance had opened was a movement the Israeli political and intelligence leadership had not, in the autumn of 1982, taken seriously and would not, until the casualties of the next three years accumulated, recognize as the principal strategic adversary the war had produced. The movement was Hezbollah. The institutional genealogy is by now well established. In the immediate aftermath of the Israeli invasion of June 1982, a small contingent of approximately fifteen hundred Iranian Revolutionary Guards under the command of Brigadier General Ahmad Motevaselian had arrived in the Beqaa Valley via Damascus, with Syrian authorization, to assist in organizing a Shia resistance to the Israeli occupation. The Iranian arrival had coincided with a parallel institutional schism within Lebanese Shia politics: the splitting of the existing Amal movement into a moderate wing under Nabih Berri and a radical wing under Hussein al-Musawi — the</w:t>
      </w:r>
      <w:r>
        <w:t xml:space="preserve"> </w:t>
      </w:r>
      <w:r>
        <w:t xml:space="preserve">“</w:t>
      </w:r>
      <w:r>
        <w:t xml:space="preserve">Islamic Amal</w:t>
      </w:r>
      <w:r>
        <w:t xml:space="preserve">”</w:t>
      </w:r>
      <w:r>
        <w:t xml:space="preserve"> </w:t>
      </w:r>
      <w:r>
        <w:t xml:space="preserve">of 1982 — that had taken the radical position that Lebanon’s salvation required a Khomeini-inspired Islamic transformation and an armed campaign against both the Israeli occupier and the Lebanese state. The two streams — Iranian Revolutionary Guards and Islamic Amal — converged across 1982 and 1983 into the institutional vehicle that, by the formal manifesto of 16 February 1985, would publicly identify itself as the Party of God: Hezbollah.</w:t>
      </w:r>
      <w:r>
        <w:rPr>
          <w:rStyle w:val="EndnoteReference"/>
        </w:rPr>
        <w:endnoteReference w:id="34"/>
      </w:r>
    </w:p>
    <w:p>
      <w:pPr>
        <w:pStyle w:val="BodyText"/>
      </w:pPr>
      <w:r>
        <w:t xml:space="preserve">Hezbollah’s operational doctrine, from its earliest months, departed from the operational doctrine of the PLO formations the IDF had defeated in the summer of 1982. The PLO’s military arm had been a quasi-conventional infantry formation. It had held positions; it had used identifiable military equipment; it had operated as a parallel state structure within Lebanon. Hezbollah’s military arm was different. It used the suicide bombing as a strategic instrument from its earliest operations. The 11 November 1982 bombing of the IDF headquarters in Tyre — an explosion that killed seventy-five Israeli soldiers and fourteen Lebanese prisoners and that the Israeli command initially attributed to a gas leak before the institutional acceptance of the operational reality some weeks later — was, in the post-1982 reconstruction of the Lebanese insurgency, the first major operational manifestation of the Hezbollah doctrine. The 18 April 1983 bombing of the American Embassy in West Beirut, which killed sixty-three; the 23 October 1983 bombings of the United States Marine Barracks and the French Multinational Force headquarters in Beirut, which killed two hundred forty-one American and fifty-eight French servicemen; the 4 November 1983 bombing of the IDF Tyre headquarters in its rebuilt location, which killed twenty-eight Israeli soldiers and thirty-two Lebanese prisoners — all of these were Hezbollah operations. None of them had a conventional military precedent the IDF or the American Marine command had been institutionally prepared to defend against. Each of them, in its own way, validated the operational premise on which Hezbollah was building its institutional identity: that small, motivated, religiously committed operators, prepared to die in the execution of an operation, could inflict on the conventional military forces of the major powers casualties on a scale the major powers’ political class would not, in the long term, absorb.</w:t>
      </w:r>
      <w:r>
        <w:rPr>
          <w:rStyle w:val="EndnoteReference"/>
        </w:rPr>
        <w:endnoteReference w:id="35"/>
      </w:r>
    </w:p>
    <w:p>
      <w:pPr>
        <w:pStyle w:val="BodyText"/>
      </w:pPr>
      <w:r>
        <w:t xml:space="preserve">The IDF’s institutional response to Hezbollah’s emergence, across 1983 and 1984, was uneven. The conventional Israeli military instruments — armored brigades, infantry brigades, the air force — had no operational doctrine for the kind of war Hezbollah was fighting. The SOF community had, in principle, the operational profile such a war would have required. In practice, however, the SOF community’s institutional energies in 1983 and 1984 were absorbed in two different directions. The first was Sayeret Matkal’s continued involvement in counterterrorism abroad — the hijacking-response capability the unit had built during the early 1970s, that the spring 1985 Naharia bus hostage crisis would shortly test again. The second was Shaldag’s institutional consolidation as the IAF’s organic ground force — the bureaucratic project Betser had brought to its closing institutional stage in 1983 and 1984, and which I traced in Chapter 7. Neither of these institutional energies was available, in the years 1983 and 1984, to address the Hezbollah problem. The institutional vehicle that would eventually be built for that purpose — Sayeret Egoz in its 1995 refounded configuration — was, in the years immediately after the first Lebanon war, a decade in the future.</w:t>
      </w:r>
      <w:r>
        <w:rPr>
          <w:rStyle w:val="EndnoteReference"/>
        </w:rPr>
        <w:endnoteReference w:id="36"/>
      </w:r>
    </w:p>
    <w:p>
      <w:pPr>
        <w:pStyle w:val="BodyText"/>
      </w:pPr>
      <w:r>
        <w:t xml:space="preserve">The IDF began its withdrawal from the Lebanese heartland in the second half of 1984 and completed the withdrawal in three stages between June 1985 and the end of the same year. The withdrawal was not a retreat in the conventional military sense. The IDF was not defeated in any operational engagement that would have forced the withdrawal. The withdrawal was, instead, a political decision the Peres government — which had taken office in September 1984 in the institutional configuration of the national unity government Peres and Yitzhak Shamir had assembled in the wake of the inconclusive July 1984 election — had reached on the institutional reasoning that the war was no longer producing strategic returns commensurate with the institutional cost. By the end of June 1985, the IDF had withdrawn to a strip of territory in southern Lebanon approximately ten to fifteen kilometers in depth along the Israel-Lebanon border. The Israeli government called this strip the Security Zone — Retzu’at HaBitachon in Hebrew. The next section of this chapter is about the institutional configuration the IDF maintained inside the Security Zone for the following fifteen years and the operational challenges that configuration produced.</w:t>
      </w:r>
      <w:r>
        <w:rPr>
          <w:rStyle w:val="EndnoteReference"/>
        </w:rPr>
        <w:endnoteReference w:id="37"/>
      </w:r>
    </w:p>
    <w:bookmarkEnd w:id="38"/>
    <w:bookmarkStart w:id="44" w:name="the-security-zone-19851990"/>
    <w:p>
      <w:pPr>
        <w:pStyle w:val="Heading2"/>
      </w:pPr>
      <w:r>
        <w:t xml:space="preserve">8.4 The Security Zone, 1985–1990</w:t>
      </w:r>
    </w:p>
    <w:p>
      <w:pPr>
        <w:pStyle w:val="FirstParagraph"/>
      </w:pPr>
      <w:r>
        <w:t xml:space="preserve">The Security Zone that the IDF maintained between the summer of 1985 and the spring of 2000 was, in its institutional architecture, a hybrid formation neither the Israeli Defense Forces nor the Israeli political class had a settled vocabulary for. It was not, in the conventional military sense, a buffer zone — a piece of demilitarized terrain that the parties to a conflict had agreed to keep clear of forces. It was Israeli-controlled territory inside a foreign country. The Israeli forces inside the zone operated under Israeli military law, not under Lebanese sovereignty, and conducted operations across the zone’s northern boundary into the rest of Lebanon as the operational situation required. The principal institutional instrument through which the IDF maintained the zone was the South Lebanon Army — Tzva Drom Levanon in Hebrew, al-Jaysh al-Lubnani al-Janubi in Arabic — a Christian-led Lebanese militia of approximately three thousand men under the command of Major General Antoine Lahad, that the IDF had organized in 1984 from the remnants of the Free Lebanese Army that Saad Haddad had built in the late 1970s. The SLA’s institutional function inside the Security Zone was the function of a proxy: it provided manpower, local knowledge, and political cover for the Israeli operational presence; the IDF provided the SLA with training, equipment, salaries, and the institutional protection of Israeli air power and artillery. The arrangement was, on the institutional template of the Cold War proxy relationships of the period, a reasonably efficient one. The arrangement was also, in the institutional terms Hezbollah’s operational doctrine of the same years was constructing, an operationally vulnerable one.</w:t>
      </w:r>
      <w:r>
        <w:rPr>
          <w:rStyle w:val="EndnoteReference"/>
        </w:rPr>
        <w:endnoteReference w:id="39"/>
      </w:r>
    </w:p>
    <w:p>
      <w:pPr>
        <w:pStyle w:val="BodyText"/>
      </w:pPr>
      <w:r>
        <w:t xml:space="preserve">The IDF maintained, across the fifteen years of the Security Zone’s existence, a network of approximately fifteen forward operating bases inside the zone. Each base was located on a hilltop position overlooking a particular sector of the Israel-Lebanon border. The bases carried names that would, across the long course of the Security Zone’s life, become part of the institutional vocabulary of Israeli military memory: Pumpkin (Dla’at); Beaufort; Karkom; Citron (Etrog); Cypress (Brosh); Reihan; Galgalit. Each base was garrisoned by an Israeli infantry company of approximately one hundred men, drawn from the standing infantry brigades — Golani, the Paratroopers, Givati after its 1983 founding, Nahal — in three-month rotations. The total Israeli ground presence inside the Security Zone, at any given moment, was approximately one thousand men in the infantry garrisons, plus several hundred in armored, artillery, engineering, intelligence, and command-and-control roles. The total IDF presence inside Lebanon at the steady state of the Security Zone period was, in other words, less than two thousand soldiers. The operational challenge those soldiers were asked to manage was a sustained insurgent campaign by Hezbollah’s military wing, which would across the late 1980s grow from a force of approximately five hundred trained operators to a force of several thousand, and which would across the same period evolve in its operational tactics from the suicide-bombing pattern of 1982–1984 toward the small-team ambush and improvised-explosive-device pattern that would, by the early 1990s, define the operational character of the Lebanese conflict.</w:t>
      </w:r>
      <w:r>
        <w:rPr>
          <w:rStyle w:val="EndnoteReference"/>
        </w:rPr>
        <w:endnoteReference w:id="40"/>
      </w:r>
    </w:p>
    <w:p>
      <w:pPr>
        <w:pStyle w:val="BodyText"/>
      </w:pPr>
      <w:r>
        <w:t xml:space="preserve">The institutional inadequacy of the three-month rotation pattern became, in the operational experience of the IDF’s standing infantry brigades through the second half of the 1980s, increasingly visible. The pattern’s institutional logic had been straightforward: rotating fresh battalions through the Security Zone every three months would keep the garrisoning force at high operational readiness, would avoid the institutional erosion that prolonged deployment of any single unit in a demanding environment would produce, and would distribute the institutional cost of the deployment across the IDF’s standing infantry capacity. The pattern’s institutional cost, however, was that no infantry battalion deployed to the Security Zone in any three-month cycle had the time to develop the operational familiarity with its sector’s terrain, with the local Lebanese population, with the patterns of Hezbollah activity, or with the SLA personnel on whom the operational arrangement depended. Each new battalion arrived at its assigned outpost as institutional strangers. Each new battalion spent its first month learning the terrain and the patterns. Each new battalion was, in the operational assessment of every former battalion commander I have been able to consult, just becoming operationally effective in its second month — and was rotated out at the end of its third. Hezbollah, on the other side of the operational line, faced the opposite institutional condition. Its operators were local. They knew the terrain. They knew the population. They knew the SLA. They could observe each new IDF battalion’s three-month cycle and could time their operations to the institutional inflection points the cycle produced — the first weeks of a new rotation, when the incoming battalion was still institutionally disoriented; the last weeks, when the outgoing battalion was institutionally focused on its imminent departure.</w:t>
      </w:r>
      <w:r>
        <w:rPr>
          <w:rStyle w:val="EndnoteReference"/>
        </w:rPr>
        <w:endnoteReference w:id="41"/>
      </w:r>
    </w:p>
    <w:p>
      <w:pPr>
        <w:pStyle w:val="BodyText"/>
      </w:pPr>
      <w:r>
        <w:t xml:space="preserve">The casualty pattern the three-month rotation produced was, across the second half of the 1980s, sufficient to keep the Lebanese conflict at the institutional periphery of Israeli political life — twenty-five to forty IDF dead per year through the late 1980s — but insufficient to force the institutional reform that the operational inadequacy of the rotation pattern, on the institutional assessment of the Northern Command staff officers who were responsible for the zone, would have required. The two institutional responses the Northern Command attempted, across the late 1980s and into the early 1990s, were the consolidation of the Lebanese intelligence apparatus and the gradual expansion of the SOF community’s involvement in Lebanese operations. The first response — through the institutional vehicle of the Tzevet Tofet intelligence cell that the Northern Command’s intelligence directorate constituted in 1987 — produced, over the following decade, a substantially improved Israeli SIGINT and HUMINT picture of Hezbollah’s operational planning. The second response — through the gradual rotation of Sayeret Tzanchanim, Sayeret Golani, and the broader paratroop reconnaissance establishment through Lebanese operations — produced a slowly accumulating body of SOF operational experience against Hezbollah that, by the early 1990s, would supply the institutional foundation for the refounding of Sayeret Egoz that Tranche 3 of this chapter will reconstruct.</w:t>
      </w:r>
      <w:r>
        <w:rPr>
          <w:rStyle w:val="EndnoteReference"/>
        </w:rPr>
        <w:endnoteReference w:id="42"/>
      </w:r>
    </w:p>
    <w:p>
      <w:pPr>
        <w:pStyle w:val="BodyText"/>
      </w:pPr>
      <w:r>
        <w:t xml:space="preserve">Neither response, however, was institutionally adequate to the operational problem the Security Zone presented. The institutional vehicle the IDF needed for the Lebanese war was a small, permanently dedicated, geographically specialized SOF formation — a unit whose entire institutional life would be organized around the operational requirements of southern Lebanon, whose operators would spend years rather than months inside the zone, whose institutional memory would build up across operational rotations rather than starting from zero each time. That institutional vehicle, however, would not exist until 1995. The decade that the institutional vehicle’s absence defined — the decade from the closing months of 1985 through the founding institutional discussions of late 1994 — was the decade in which the IDF paid, in casualties along the Lebanese frontier, the operational cost of an institutional gap the SOF community had not yet found the will to close. The next sections of this chapter take up the parallel institutional developments — the founding of Duvdevan in 1986, the outbreak of the First Intifada in 1987, the Gulf War of 1991, the Premier Three’s international rescue missions, the Oslo drawdown of the mid-1990s — that were unfolding across the same period, and that would shape the institutional configuration in which the eventual refounding of Sayeret Egoz, when it came, would have to be argued.</w:t>
      </w:r>
      <w:r>
        <w:rPr>
          <w:rStyle w:val="EndnoteReference"/>
        </w:rPr>
        <w:endnoteReference w:id="43"/>
      </w:r>
    </w:p>
    <w:bookmarkEnd w:id="44"/>
    <w:bookmarkStart w:id="51" w:name="X9a86b1f6231af627784d4bd77d05c8ed60203c8"/>
    <w:p>
      <w:pPr>
        <w:pStyle w:val="Heading2"/>
      </w:pPr>
      <w:r>
        <w:t xml:space="preserve">8.5 Duvdevan and the Mistarvim Revival, December 1986</w:t>
      </w:r>
    </w:p>
    <w:p>
      <w:pPr>
        <w:pStyle w:val="FirstParagraph"/>
      </w:pPr>
      <w:r>
        <w:t xml:space="preserve">In the closing weeks of 1986, a Central Command intelligence officer named Mossi Cohen completed the institutional argument that, two years later, would produce the unit that would become — alongside Sayeret Matkal, Shayetet 13, and Shaldag — one of the institutional centerpieces of the Israeli SOF community of the post-Cold War era. Cohen’s argument concerned the West Bank. The Israeli security control of the West Bank, since the 1967 occupation, had been organized around two principal instruments. The first was the conventional infantry brigade rotation pattern that the Central Command’s regional brigades — Ephraim, Etzion, Benjamin, Judea, Menashe, Samaria — had been executing across the territory’s six geographic sectors for nearly two decades. The second was the network of human intelligence sources that the Shin Bet had built across the Palestinian population of the West Bank since the immediate post-1967 period, and which by the mid-1980s had given the Shin Bet what its own institutional leadership characterized as a full operational picture of Palestinian political and paramilitary organization across the territory. The two instruments had been adequate to the operational situation of the late 1970s and the early 1980s. By the closing months of 1986, in Cohen’s institutional assessment of the situation in his Central Command intelligence cell, they were not.</w:t>
      </w:r>
      <w:r>
        <w:rPr>
          <w:rStyle w:val="EndnoteReference"/>
        </w:rPr>
        <w:endnoteReference w:id="45"/>
      </w:r>
    </w:p>
    <w:p>
      <w:pPr>
        <w:pStyle w:val="BodyText"/>
      </w:pPr>
      <w:r>
        <w:t xml:space="preserve">What had changed across the early and middle 1980s was the operational sophistication of the Palestinian paramilitary apparatus the Shin Bet’s intelligence picture was tracking. The Fatah, Popular Front, and Democratic Front formations operating clandestinely inside the West Bank had developed, by the mid-1980s, a cellular operational architecture in which individual operators were known to no more than three or four of their fellow operators in any given cell. The capture of a single Palestinian operative no longer rolled up a network; it produced, at most, the rolling up of a cell. The Shin Bet’s institutional response — increased intelligence pressure, expanded informant recruitment, more sophisticated interrogation techniques — was, in Cohen’s assessment, producing diminishing returns. What the institutional moment required, Cohen began to argue across 1985 and 1986 in the institutional discussions of the Central Command, was an operational instrument that could conduct precision arrests of specific Palestinian operatives inside the population centers of the West Bank, at the moment and place of the arresting force’s choosing, without the institutional cost of large-unit operations that would alert the surrounding cell network.</w:t>
      </w:r>
      <w:r>
        <w:rPr>
          <w:rStyle w:val="EndnoteReference"/>
        </w:rPr>
        <w:endnoteReference w:id="46"/>
      </w:r>
    </w:p>
    <w:p>
      <w:pPr>
        <w:pStyle w:val="BodyText"/>
      </w:pPr>
      <w:r>
        <w:t xml:space="preserve">The instrument Cohen proposed, in the institutional vocabulary of the period, was a mistarvim unit. Mistarvim — literally</w:t>
      </w:r>
      <w:r>
        <w:t xml:space="preserve"> </w:t>
      </w:r>
      <w:r>
        <w:t xml:space="preserve">“</w:t>
      </w:r>
      <w:r>
        <w:t xml:space="preserve">those who become like Arabs,</w:t>
      </w:r>
      <w:r>
        <w:t xml:space="preserve">”</w:t>
      </w:r>
      <w:r>
        <w:t xml:space="preserve"> </w:t>
      </w:r>
      <w:r>
        <w:t xml:space="preserve">from the Hebrew root ar-v — was a label with a specific institutional history that the previous chapters of this book have already traced. The original Mistarvim platoons of the Palmach had been founded in 1942 under the operational sponsorship of the SOE Syrian Scheme, had been composed principally of Mizrahi and Sephardi Jewish operators recruited from the Arabic-speaking communities of Mandate Palestine and from the early immigration waves from Iraq and Syria, and had been disbanded with the rest of the Palmach in the institutional rearrangement of November 1948. The institutional vehicle had not been reconstituted in the post-1948 IDF — although, as I noted in Chapter 4, the early Aman Unit 154 had attempted a small-scale Arabic-disguise capability that the Lavon Affair had effectively ended. By the time Mossi Cohen began arguing his proposal in the Central Command in 1985, the institutional category of the mistarvim had been dormant inside the IDF for nearly four decades.</w:t>
      </w:r>
      <w:r>
        <w:rPr>
          <w:rStyle w:val="EndnoteReference"/>
        </w:rPr>
        <w:endnoteReference w:id="47"/>
      </w:r>
    </w:p>
    <w:p>
      <w:pPr>
        <w:pStyle w:val="BodyText"/>
      </w:pPr>
      <w:r>
        <w:t xml:space="preserve">The proposal Cohen developed, with the support of the Central Command’s commanding officer Major General Ehud Barak — who had, by 1985, completed his term as commander of the Northern Command and had taken over Central Command in the institutional rotation that would eventually carry him to the IDF chief of staff position six years later — was for a small unit of approximately fifty operators, drawn from the IDF’s standing infantry brigades, selected for native or near-native Arabic-language ability and for the physical characteristics that would permit operational disguise within the Palestinian population, trained in the small-team operational doctrine the IDF SOF community had developed across the previous two decades, and tasked with the specific operational mission of conducting targeted arrests of named Palestinian operatives inside the urban centers of the West Bank. The unit would be institutionally subordinated to the Central Command rather than to Aman or the General Staff. It would operate in close coordination with the Shin Bet’s intelligence apparatus but would not be a Shin Bet unit. Its operational profile would be a return to the Palmach mistarvim template that the institutional memory of the IDF had, for forty years, set aside.</w:t>
      </w:r>
      <w:r>
        <w:rPr>
          <w:rStyle w:val="EndnoteReference"/>
        </w:rPr>
        <w:endnoteReference w:id="48"/>
      </w:r>
    </w:p>
    <w:p>
      <w:pPr>
        <w:pStyle w:val="BodyText"/>
      </w:pPr>
      <w:r>
        <w:t xml:space="preserve">The unit was authorized in the second half of 1986 under the institutional designation Unit 217. Its operational name was Duvdevan — Cherry. The institutional logic of the operational name remains, in the published Hebrew-language sources, unreconstructed; Cohen’s own institutional explanation, as quoted in one of the post-founding profiles of the unit, was that the name should be something the operators themselves liked, that would not provide any operational signal about the unit’s mission, and that would be short enough to be remembered. The first formal selection course for the unit was conducted in the early months of 1987 at a training base in central Israel. The first operational cohort, approximately forty operators, completed initial training in the autumn of the same year. The unit’s first operational deployment — to the West Bank in early 1988 — would coincide, by an accident of institutional timing, with the outbreak of the First Intifada, the institutional event that the next section of this chapter takes up and that would transform the institutional space the unit had been founded to occupy.</w:t>
      </w:r>
      <w:r>
        <w:rPr>
          <w:rStyle w:val="EndnoteReference"/>
        </w:rPr>
        <w:endnoteReference w:id="49"/>
      </w:r>
    </w:p>
    <w:p>
      <w:pPr>
        <w:pStyle w:val="BodyText"/>
      </w:pPr>
      <w:r>
        <w:t xml:space="preserve">The parallel institutional development in Gaza, where the Central Command’s institutional reach did not extend and where the Southern Command’s institutional energies were principally directed at the Egyptian frontier, was the founding of Shimshon — Samson — under the operational sponsorship of Major General Yitzhak Mordechai of the Southern Command, in early 1988. Shimshon was, in operational design and institutional doctrine, the Gaza analogue of Duvdevan. Its operators were drawn from the same kind of personnel pool. Its training was conducted on similar lines. Its operational mission was targeted arrests of Palestinian operatives inside the Gaza population. The two units — Duvdevan in the West Bank, Shimshon in Gaza — would, across the years of the First Intifada and the post-1993 Oslo period, constitute the IDF’s principal institutional response to the operational requirements of urban counterterrorism in the Palestinian territories. A third parallel formation, the Border Police’s mistarvim unit — Yamas — would emerge in the same period and would, in the institutional taxonomy of the Israeli counterterrorism apparatus, occupy a different institutional space than the two IDF formations: a police rather than military formation, with operators on long-term enlistment rather than the conventional three-year IDF service, and with operational authority to make arrests under Israeli civil law rather than under the military occupation orders that governed the IDF’s authority in the territories. Yamas would, across the following two decades, become — by the institutional assessment of the Israeli counterterrorism establishment — the most operationally effective of the three mistarvim formations, principally because its long-term professional personnel structure permitted operational specialization at a depth the conscript-based IDF units could not match.</w:t>
      </w:r>
      <w:r>
        <w:rPr>
          <w:rStyle w:val="EndnoteReference"/>
        </w:rPr>
        <w:endnoteReference w:id="50"/>
      </w:r>
    </w:p>
    <w:bookmarkEnd w:id="51"/>
    <w:bookmarkStart w:id="59" w:name="X5a54d9b520df16e6de5910a6e724be710a2820c"/>
    <w:p>
      <w:pPr>
        <w:pStyle w:val="Heading2"/>
      </w:pPr>
      <w:r>
        <w:t xml:space="preserve">8.6 The First Intifada, December 1987 – September 1993</w:t>
      </w:r>
    </w:p>
    <w:p>
      <w:pPr>
        <w:pStyle w:val="FirstParagraph"/>
      </w:pPr>
      <w:r>
        <w:t xml:space="preserve">The institutional event that would transform the operational space within which Duvdevan, Shimshon, and Yamas would conduct their work began on the afternoon of Tuesday, 8 December 1987, in the Gaza Strip. An Israeli truck driver, transporting Israeli-employed Palestinian day-workers from Tel Aviv back to the Erez crossing on the Gaza border, collided with a passenger car carrying four Palestinian residents of the Jabaliya refugee camp. The four Palestinians in the passenger car were killed. The rumor that spread across Gaza in the hours that followed — that the collision had been deliberate, that the truck driver had been an Israeli soldier, that the deaths had been an Israeli intelligence operation in retaliation for the stabbing death of an Israeli salesman in the Gaza market two days earlier — was not, in the post-Intifada institutional reconstruction of the period, factually accurate. What was institutionally factual, however, was that the rumor’s reception across the Palestinian population of Gaza and within forty-eight hours across the population of the West Bank produced, on a scale the Israeli security establishment had not anticipated and had no institutional vehicle to manage, the spontaneous mass uprising that would, across the following six years, become the Intifada — the Shaking-Off.</w:t>
      </w:r>
      <w:r>
        <w:rPr>
          <w:rStyle w:val="EndnoteReference"/>
        </w:rPr>
        <w:endnoteReference w:id="52"/>
      </w:r>
    </w:p>
    <w:p>
      <w:pPr>
        <w:pStyle w:val="BodyText"/>
      </w:pPr>
      <w:r>
        <w:t xml:space="preserve">The institutional shock of the Intifada to the IDF was, by every account I have consulted, substantial. The IDF had not had, since the 1948 war, a sustained operational experience of urban crowd-control operations at scale against a hostile civilian population. The institutional vocabulary the IDF used for operations in the territories — Bitachon Shotef, ongoing security — had been developed across the preceding twenty years for a different operational environment: small-scale infiltrations from across the Jordanian and Egyptian frontiers, occasional Palestinian paramilitary operations from inside the territories themselves, conventional counter-paramilitary work. The institutional vocabulary did not, in the closing days of December 1987 and the opening weeks of January 1988, have an operational concept adequate to the actual situation: tens of thousands of Palestinian civilians demonstrating in the streets of every population center in the West Bank and Gaza, conducting sustained campaigns of stone-throwing against IDF patrols, raising barricades in Palestinian neighborhoods, conducting general strikes against the Israeli economy, refusing to pay taxes to the Israeli civil administration. The IDF’s response across the early months of the Intifada — the deployment of conventional infantry battalions to the principal urban centers, the use of rubber bullets and tear gas against demonstrations, the mass arrests of identified Palestinian political activists, the demolition of houses of Palestinian operatives convicted of attacks against Israelis — was, in the institutional self-assessment of the period, a response improvised from the institutional inventory of the conventional infantry tradition. The institutional inventory had not been built for the operational task.</w:t>
      </w:r>
      <w:r>
        <w:rPr>
          <w:rStyle w:val="EndnoteReference"/>
        </w:rPr>
        <w:endnoteReference w:id="53"/>
      </w:r>
    </w:p>
    <w:p>
      <w:pPr>
        <w:pStyle w:val="BodyText"/>
      </w:pPr>
      <w:r>
        <w:t xml:space="preserve">The institutional response that Defense Minister Yitzhak Rabin authorized in the spring of 1988 — the so-called Yad HaBarzel (Iron Fist) policy of force-multiplied response to demonstrations and stone-throwing — would, in the institutional memory of the period, become the canonical statement of the IDF’s operational confusion. The policy’s institutional logic was that the IDF’s demonstrated willingness to use disabling but non-lethal force against demonstrators — Rabin’s verbal authorization, in the institutional vocabulary of the period, was the instruction to</w:t>
      </w:r>
      <w:r>
        <w:t xml:space="preserve"> </w:t>
      </w:r>
      <w:r>
        <w:t xml:space="preserve">“</w:t>
      </w:r>
      <w:r>
        <w:t xml:space="preserve">break the bones</w:t>
      </w:r>
      <w:r>
        <w:t xml:space="preserve">”</w:t>
      </w:r>
      <w:r>
        <w:t xml:space="preserve"> </w:t>
      </w:r>
      <w:r>
        <w:t xml:space="preserve">of stone-throwers — would establish operational deterrence at the level of the individual demonstrator. The policy’s institutional consequence, on the operational evidence of the following eighteen months, was different. The bones-breaking pattern produced photographs that the international media circulated globally; the photographs damaged the institutional reputation of the IDF among Western publics and governments in a way that the IDF’s senior officer corps had not, in the spring of 1988, anticipated; the institutional reputation damage produced political pressure on the Israeli government that, across the following two years, would gradually push the Rabin defense ministry toward the institutional posture that, by the spring of 1990, the operational situation in the territories could not be managed by force-multiplied conventional response and that some form of political accommodation with the Palestinian leadership in the territories would, eventually, be required.</w:t>
      </w:r>
      <w:r>
        <w:rPr>
          <w:rStyle w:val="EndnoteReference"/>
        </w:rPr>
        <w:endnoteReference w:id="54"/>
      </w:r>
    </w:p>
    <w:p>
      <w:pPr>
        <w:pStyle w:val="BodyText"/>
      </w:pPr>
      <w:r>
        <w:t xml:space="preserve">What the Iron Fist policy did not address, and what the institutional debate of 1988 and 1989 was beginning to identify, was the specific operational problem of the Palestinian paramilitary apparatus that was, beneath the surface of the mass demonstrations the Intifada had produced, beginning to consolidate inside the West Bank and Gaza around the institutional vehicles of Fatah’s Tanzim, the Popular Front’s military wing, and — from 1988 onward — Hamas, the Muslim Brotherhood–derived Palestinian Islamist movement that the Israeli intelligence community had encouraged across the 1970s and early 1980s as an institutional counterweight to the secular PLO and that would, in the institutional reckoning of the post-Intifada period, become the principal Palestinian paramilitary adversary of the IDF for the following four decades. The paramilitary apparatus the institutional debate was identifying was not visible at the level of mass demonstrations. It was visible at the level of small-team operations: ambushes of IDF patrols in West Bank villages, knife attacks against Israeli civilians inside the Green Line, the execution of Palestinian</w:t>
      </w:r>
      <w:r>
        <w:t xml:space="preserve"> </w:t>
      </w:r>
      <w:r>
        <w:t xml:space="preserve">“</w:t>
      </w:r>
      <w:r>
        <w:t xml:space="preserve">collaborators</w:t>
      </w:r>
      <w:r>
        <w:t xml:space="preserve">”</w:t>
      </w:r>
      <w:r>
        <w:t xml:space="preserve"> </w:t>
      </w:r>
      <w:r>
        <w:t xml:space="preserve">— accused informants of the Shin Bet — by Palestinian paramilitary cells inside the population centers. The operational instrument the IDF would need to address this paramilitary apparatus was, the institutional debate was concluding by the end of 1989, exactly the mistarvim instrument Mossi Cohen and Yitzhak Mordechai had been building.</w:t>
      </w:r>
      <w:r>
        <w:rPr>
          <w:rStyle w:val="EndnoteReference"/>
        </w:rPr>
        <w:endnoteReference w:id="55"/>
      </w:r>
    </w:p>
    <w:p>
      <w:pPr>
        <w:pStyle w:val="BodyText"/>
      </w:pPr>
      <w:r>
        <w:t xml:space="preserve">Duvdevan’s first significant operational deployment, in the institutional record I have been able to consult, was a series of targeted arrests in the Ramallah and Nablus areas during the spring and summer of 1988. The operational pattern was, in its essentials, the pattern the unit would continue to execute across the following thirty years. Shin Bet intelligence identified a specific Palestinian operator whose arrest was institutionally desired. Duvdevan’s operational planners reconnoitered the operator’s residence, daily routine, and the security environment around him. A Duvdevan team of four to eight operators, dressed as Palestinian civilians in clothing appropriate to the locale, infiltrated the area at a time the operational reconnaissance had identified as the operator’s predictable presence at a particular location. The team conducted the arrest at close range, with maximum operational speed and minimum exposure to the surrounding population. A backup force of conventional IDF infantry waited at a designated rendezvous point outside the urban area to cover the team’s extraction. The whole operational cycle, from infiltration to extraction, typically took fifteen to thirty minutes. The arrested operator was transferred to Shin Bet interrogation; the intelligence the interrogation produced was fed into the cycle that selected the next operational target; the cycle repeated.</w:t>
      </w:r>
      <w:r>
        <w:rPr>
          <w:rStyle w:val="EndnoteReference"/>
        </w:rPr>
        <w:endnoteReference w:id="56"/>
      </w:r>
    </w:p>
    <w:p>
      <w:pPr>
        <w:pStyle w:val="BodyText"/>
      </w:pPr>
      <w:r>
        <w:t xml:space="preserve">The operational cost of the pattern was substantial. Operators on multiple occasions were exposed mid-mission and were forced to extract under fire. Several Duvdevan operators were killed across the years of the First Intifada in this pattern of mission compromise. The most institutionally consequential incident — and one I cite here because it would, in the institutional reckoning of the unit’s life, force the Duvdevan command to revise its operational doctrine substantially — was the friendly-fire incident in the Hebron-area village of Beit Awwa in March 1992, in which a Duvdevan team in operational disguise was engaged by an IDF reservist infantry unit that had not been briefed on the operation and that had mistaken the Duvdevan operators for armed Palestinian militants. Two Duvdevan operators were wounded in the engagement. The institutional inquiry that followed the incident produced the operational protocol — known in the IDF’s institutional vocabulary as the Tia’um (Coordination) protocol — that, from 1992 onward, would require Duvdevan operations in any sector to be deconflicted in real time with all IDF formations operating in the same sector. The protocol’s adoption across the unit and across the broader IDF was, in the institutional reception of the Beit Awwa incident, the principal operational reform Duvdevan’s first decade of operations would produce.</w:t>
      </w:r>
      <w:r>
        <w:rPr>
          <w:rStyle w:val="EndnoteReference"/>
        </w:rPr>
        <w:endnoteReference w:id="57"/>
      </w:r>
    </w:p>
    <w:p>
      <w:pPr>
        <w:pStyle w:val="BodyText"/>
      </w:pPr>
      <w:r>
        <w:t xml:space="preserve">The First Intifada ended, in the institutional periodization the Israeli historiography of the period has converged on, with the signing of the Oslo Accords on the White House lawn on 13 September 1993. The signing was the institutional culmination of the back-channel negotiations between Israeli and Palestinian representatives that had been conducted across 1992 and 1993 in Oslo under the institutional sponsorship of the Norwegian government, and that had produced the framework agreement under which the PLO would, across the following five years, assume institutional control of the principal Palestinian population centers in the West Bank and Gaza, would establish its own Palestinian Authority security forces, and would — on the institutional theory of the agreement — assume responsibility for managing the Palestinian paramilitary cells whose operations had defined the Intifada. The institutional consequence of the Oslo signing for the IDF’s mistarvim formations was substantial. The operational scope of Duvdevan and Shimshon was, across the second half of the 1990s, sharply contracted as the institutional logic of Oslo transferred operational responsibility for Palestinian counterterrorism to the new Palestinian Authority. Shimshon was, in the institutional drawdown of the Oslo period, dissolved in 1995. Duvdevan would survive, in a substantially reduced operational footprint, until the outbreak of the Second Intifada in September 2000 returned it to its founding institutional purpose. The story of Duvdevan’s post-2000 reactivation, and of the broader reactivation of the Israeli counterterrorism apparatus that the Second Intifada produced, is the subject of Chapter 9.</w:t>
      </w:r>
      <w:r>
        <w:rPr>
          <w:rStyle w:val="EndnoteReference"/>
        </w:rPr>
        <w:endnoteReference w:id="58"/>
      </w:r>
    </w:p>
    <w:bookmarkEnd w:id="59"/>
    <w:bookmarkStart w:id="66" w:name="the-gulf-war-januaryfebruary-1991"/>
    <w:p>
      <w:pPr>
        <w:pStyle w:val="Heading2"/>
      </w:pPr>
      <w:r>
        <w:t xml:space="preserve">8.7 The Gulf War, January–February 1991</w:t>
      </w:r>
    </w:p>
    <w:p>
      <w:pPr>
        <w:pStyle w:val="FirstParagraph"/>
      </w:pPr>
      <w:r>
        <w:t xml:space="preserve">The institutional development that would, more than any other single event of the period, force the Israeli SOF community to confront the limits of its own operational doctrine arrived in the early hours of Thursday morning, 17 January 1991, when the first Iraqi Al Hussein ballistic missile — an extended-range derivative of the Soviet Scud-B missile that the Iraqi army had developed across the 1980s — struck the city of Tel Aviv. The strike was, in the operational record, the first hostile missile attack on the Israeli civilian population in the institutional history of the State of Israel. The IDF had not had, since the Yom Kippur War of October 1973, a major institutional experience of being attacked rather than attacking. The IDF had not had, ever, an institutional experience of facing a strategic adversary capable of striking the Israeli civilian population without the IDF possessing any institutional instrument that could effectively respond. Across the forty-two days of the Gulf War that followed, thirty-nine Iraqi ballistic missiles would strike the Israeli homeland. Two Israeli civilians would be killed by direct missile impacts. Eleven would die from indirect causes — heart attacks during alarms, suffocation in improperly used gas masks, accidents during shelter evacuations. The material damage to Israeli civilian infrastructure would be substantial. The institutional damage to the Israeli political and military establishment would, in my reading, be substantially greater.</w:t>
      </w:r>
      <w:r>
        <w:rPr>
          <w:rStyle w:val="EndnoteReference"/>
        </w:rPr>
        <w:endnoteReference w:id="60"/>
      </w:r>
    </w:p>
    <w:p>
      <w:pPr>
        <w:pStyle w:val="BodyText"/>
      </w:pPr>
      <w:r>
        <w:t xml:space="preserve">The institutional context was set by the strategic situation of the Bush administration’s coalition. Saddam Hussein, in the operational calculation his command had reached in the days before the air campaign began on 17 January, had decided to attack Israeli population centers with ballistic missiles in the explicit hope that the Israeli response — which the Iraqi command anticipated would be, on the institutional template of every previous Israeli response to attack since 1956, the immediate dispatch of the Israeli Air Force against Iraqi military targets — would force the Arab members of the American-led coalition into the institutional position of either abandoning the coalition or being seen by their own publics as fighting alongside the Israelis against an Arab state. The Iraqi calculation was operationally rational. The Israeli response, if it had been the response the Iraqi command anticipated, would have produced exactly the strategic crisis the Iraqi command was building toward. What Hussein had not adequately calculated was the institutional intensity of the American pressure on the Israeli government to refrain from responding. Across the days that followed the first Tel Aviv strike, the Bush administration directed every diplomatic and operational resource it had available to ensuring that the Israeli government did not authorize the IAF response that the Iraqi command was waiting for. The pressure included the deployment of two Patriot air-defense batteries to Israel manned by American crews — the first deployment of American military personnel to Israeli soil in operational role in the institutional history of the bilateral relationship — and the transfer of real-time American satellite intelligence on Iraqi missile-launch sites to the Israeli intelligence command. The Israeli government, under Prime Minister Yitzhak Shamir and Defense Minister Moshe Arens, accepted the American pressure. The IAF was not authorized to respond. The institutional position the Israeli political class found itself in across the forty-two days — the position of accepting Iraqi attacks on Israeli population centers without retaliation, in the strategic interest of preserving the American-led coalition — was an institutional position the political class found, in the contemporary documentation, profoundly humiliating.</w:t>
      </w:r>
      <w:r>
        <w:rPr>
          <w:rStyle w:val="EndnoteReference"/>
        </w:rPr>
        <w:endnoteReference w:id="61"/>
      </w:r>
    </w:p>
    <w:p>
      <w:pPr>
        <w:pStyle w:val="BodyText"/>
      </w:pPr>
      <w:r>
        <w:t xml:space="preserve">What the Israeli political class authorized instead — and what the SOF community had, across the autumn of 1990 and the first weeks of 1991, been quietly preparing for — was a contingent operational plan for the insertion of Israeli special operations forces into western Iraq, into the Anbar desert region from which the Iraqi command was launching the ballistic missiles against Israel, with the operational mission of locating and destroying the mobile missile launchers that the American coalition’s air campaign had, in the operational assessment of the Israeli intelligence community, been unable to identify and destroy from altitude. The institutional vehicle the plan envisaged was a combined force of Sayeret Matkal and Shaldag operators, inserted by IAF helicopters across the Syrian and Jordanian airspace — with or without the formal consent of the Syrian and Jordanian governments — into the Iraqi desert, conducting deep-reconnaissance and direct-action operations against the missile-launcher infrastructure for a period of days or weeks, and recovering across the same air corridor at the conclusion of the operational deployment. The plan was, in the institutional terms the planning team itself used, the most ambitious operational concept the Israeli SOF community had developed since the founding of Sayeret Matkal more than three decades earlier. It was also, by the institutional consensus of the operators and planners who participated in the preparation, a plan whose operational risk was at the upper edge of what the institutional doctrine of the SOF community had ever contemplated.</w:t>
      </w:r>
      <w:r>
        <w:rPr>
          <w:rStyle w:val="EndnoteReference"/>
        </w:rPr>
        <w:endnoteReference w:id="62"/>
      </w:r>
    </w:p>
    <w:p>
      <w:pPr>
        <w:pStyle w:val="BodyText"/>
      </w:pPr>
      <w:r>
        <w:t xml:space="preserve">The plan was not executed. Two institutional reasons prevented execution. The first was the American pressure, which extended across the entire period of the Gulf War and which was applied to the special-operations contingency plan with the same intensity that had been applied to the IAF response option. The Bush administration insisted, in the operational discussions of late January and February 1991, that the western Iraqi missile-hunting mission was being executed by American and British special operations forces — the United States Army Special Forces, the United States Navy SEALs, and the British Special Air Service — and that any Israeli operational presence in the same operational space would create the deconfliction problems and the political vulnerabilities the broader American coalition strategy could not absorb. The institutional pressure was sufficient to keep the Israeli plan on hold across the active phase of the war.</w:t>
      </w:r>
      <w:r>
        <w:rPr>
          <w:rStyle w:val="EndnoteReference"/>
        </w:rPr>
        <w:endnoteReference w:id="63"/>
      </w:r>
    </w:p>
    <w:p>
      <w:pPr>
        <w:pStyle w:val="BodyText"/>
      </w:pPr>
      <w:r>
        <w:t xml:space="preserve">The second institutional reason was the operational disaster of 5 November 1992. By the autumn of 1992 — twenty months after the conclusion of the Gulf War, with the Iraqi missile threat technically dormant but with the institutional memory of the war’s Israeli vulnerability still fresh — the Israeli SOF community was preparing a different operation against an Iraqi target. The operational target, on the partial public record, was Saddam Hussein himself. The operational concept was a Sayeret Matkal mission against a location at which the Iraqi president would, on Israeli intelligence assessment, be present at a specific moment that the operational planning had identified. The training for the operation was being conducted at the IDF’s Tze’elim training complex in the Negev, on a full-scale mock-up of the target site that the operational planning team had constructed for the rehearsal cycle. On the morning of 5 November 1992, in the closing rehearsal of the operation before the final go-no-go decision, an operational error produced the live-fire training accident that the IDF’s institutional vocabulary would, for years afterward, refer to simply as Tze’elim Bet — Tze’elim Two. Five Sayeret Matkal operators were killed; six were wounded. The accident’s institutional consequence — beyond the immediate operational cost — was that Prime Minister Yitzhak Rabin, who had returned to office four months earlier and who had been the political authority for the operation’s planning, cancelled the operation outright. The institutional sequence that would have culminated in an Israeli SOF operation against Saddam Hussein himself — the institutional answer the SOF community had been building, across the previous twenty months, to the strategic humiliation of the Gulf War period — was, in the institutional reckoning of November 1992, foreclosed.</w:t>
      </w:r>
      <w:r>
        <w:rPr>
          <w:rStyle w:val="EndnoteReference"/>
        </w:rPr>
        <w:endnoteReference w:id="64"/>
      </w:r>
    </w:p>
    <w:p>
      <w:pPr>
        <w:pStyle w:val="BodyText"/>
      </w:pPr>
      <w:r>
        <w:t xml:space="preserve">The institutional consequences of the Gulf War period for the Israeli SOF community were substantial and, in my institutional reading of the period, not fully absorbed by the community’s senior leadership across the following decade. The SOF community had been built — as the previous chapters of this book have traced — around the operational logic of the decisive raid against an identified target, the precision insertion against an enemy unprepared for it, the unambiguous operational outcome. The Gulf War had presented the community with an operational situation in which none of the three institutional preconditions were available. The targets — mobile Iraqi missile launchers in the western Iraqi desert — could not, in the institutional assessment of the period, be reliably identified by Israeli intelligence in real time. The enemy — Iraqi Republican Guard units defending the western desert against air and special-operations penetration — was prepared, in a way that the IDF SOF community had not previously faced, for exactly the kind of operation the community was contemplating. And the operational outcome — measured in destroyed missile launchers — would have been, even under operational success, profoundly ambiguous; the Iraqi missile launchers were sufficiently dispersed and sufficiently mobile that the destruction of any specific subset would not have decisively interrupted the broader missile-attack campaign on Israeli population centers. The institutional doctrine the SOF community had built across thirty years was, in the operational assessment of the Gulf War period, mismatched to the strategic problem the war had presented. The institutional reckoning the mismatch would have required, however, was not the reckoning the SOF community’s senior leadership conducted across the 1990s. The reckoning was, instead, deferred — for the Lebanon end-game of the late 1990s, for the Second Intifada of the 2000s, for the operational tests the next chapter of this book will reconstruct.</w:t>
      </w:r>
      <w:r>
        <w:rPr>
          <w:rStyle w:val="EndnoteReference"/>
        </w:rPr>
        <w:endnoteReference w:id="65"/>
      </w:r>
    </w:p>
    <w:bookmarkEnd w:id="66"/>
    <w:bookmarkStart w:id="74" w:name="Xb4f1417bd8d5e661b08f4a055a8705e20558030"/>
    <w:p>
      <w:pPr>
        <w:pStyle w:val="Heading2"/>
      </w:pPr>
      <w:r>
        <w:t xml:space="preserve">8.8 The Premier Three Abroad: Operations Moses and Solomon, 1984–1991</w:t>
      </w:r>
    </w:p>
    <w:p>
      <w:pPr>
        <w:pStyle w:val="FirstParagraph"/>
      </w:pPr>
      <w:r>
        <w:t xml:space="preserve">The institutional development that I want to set against the operational frustration of the Gulf War period — the development that, in my reading of the institutional history of the SOF community across the 1980s and into the early 1990s, supplies the necessary corrective to a purely declensionist reading of the decade — was the operational sequence by which the institutional units the previous chapters of this book have traced were, across the same period, conducting the international rescue missions that would, in the institutional reception of the SOF community in the broader Israeli public consciousness, establish the Premier Three as the principal operational instrument of the State of Israel’s global Jewish-rescue commitment. The two operations that mattered most for the institutional sequence were Operation Moses — Mivtza Moshe — that the Israeli intelligence and special-operations community conducted between November 1984 and January 1985 to extract the Ethiopian Jewish community of the Beta Israel from the famine-stricken refugee camps of eastern Sudan; and Operation Solomon — Mivtza Shlomo — that the same institutional community conducted on the weekend of 24–25 May 1991 to extract the remaining Beta Israel population of approximately fourteen thousand individuals from Addis Ababa during the collapse of the Mengistu Haile Mariam regime in Ethiopia.</w:t>
      </w:r>
      <w:r>
        <w:rPr>
          <w:rStyle w:val="EndnoteReference"/>
        </w:rPr>
        <w:endnoteReference w:id="67"/>
      </w:r>
    </w:p>
    <w:p>
      <w:pPr>
        <w:pStyle w:val="BodyText"/>
      </w:pPr>
      <w:r>
        <w:t xml:space="preserve">The institutional preconditions for Operation Moses had been assembled across the early 1980s through a series of institutional negotiations conducted in extreme operational secrecy among the Mossad, the Sudanese intelligence services under President Jaafar Nimeiry, the United States State Department, and the Belgian government. The Beta Israel population of Ethiopia — a community of approximately twenty-eight thousand individuals at the start of the 1980s, that the Israeli rabbinical and political establishment had, in a sequence of decisions across the 1970s, formally recognized as Jewish under the Law of Return and that the Israeli government had committed itself to bringing to Israel — had begun, across the early 1980s, to leave their villages in northern Ethiopia under the dual pressure of the Ethiopian civil war and the famine that the Mengistu regime’s agricultural policies were producing. The community’s principal escape route was overland to the eastern Sudanese refugee camps that the United Nations High Commissioner for Refugees had established along the Ethiopian frontier. By the autumn of 1984 approximately twelve thousand Beta Israel individuals had reached the Sudanese camps. The mortality rate inside the camps, from the combination of malnutrition, dysentery, and unaddressed disease, was approximately twenty individuals per day. The Israeli institutional decision the Begin and then the Shamir governments reached, across the closing months of 1984, was that the Beta Israel population in the Sudanese camps had to be extracted before the camp conditions extinguished the community altogether.</w:t>
      </w:r>
      <w:r>
        <w:rPr>
          <w:rStyle w:val="EndnoteReference"/>
        </w:rPr>
        <w:endnoteReference w:id="68"/>
      </w:r>
    </w:p>
    <w:p>
      <w:pPr>
        <w:pStyle w:val="BodyText"/>
      </w:pPr>
      <w:r>
        <w:t xml:space="preserve">The operational instrument the Mossad assembled for Operation Moses was a combination of clandestine airlift and SOF support. The principal operational vehicle was a chartered fleet of Belgian-registered Boeing 707 aircraft of the Trans European Airways company, that the Mossad had negotiated with the Belgian carrier on cover terms that did not disclose the actual purpose of the contract. The Belgian aircraft flew, across the weeks of late November 1984 through early January 1985, between the Sudanese capital Khartoum and Brussels, with the Beta Israel passengers presented in the operational cover as ordinary Sudanese passengers in transit to commercial destinations in Europe. The institutional cover was thin; the Sudanese government’s institutional knowledge of the operation was extensive and was, in the institutional reckoning the post-operational documentation supports, conditional on substantial American financial and political compensation that the Reagan administration had arranged in parallel with the operational planning. The SOF support to the operation, on the partial public record, included a Shaldag team that provided airfield security at the Sudanese end of the flight cycle — operating in covert configuration at the Khartoum airport, coordinating the boarding sequence of the Beta Israel passengers, and managing the operational interface with the Sudanese authorities through whom the operation was being conducted. The operation airlifted approximately eight thousand Beta Israel individuals to Israel across the seven weeks of the airlift’s active phase. The operation was disclosed publicly by the Israeli press in early January 1985 — under circumstances the institutional documentation suggests were the product of a Mossad-side operational error rather than a Sudanese-side political decision — and the disclosure forced the Sudanese government to terminate the airlift within forty-eight hours, with several thousand Beta Israel individuals still in the refugee camps awaiting evacuation. The follow-on operations — including the smaller Operation Joshua of March 1985, which the United States Central Intelligence Agency conducted on the institutional principle that an American-flag operation could continue what the Israeli operation had been forced to discontinue — extracted approximately five hundred additional Beta Israel individuals across the remainder of 1985.</w:t>
      </w:r>
      <w:r>
        <w:rPr>
          <w:rStyle w:val="EndnoteReference"/>
        </w:rPr>
        <w:endnoteReference w:id="69"/>
      </w:r>
    </w:p>
    <w:p>
      <w:pPr>
        <w:pStyle w:val="BodyText"/>
      </w:pPr>
      <w:r>
        <w:t xml:space="preserve">The institutional reception of Operation Moses in the Israeli public consciousness was, by the assessment I have been able to reconstruct from the contemporary documentation, the institutional event that established the Premier Three — Sayeret Matkal, Shayetet 13, and Shaldag — in their post-1985 collective identity as the principal operational instrument of the State of Israel’s commitment to the rescue of endangered Jewish populations abroad. The operational template Moses had established — clandestine airlift in cooperation with friendly or semi-friendly governments in the destination region, SOF support to the airlift’s operational interfaces, institutional secrecy maintained across the operational period and partial disclosure managed afterward — would become, in the institutional reception of the Premier Three, the canonical operational form within which the community was understood to operate. The institutional precedent would, six years later, supply the operational template for the considerably larger and considerably more time-compressed Operation Solomon.</w:t>
      </w:r>
      <w:r>
        <w:rPr>
          <w:rStyle w:val="EndnoteReference"/>
        </w:rPr>
        <w:endnoteReference w:id="70"/>
      </w:r>
    </w:p>
    <w:p>
      <w:pPr>
        <w:pStyle w:val="BodyText"/>
      </w:pPr>
      <w:r>
        <w:t xml:space="preserve">Operation Solomon was conducted on the weekend of 24–25 May 1991, in a thirty-four-hour operational window between the institutional collapse of the Mengistu regime in Ethiopia on Friday afternoon, 24 May, and the entry of the Eritrean Peoples’ Liberation Front into Addis Ababa on the morning of Monday, 27 May. The Israeli intelligence community had been tracking the Mengistu regime’s accelerating military collapse across the spring of 1991, and had concluded by the early days of May that the regime would fall within weeks. The remaining Beta Israel population of approximately fourteen thousand individuals — concentrated, by the spring of 1991, in the Israeli-rented housing complex that the Israeli government had established in Addis Ababa across the preceding three years as a holding facility for individuals awaiting documentation and transit to Israel — would, in the institutional assessment of the planning team, become institutionally vulnerable to the transitional government’s institutional uncertainty in the period between the Mengistu fall and the establishment of stable successor authority. The institutional decision the Shamir government reached, in coordination with the Bush administration and with the Mengistu regime in its last operational hours, was to extract the entire remaining Beta Israel population across a single thirty-six-hour operational window.</w:t>
      </w:r>
      <w:r>
        <w:rPr>
          <w:rStyle w:val="EndnoteReference"/>
        </w:rPr>
        <w:endnoteReference w:id="71"/>
      </w:r>
    </w:p>
    <w:p>
      <w:pPr>
        <w:pStyle w:val="BodyText"/>
      </w:pPr>
      <w:r>
        <w:t xml:space="preserve">The operational architecture the Israeli intelligence and air-force communities assembled for Solomon was, in the institutional assessment of the period, the largest single-event SOF-supported airlift any Western intelligence service had conducted since the Berlin Airlift of 1948–1949. The principal operational vehicle was a fleet of thirty-five IAF and El Al transport aircraft — Boeing 747s, C-130 Hercules, C-141 Starlifters, Boeing 707s — operating from the Israeli airbases at Lod (Ben Gurion International), Tel Nof, and Ouvda. The aircraft flew the Israel-Ethiopia route in shuttle pattern across the operational window. The Shaldag operational role at the Ethiopian end of the shuttle — the Bole International Airport in Addis Ababa — was, in the partly declassified record of the operation, the principal SOF contribution. A Shaldag team of approximately thirty operators was inserted into the Bole airport in the opening hours of the operational window, established airport security, managed the boarding sequence for the Beta Israel passengers across the thirty-four operational hours, and coordinated the operational interface with the collapsing Mengistu regime’s airport authorities through whom the operation was being conducted. The operation extracted fourteen thousand three hundred twenty-five Beta Israel individuals from Addis Ababa to Israel across the operational window. The aircraft load capacity was, on multiple sorties, exceeded by substantial margins — one Boeing 747 sortie carried, by the institutional record, one thousand one hundred twenty-two passengers against a nominal aircraft maximum capacity of approximately five hundred. Two infants were born aboard the aircraft during the operational window. No operational casualties were sustained.</w:t>
      </w:r>
      <w:r>
        <w:rPr>
          <w:rStyle w:val="EndnoteReference"/>
        </w:rPr>
        <w:endnoteReference w:id="72"/>
      </w:r>
    </w:p>
    <w:p>
      <w:pPr>
        <w:pStyle w:val="BodyText"/>
      </w:pPr>
      <w:r>
        <w:t xml:space="preserve">The institutional reception of Operation Solomon in Israel and in the broader Western intelligence community was substantial. The operation supplied, in its operational scale and its institutional execution, the canonical demonstration of the Israeli SOF-supported airlift template that Moses had established six years earlier. It supplied, more importantly for the institutional argument I am making in this section, the operational counterpoint that the SOF community needed to set against the institutional frustrations of the Gulf War period that had immediately preceded it. The SOF community had not, in the Gulf War period, been able to deploy operationally against the Iraqi missile launchers that had attacked the Israeli civilian population. The community had, however, been able to deploy operationally — three months after the conclusion of the Gulf War — to extract from Addis Ababa, in a single thirty-four-hour window and without operational casualties, the entire remaining Beta Israel community of Ethiopia. The institutional argument the SOF community’s senior leadership could make about its operational relevance in the Israeli strategic environment of the early 1990s rested, in my institutional reading of the period, substantially on the Solomon precedent. The fact that the Solomon template would not, in the operational requirements of the Lebanon end-game that Tranche 3 of this chapter takes up, supply an adequate operational answer to the asymmetric warfare problem the SOF community was about to confront in southern Lebanon — was a fact that the institutional leadership of the period did not yet fully absorb.</w:t>
      </w:r>
      <w:r>
        <w:rPr>
          <w:rStyle w:val="EndnoteReference"/>
        </w:rPr>
        <w:endnoteReference w:id="73"/>
      </w:r>
    </w:p>
    <w:bookmarkEnd w:id="74"/>
    <w:bookmarkStart w:id="80" w:name="Xc2364f3313a5ac2989584b99a0dd6a61e3b2b0e"/>
    <w:p>
      <w:pPr>
        <w:pStyle w:val="Heading2"/>
      </w:pPr>
      <w:r>
        <w:t xml:space="preserve">8.9 The Oslo Drawdown and the Egoz Refounding, 1993–1995</w:t>
      </w:r>
    </w:p>
    <w:p>
      <w:pPr>
        <w:pStyle w:val="FirstParagraph"/>
      </w:pPr>
      <w:r>
        <w:t xml:space="preserve">The institutional consequences of the September 1993 Oslo signing for the IDF SOF community were, in the operational reality of the period that followed, more substantial than the political reception of the agreement at the time anticipated. The agreement’s central institutional premise was that the Palestinian Authority would, across the following five years, assume operational responsibility for the security of the Palestinian population in the West Bank and Gaza. The IDF would, by the institutional logic of that premise, gradually withdraw from the operational responsibilities the previous twenty-six years of occupation had imposed on it. The conventional infantry brigades that had been rotating through the Palestinian population centers across the years of the First Intifada would be redeployed to other operational missions. The counterterrorism formations the IDF had constituted across the late 1980s and the early 1990s — Duvdevan, Shimshon, and the broader institutional ecology around them — would, on the institutional logic of the agreement, become operationally redundant. The institutional question the Rabin government’s defense establishment was asking, in the operational planning of late 1993 and 1994, was not whether the IDF could absorb the institutional cost of the drawdown the agreement implied. It was where, in the broader IDF force structure, the institutional savings the drawdown would produce should be reinvested.</w:t>
      </w:r>
      <w:r>
        <w:rPr>
          <w:rStyle w:val="EndnoteReference"/>
        </w:rPr>
        <w:endnoteReference w:id="75"/>
      </w:r>
    </w:p>
    <w:p>
      <w:pPr>
        <w:pStyle w:val="BodyText"/>
      </w:pPr>
      <w:r>
        <w:t xml:space="preserve">The answer the institutional debate of the period converged on, across 1994 and the opening months of 1995, was that the principal reinvestment target should be the SOF community’s institutional response to the Lebanese problem. The Lebanese problem had been, across the years of the First Intifada, the operational problem the SOF community had institutionally underaddressed. The institutional energies the community had devoted to the West Bank and Gaza counterterrorism mission across 1986 through 1993 had been institutional energies that could have been devoted to the operational requirements of the Security Zone. The institutional pivot the Oslo period was now permitting — the redirection of SOF institutional capacity from the territories toward Lebanon — was, in the institutional argument of the period, the institutional opportunity the IDF had been waiting for since the 1985 Security Zone establishment.</w:t>
      </w:r>
      <w:r>
        <w:rPr>
          <w:rStyle w:val="EndnoteReference"/>
        </w:rPr>
        <w:endnoteReference w:id="76"/>
      </w:r>
    </w:p>
    <w:p>
      <w:pPr>
        <w:pStyle w:val="BodyText"/>
      </w:pPr>
      <w:r>
        <w:t xml:space="preserve">The institutional vehicle that emerged from the pivot was the refounding of Sayeret Egoz. The original Sayeret Egoz had been founded in 1957 as the Northern Command’s preventive-and-tracking unit on the Lebanese frontier, had operated across the late 1950s and the 1960s in a parallel institutional space to Sayeret Shaked on the Egyptian frontier, and had been dissolved in 1974 in the post-Yom Kippur institutional rearrangement that the previous chapter has reconstructed. The refounded Egoz of 1995 was not, in its institutional architecture, a reconstitution of the 1957 unit. It was a new institutional vehicle, founded on a different doctrinal premise, with a different operational mission. Its founding commander, Major Erez Gerstein — a Golani Brigade officer whose biography across the late 1980s and the early 1990s had been organized around continuous operational service in the Security Zone, and whose institutional self-understanding by the founding period was that of an officer who had committed his entire career to the Lebanese problem — supplied the institutional doctrine the refounded unit would operate under. The doctrine, in its operational essentials, was that the Security Zone’s operational inadequacy was not an inadequacy of force or of intelligence but of institutional continuity. The IDF needed, in Gerstein’s institutional formulation, a unit whose operators would spend years rather than months inside the Security Zone, whose operational knowledge of the Lebanese terrain and the Lebanese population would accumulate across rotations rather than starting from zero each time, and whose institutional culture would be specifically adapted to the asymmetric environment the conventional infantry rotation pattern had institutionally failed to address.</w:t>
      </w:r>
      <w:r>
        <w:rPr>
          <w:rStyle w:val="EndnoteReference"/>
        </w:rPr>
        <w:endnoteReference w:id="77"/>
      </w:r>
    </w:p>
    <w:p>
      <w:pPr>
        <w:pStyle w:val="BodyText"/>
      </w:pPr>
      <w:r>
        <w:t xml:space="preserve">The refounded Sayeret Egoz stood up at a small training base near the Lebanese border in the spring of 1995. The unit’s first formal selection course was conducted in the summer of the same year. Its first operational cohort, approximately sixty operators, completed initial training in the closing months of 1995. The unit’s operational deployment to the Security Zone began in early 1996, in the institutional configuration the Northern Command had assigned it: small-team operations against Hezbollah cells, intelligence collection in coordination with the Northern Command’s Tzevet Tofet apparatus, target identification for IAF strikes against Hezbollah infrastructure, and — at the limits of the unit’s operational mandate — direct-action operations against named Hezbollah operatives whose elimination the political and military leadership had institutionally authorized.</w:t>
      </w:r>
      <w:r>
        <w:rPr>
          <w:rStyle w:val="EndnoteReference"/>
        </w:rPr>
        <w:endnoteReference w:id="78"/>
      </w:r>
    </w:p>
    <w:p>
      <w:pPr>
        <w:pStyle w:val="BodyText"/>
      </w:pPr>
      <w:r>
        <w:t xml:space="preserve">What concerns the argument of this chapter is not the operational record of Egoz across the closing years of the 1990s. That record, in its broad outlines, was institutionally productive: Egoz operators conducted, across 1996 through 2000, dozens of operations against Hezbollah cells inside the Security Zone, killed an institutionally significant number of Hezbollah operatives, and accumulated the operational knowledge of the Lebanese environment that the previous Israeli formations had not been institutionally positioned to accumulate. What concerns the argument of this chapter is that the institutional vehicle Gerstein had built — the dedicated Lebanon SOF formation, founded thirteen years after the institutional moment the requirement had become operationally visible, and operating across only five years of active Lebanon deployment before the May 2000 withdrawal that the next section of this chapter takes up — would not, by the institutional measure that mattered most, change the strategic trajectory the Lebanese conflict was on. The IDF’s operational casualties in Lebanon would continue, across the second half of the 1990s, at the same approximate rate they had been sustaining across the second half of the 1980s. The political pressure inside Israel for withdrawal from Lebanon would continue to build, across the Egoz period of 1995–2000, at the same approximate rate it had been building across the previous decade. The institutional vehicle Gerstein had built was, by every operational measure, doing the work it had been built to do. The institutional outcome the work was producing was, by every strategic measure, not the outcome the institutional vehicle had been built to deliver. The operational adequacy of Egoz, in other words, was not — by itself — institutionally adequate to the broader Lebanese problem the unit had been founded to address.</w:t>
      </w:r>
      <w:r>
        <w:rPr>
          <w:rStyle w:val="EndnoteReference"/>
        </w:rPr>
        <w:endnoteReference w:id="79"/>
      </w:r>
    </w:p>
    <w:bookmarkEnd w:id="80"/>
    <w:bookmarkStart w:id="86" w:name="grapes-of-wrath-and-ansariya-19961997"/>
    <w:p>
      <w:pPr>
        <w:pStyle w:val="Heading2"/>
      </w:pPr>
      <w:r>
        <w:t xml:space="preserve">8.10 Grapes of Wrath and Ansariya, 1996–1997</w:t>
      </w:r>
    </w:p>
    <w:p>
      <w:pPr>
        <w:pStyle w:val="FirstParagraph"/>
      </w:pPr>
      <w:r>
        <w:t xml:space="preserve">The institutional moment at which the gap between Egoz’s operational adequacy and the Lebanese problem’s strategic intractability became clearest to the Israeli political and military leadership was the operational sequence of April 1996. Operation Grapes of Wrath — Mivtza Anvei Za’am — was the Peres government’s response to a sequence of Hezbollah rocket attacks on northern Israeli population centers that had escalated across March and into the first days of April 1996. The operation began on 11 April 1996 with an IAF air campaign against Hezbollah infrastructure in southern Lebanon and across the Beqaa Valley, and an artillery campaign from Israeli ground positions against the same target set. The operational objective the Peres government articulated at the operation’s outset was the destruction of Hezbollah’s military infrastructure and the imposition, on the Lebanese and Syrian governments through whose territory Hezbollah operated, of the institutional pressure that would force them to restrain Hezbollah’s operations against Israeli population centers.</w:t>
      </w:r>
      <w:r>
        <w:rPr>
          <w:rStyle w:val="EndnoteReference"/>
        </w:rPr>
        <w:endnoteReference w:id="81"/>
      </w:r>
    </w:p>
    <w:p>
      <w:pPr>
        <w:pStyle w:val="BodyText"/>
      </w:pPr>
      <w:r>
        <w:t xml:space="preserve">The operational sequence the next sixteen days produced was, in my institutional reading of the period, the canonical demonstration of the operational pattern the post-1982 Lebanese conflict had settled into. The IAF and the Israeli artillery struck Hezbollah infrastructure across the Beqaa and southern Lebanon. Hezbollah, on its institutional template of the previous fourteen years, dispersed its operational forces into the Lebanese civilian population, conducted its own rocket strikes against Israeli population centers from positions inside Lebanese villages, and produced — by the operational pattern Israeli targeting of those positions made institutionally inevitable — Lebanese civilian casualties at a rate the international institutional environment could not, across the operation’s sixteen days, absorb. The casualty event that broke the operation institutionally was the strike of 18 April 1996 against the United Nations Interim Force in Lebanon compound at the village of Qana. The strike — an Israeli artillery response to Hezbollah rocket fire from positions adjacent to the UN compound — killed 106 Lebanese civilians who had taken refuge inside the compound, including a substantial number of children. The international institutional response was immediate and severe. The Peres government, under American and European pressure, terminated Grapes of Wrath nine days later under the institutional vehicle of an Israeli-Lebanese understanding — the Grapes of Wrath Understanding of 26 April 1996 — that committed Hezbollah and the IDF to refrain from attacks against civilian targets inside the other party’s territory while permitting continued military operations on both sides of the Security Zone frontier. The understanding’s institutional effect, across the four years that followed, was that the Lebanese conflict continued at the same approximate operational tempo but with the explicit international institutional understanding that both sides’ operational targeting would be constrained by the post-Qana rules.</w:t>
      </w:r>
      <w:r>
        <w:rPr>
          <w:rStyle w:val="EndnoteReference"/>
        </w:rPr>
        <w:endnoteReference w:id="82"/>
      </w:r>
    </w:p>
    <w:p>
      <w:pPr>
        <w:pStyle w:val="BodyText"/>
      </w:pPr>
      <w:r>
        <w:t xml:space="preserve">The institutional moment at which the gap between SOF operational adequacy and Lebanese strategic intractability became clearest to the SOF community itself — rather than to the broader political-military leadership — was the operational catastrophe of 5 September 1997. On the night of 4–5 September 1997, a Shayetet 13 force of approximately sixteen operators inserted by sea from a naval vessel offshore conducted a deep-reconnaissance and direct-action operation against a Hezbollah infrastructure target at the Lebanese coastal village of Ansariya, approximately twelve kilometers north of the Israeli border. The operation was, in its operational architecture, a return to the institutional template Shayetet 13 had built across the post-1968 Almog reform period — small-team naval insertion, multi-hour operational presence inside the target zone, withdrawal by the same insertion route. The institutional difference from the post-Almog operational template was that Hezbollah’s institutional intelligence apparatus had, by the late 1990s, become substantially more capable than the institutional adversaries the Almog-era Shayetet had faced. Hezbollah operatives had, in the operational reconstruction the post-Ansariya inquiry produced, been monitoring the Israeli operational reconnaissance that had preceded the Shayetet operation across the weeks of August 1997. Hezbollah had identified the operational landing zone the Shayetet had selected. Hezbollah had pre-positioned an ambush force of approximately forty operators at the landing zone and along the route the Shayetet team would take from the landing zone to the operational target.</w:t>
      </w:r>
      <w:r>
        <w:rPr>
          <w:rStyle w:val="EndnoteReference"/>
        </w:rPr>
        <w:endnoteReference w:id="83"/>
      </w:r>
    </w:p>
    <w:p>
      <w:pPr>
        <w:pStyle w:val="BodyText"/>
      </w:pPr>
      <w:r>
        <w:t xml:space="preserve">The ambush opened fire on the Shayetet team approximately seven minutes after the team’s landing. The opening fusillade killed twelve of the sixteen operators within the first ninety seconds of the engagement. The four surviving operators — wounded, separated from the team’s communications equipment, isolated in the Lebanese littoral terrain at night under sustained Hezbollah fire — managed to call for the IAF helicopter extraction that arrived approximately ninety minutes after the engagement’s opening. The helicopter extraction recovered the four survivors and the bodies of the twelve killed. The operation was, in the institutional reckoning of the SOF community, the worst single-engagement institutional loss the Shayetet had absorbed since its founding in 1948. The post-incident inquiry — which the IDF conducted across the closing months of 1997 and reported in early 1998 — identified the principal institutional cause as the operational predictability of the Shayetet’s pre-Ansariya reconnaissance pattern, which Hezbollah’s institutional intelligence apparatus had been able to read with sufficient operational specificity to construct the ambush. The institutional implication — that the Shayetet’s operational template, refined across thirty years of Almog-era and post-Almog institutional development, was now operationally legible to a Lebanese adversary that the Almog reforms had not anticipated — was an implication the institutional community of the period absorbed slowly and incompletely.</w:t>
      </w:r>
      <w:r>
        <w:rPr>
          <w:rStyle w:val="EndnoteReference"/>
        </w:rPr>
        <w:endnoteReference w:id="84"/>
      </w:r>
    </w:p>
    <w:p>
      <w:pPr>
        <w:pStyle w:val="BodyText"/>
      </w:pPr>
      <w:r>
        <w:t xml:space="preserve">The Ansariya disaster did not, in my institutional reading of the period, force the kind of institutional reckoning the Tze’elim Bet accident of November 1992 had forced on Sayeret Matkal five years earlier. The institutional response was, on the public record, narrowly technical: revised operational reconnaissance protocols, revised insertion procedures, revised intelligence-coordination requirements with the Northern Command’s Tzevet Tofet apparatus. The institutional response did not include the broader institutional question that the operational catastrophe should, in my analytical reading, have forced — the question of whether the Shayetet’s operational template was, by the late 1990s, institutionally adequate to the kind of adversary the Lebanese conflict had produced. The institutional question was deferred. The Shayetet returned to operations within months of the Ansariya inquiry’s conclusion. The operational template continued, with marginal technical adjustments, into the operational environment of the Second Intifada that would, in the next chapter of this book, present the institutional adequacy question on substantially expanded terms.</w:t>
      </w:r>
      <w:r>
        <w:rPr>
          <w:rStyle w:val="EndnoteReference"/>
        </w:rPr>
        <w:endnoteReference w:id="85"/>
      </w:r>
    </w:p>
    <w:bookmarkEnd w:id="86"/>
    <w:bookmarkStart w:id="91" w:name="X0d5edb04c2bf91707e6047fd05e2582873e9227"/>
    <w:p>
      <w:pPr>
        <w:pStyle w:val="Heading2"/>
      </w:pPr>
      <w:r>
        <w:t xml:space="preserve">8.11 Gerstein, the Four Mothers, and the May 2000 Withdrawal</w:t>
      </w:r>
    </w:p>
    <w:p>
      <w:pPr>
        <w:pStyle w:val="FirstParagraph"/>
      </w:pPr>
      <w:r>
        <w:t xml:space="preserve">The institutional moment at which the political balance inside Israel on the Lebanese question shifted decisively toward withdrawal arrived on the morning of Sunday, 28 February 1999, on the road between the IDF outpost at Beaufort Castle and the southern Lebanese village of Bint Jbeil. A roadside improvised explosive device, detonated by Hezbollah operatives concealed in the terrain above the road, destroyed the lead vehicle of a four-vehicle Israeli convoy returning from Beaufort to the IDF rear base inside the Security Zone. Brigadier General Erez Gerstein — the officer the previous sections of this chapter have tracked from his founding command of the refounded Sayeret Egoz through his subsequent appointment as commander of the Lebanon Liaison Unit, the institutional vehicle through which the IDF coordinated its operations with the SLA across the Security Zone — was in the lead vehicle. Gerstein was killed instantly. Two other IDF soldiers and an Israeli journalist were killed in the same explosion. The institutional reception of the Gerstein death, in the Israeli political and public discourse of the days that followed, was the institutional reception of a moment at which the most institutionally committed Lebanese officer the IDF possessed — the man whose entire career had been organized around the institutional argument that the Lebanese problem could be operationally solved — had been killed by exactly the kind of operational pattern his institutional argument had been built to defeat. If Gerstein could not survive Lebanon, the Israeli political class concluded across the spring of 1999, no one could.</w:t>
      </w:r>
      <w:r>
        <w:rPr>
          <w:rStyle w:val="EndnoteReference"/>
        </w:rPr>
        <w:endnoteReference w:id="87"/>
      </w:r>
    </w:p>
    <w:p>
      <w:pPr>
        <w:pStyle w:val="BodyText"/>
      </w:pPr>
      <w:r>
        <w:t xml:space="preserve">The institutional vehicle that translated the Gerstein death into political pressure for withdrawal was the Arba Imahot movement — the Four Mothers — the institutional name a small group of mothers of IDF soldiers serving in Lebanon had taken in 1997, after the helicopter disaster of 4 February 1997 in which seventy-three IDF soldiers had been killed in a mid-air collision of two transport helicopters returning to Israel from Lebanon. The Four Mothers movement had, across 1997 and 1998, conducted a sustained public campaign for Israeli withdrawal from Lebanon under the institutional argument that the eighteen-year occupation had no strategic justification commensurate with the casualty stream it was producing. The Gerstein death of February 1999 supplied the institutional moment the movement’s argument had been waiting for. Across March, April, and May 1999, the Four Mothers’ institutional position became, by the public-opinion polling of the period, the position of approximately sixty percent of the Israeli electorate. Ehud Barak — by 1999 the Labor Party’s candidate for prime minister in the elections of May 1999 — incorporated the withdrawal commitment into his campaign platform. Barak’s election victory of 17 May 1999, by a margin that the institutional analysts of the period attributed substantially to the Lebanon question, supplied the political mandate the withdrawal decision had been waiting for. The institutional planning for the withdrawal began in the IDF’s General Staff in the months that followed the election. The withdrawal itself was conducted across the two days of 23–24 May 2000, in an institutional sequence that was substantially faster than the planning team had anticipated and that produced operational consequences — the collapse of the South Lebanon Army within forty-eight hours, the rapid Hezbollah occupation of the previously Israeli-controlled Security Zone, the institutional vulnerability of the SLA personnel and their families who had collaborated with the Israeli occupation across the previous fifteen years — that the planning team had not adequately prepared for.</w:t>
      </w:r>
      <w:r>
        <w:rPr>
          <w:rStyle w:val="EndnoteReference"/>
        </w:rPr>
        <w:endnoteReference w:id="88"/>
      </w:r>
    </w:p>
    <w:p>
      <w:pPr>
        <w:pStyle w:val="BodyText"/>
      </w:pPr>
      <w:r>
        <w:t xml:space="preserve">The institutional accounting of the eighteen-year Israeli presence in Lebanon — the period from the June 1982 invasion through the May 2000 withdrawal — was severe. Six hundred and seventy-five IDF soldiers had been killed in Lebanon across the eighteen years. Approximately four thousand had been wounded, many seriously. The financial cost, by the institutional reckoning of the Bank of Israel’s retrospective analysis of the period, had been approximately seventeen billion dollars in direct military expenditure, plus an indeterminate institutional cost in the lost economic productivity of the reserve units that had been rotated through the Security Zone. The strategic return on the investment — measured against the original objectives Defense Minister Sharon had articulated for the 1982 invasion — was, in the institutional assessment of every retrospective I have been able to consult, effectively zero. The PLO that the 1982 invasion had been designed to destroy had been expelled from Lebanon but had relocated to Tunisia and then, after the 1993 Oslo signing, to the West Bank and Gaza, where it had become the institutional adversary the next decade of Israeli operations would confront. The Maronite-led Lebanese government that the 1982 invasion had been designed to install had not, across the eighteen years, been institutionally established. The Hezbollah that the 1982 invasion had not anticipated had emerged as the principal Lebanese paramilitary force, had survived the eighteen years of Israeli operations against it, and would — across the decades that followed the May 2000 withdrawal — develop into one of the principal regional military adversaries of the State of Israel.</w:t>
      </w:r>
      <w:r>
        <w:rPr>
          <w:rStyle w:val="EndnoteReference"/>
        </w:rPr>
        <w:endnoteReference w:id="89"/>
      </w:r>
    </w:p>
    <w:p>
      <w:pPr>
        <w:pStyle w:val="BodyText"/>
      </w:pPr>
      <w:r>
        <w:t xml:space="preserve">The institutional reckoning the SOF community conducted in the immediate aftermath of the May 2000 withdrawal was, by my institutional reading of the period, partial. The community’s senior leadership acknowledged the operational lessons the eighteen years had produced. The institutional reception of those lessons — the recognition that the Lebanese problem had required institutional vehicles the community had been slow to build, the acknowledgment that the institutional vehicles built had been operationally adequate but not strategically transformative, the absorption of the operational pattern Ansariya had demonstrated and that Gerstein’s death had confirmed — was, however, conditioned on the institutional assumption that the post-Lebanon period the May 2000 withdrawal was opening would be a period of reduced operational tempo. The institutional assumption was operationally consequential. The institutional planning for the post-Lebanon period, across the closing months of 2000 and the planning cycles that should have prepared the community for the next operational situation, was substantially organized around the assumption that the community could now afford to reduce its institutional focus on counterinsurgency and reinvest in the conventional operational missions the eighteen-year Lebanese commitment had displaced. The institutional assumption was wrong. The next operational situation arrived on the afternoon of 28 September 2000, when Ariel Sharon ascended the Temple Mount in Jerusalem at the head of a Likud Party delegation, and the Palestinian uprising that the institutional documentation would, within weeks, recognize as the Second Intifada began. The next chapter of this book is about the institutional response the SOF community produced to that operational situation, and about the institutional figure — Aviv Kochavi — who would, across the following fifteen years, become the fourth entrepreneur of the institutional argument this book is constructing.</w:t>
      </w:r>
      <w:r>
        <w:rPr>
          <w:rStyle w:val="EndnoteReference"/>
        </w:rPr>
        <w:endnoteReference w:id="90"/>
      </w:r>
    </w:p>
    <w:bookmarkEnd w:id="91"/>
    <w:bookmarkStart w:id="93" w:name="the-asymmetric-turn-in-retrospect"/>
    <w:p>
      <w:pPr>
        <w:pStyle w:val="Heading2"/>
      </w:pPr>
      <w:r>
        <w:t xml:space="preserve">8.12 The Asymmetric Turn in Retrospect</w:t>
      </w:r>
    </w:p>
    <w:p>
      <w:pPr>
        <w:pStyle w:val="FirstParagraph"/>
      </w:pPr>
      <w:r>
        <w:t xml:space="preserve">I want to close this chapter with a brief retrospective on the institutional argument the eighteen years between 1982 and 2000 have produced, because the argument supplies the analytical bridge to the chapter that follows it and because the argument is, in my institutional reading of the period, the analytical centerpiece of the book’s broader argument about the Israeli SOF community’s institutional trajectory.</w:t>
      </w:r>
    </w:p>
    <w:p>
      <w:pPr>
        <w:pStyle w:val="BodyText"/>
      </w:pPr>
      <w:r>
        <w:t xml:space="preserve">The institutional argument is this. The Israeli SOF community had been built — across the four decades from Sadeh’s Palmach founding through Arnan’s Sayeret Matkal, Almog’s reformed Shayetet 13, and Betser’s Shaldag — around the operational logic of the decisive raid against an identified target, the precision insertion against an enemy unprepared for it, the unambiguous operational outcome. The institutional culture of the community, the institutional vocabulary of its commanders, the institutional self-understanding of its operators were all organized around that operational logic. The operational logic had been institutionally validated, across the previous four decades, by a long sequence of operational successes that the previous chapters of this book have reconstructed: the Bird Operations of the 1960s, the Sabena rescue of 1972, the Entebbe operation of 1976, the Beirut raid of 1973, the Shaldag–IAF integrated operations of the early 1980s, the Beqaa Valley operation of June 1982. The operational logic had produced, in the Israeli political and military establishment, a level of institutional confidence in the SOF community’s operational adequacy that the community’s institutional leadership had, by the closing months of 1982, no institutional reason to question.</w:t>
      </w:r>
    </w:p>
    <w:p>
      <w:pPr>
        <w:pStyle w:val="BodyText"/>
      </w:pPr>
      <w:r>
        <w:t xml:space="preserve">The eighteen years between 1982 and 2000 were the years in which that institutional confidence was, slowly and incompletely, qualified. The qualification did not come from a single decisive event of the kind the SOF community’s operational template was institutionally designed to absorb. It came from the cumulative operational experience of the period — from the Lebanese asymmetric environment that the conventional SOF operational logic could not strategically resolve, from the Intifada urban environment that required a different institutional vehicle than the community had previously built, from the Gulf War strategic context that placed the community in an operational situation its institutional doctrine had no answer for, from the Ansariya catastrophe that demonstrated the operational legibility of the community’s templates to an adversary the institutional doctrine had not anticipated. The qualification was, by every operational measure, real. The institutional absorption of the qualification was, by every institutional measure, partial.</w:t>
      </w:r>
    </w:p>
    <w:p>
      <w:pPr>
        <w:pStyle w:val="BodyText"/>
      </w:pPr>
      <w:r>
        <w:t xml:space="preserve">That, in my reading, is what the asymmetric turn of the period was — an institutional turn the SOF community made part of the way through and not the whole way through. The community had built, by the May 2000 withdrawal, the institutional vehicles the asymmetric environment had required: Duvdevan and Shimshon and Yamas for the urban counterterrorism mission, the refounded Sayeret Egoz for the Lebanese frontier, the broader institutional ecology of mistarvim and dedicated regional formations the previous decade had constituted. The community had not, by the same May 2000 moment, fully accepted the institutional implication of those vehicles — that the operational logic on which the community had been built was, in the strategic environment the asymmetric turn had produced, no longer the operational logic the community needed to lead with. The institutional implication would, across the decade that followed, be forced on the community by the operational requirements of the Second Intifada and the Second Lebanon War. The next chapter is about that decade. The fourth entrepreneur of the book — Aviv Kochavi, whose intellectual reforms of the Israeli Military Intelligence Directorate across 2011 and 2014 would supply the institutional vocabulary the asymmetric turn had been waiting for — is the figure that chapter is about.</w:t>
      </w:r>
      <w:r>
        <w:rPr>
          <w:rStyle w:val="EndnoteReference"/>
        </w:rPr>
        <w:endnoteReference w:id="92"/>
      </w:r>
    </w:p>
    <w:bookmarkEnd w:id="93"/>
    <w:bookmarkStart w:id="94" w:name="notes"/>
    <w:p>
      <w:pPr>
        <w:pStyle w:val="Heading2"/>
      </w:pPr>
      <w:r>
        <w:t xml:space="preserve">Notes</w:t>
      </w:r>
    </w:p>
    <w:bookmarkEnd w:id="94"/>
    <w:bookmarkEnd w:id="95"/>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Eliezer Cohen and Zvi Lavi, The Sky Is Not the Limit [in Hebrew] (Tel-Aviv: Sifriyat Maariv, 1990), chap. 36; Iftach Spector, Loud and Clear: The Memoir of an Israeli Fighter Pilot (Tel-Aviv: Yedioth Aharonoth Chemed, 2008), chap. 16; Benny Morris, Righteous Victims: A History of the Zionist-Arab Conflict, 1881–2001 (New York: Vintage, 2001), chap. 11; Robert F. Lambeth, Moscow’s Lessons from the 1982 Lebanon Air War (Santa Monica: RAND Corporation, 1984); Tom Cooper and Yaron Efrat, Lebanese Civil War, Volume 5: The Israeli Invasion, 1982 (Warwick, UK: Helion, 2022).</w:t>
      </w:r>
    </w:p>
  </w:endnote>
  <w:endnote w:id="21">
    <w:p>
      <w:pPr>
        <w:pStyle w:val="EndnoteText"/>
      </w:pPr>
      <w:r>
        <w:rPr>
          <w:rStyle w:val="EndnoteReference"/>
        </w:rPr>
        <w:endnoteRef/>
      </w:r>
      <w:r>
        <w:t xml:space="preserve"> </w:t>
      </w:r>
      <w:r>
        <w:t xml:space="preserve">See chapter 7, §§7.8–7.10; Uzi Eilam, Eilam’s Arc: How Israel Became a Military Technology Powerhouse (Tel-Aviv: Yedioth Ahronoth, 2009), chaps. 11–13.</w:t>
      </w:r>
    </w:p>
  </w:endnote>
  <w:endnote w:id="22">
    <w:p>
      <w:pPr>
        <w:pStyle w:val="EndnoteText"/>
      </w:pPr>
      <w:r>
        <w:rPr>
          <w:rStyle w:val="EndnoteReference"/>
        </w:rPr>
        <w:endnoteRef/>
      </w:r>
      <w:r>
        <w:t xml:space="preserve"> </w:t>
      </w:r>
      <w:r>
        <w:t xml:space="preserve">Cohen and Lavi, The Sky Is Not the Limit, chap. 36; Spector, Loud and Clear, chap. 16; Cooper and Efrat, Lebanese Civil War, Volume 5, chaps. 9–10; Kobi Marenko,</w:t>
      </w:r>
      <w:r>
        <w:t xml:space="preserve"> </w:t>
      </w:r>
      <w:r>
        <w:t xml:space="preserve">“</w:t>
      </w:r>
      <w:r>
        <w:t xml:space="preserve">Purple Fist — Air-Surface Missile Against Missile Batteries</w:t>
      </w:r>
      <w:r>
        <w:t xml:space="preserve">”</w:t>
      </w:r>
      <w:r>
        <w:t xml:space="preserve"> </w:t>
      </w:r>
      <w:r>
        <w:t xml:space="preserve">[in Hebrew], Air Force Journal 192 (1993): 8.</w:t>
      </w:r>
    </w:p>
  </w:endnote>
  <w:endnote w:id="23">
    <w:p>
      <w:pPr>
        <w:pStyle w:val="EndnoteText"/>
      </w:pPr>
      <w:r>
        <w:rPr>
          <w:rStyle w:val="EndnoteReference"/>
        </w:rPr>
        <w:endnoteRef/>
      </w:r>
      <w:r>
        <w:t xml:space="preserve"> </w:t>
      </w:r>
      <w:r>
        <w:t xml:space="preserve">Cohen and Lavi, The Sky Is Not the Limit, chap. 36; Lambeth, Moscow’s Lessons; Aharon Levran, Israeli Strategy after Desert Storm (London: Frank Cass, 1997); Anthony Cordesman and Abraham Wagner, The Lessons of Modern War, Vol. I: The Arab-Israeli Conflicts, 1973–1989 (Boulder: Westview, 1990), chap. 5.</w:t>
      </w:r>
    </w:p>
  </w:endnote>
  <w:endnote w:id="25">
    <w:p>
      <w:pPr>
        <w:pStyle w:val="EndnoteText"/>
      </w:pPr>
      <w:r>
        <w:rPr>
          <w:rStyle w:val="EndnoteReference"/>
        </w:rPr>
        <w:endnoteRef/>
      </w:r>
      <w:r>
        <w:t xml:space="preserve"> </w:t>
      </w:r>
      <w:r>
        <w:t xml:space="preserve">Ze’ev Schiff and Ehud Yaari, Israel’s Lebanon War (New York: Simon and Schuster, 1984); Anthony Cordesman, The Lessons of Modern War, Vol. III: The Afghan and Falklands Conflicts; Yagil Henkin, The 1982 Lebanon War: The Origins of the Disaster [in Hebrew] (Tel-Aviv: Ministry of Defense, 2015); Patrick Seale, Abu Nidal: A Gun for Hire (London: Hutchinson, 1992), chap. 12.</w:t>
      </w:r>
    </w:p>
  </w:endnote>
  <w:endnote w:id="26">
    <w:p>
      <w:pPr>
        <w:pStyle w:val="EndnoteText"/>
      </w:pPr>
      <w:r>
        <w:rPr>
          <w:rStyle w:val="EndnoteReference"/>
        </w:rPr>
        <w:endnoteRef/>
      </w:r>
      <w:r>
        <w:t xml:space="preserve"> </w:t>
      </w:r>
      <w:r>
        <w:t xml:space="preserve">Yossi Ben-Ari, Beaufort [in Hebrew] (Tel-Aviv: Maariv Book Guild, 1985); Ron Leshem, Beaufort [in Hebrew] (Tel-Aviv: Zmora Bitan, 2005); IDF Memorial Site database.</w:t>
      </w:r>
    </w:p>
  </w:endnote>
  <w:endnote w:id="27">
    <w:p>
      <w:pPr>
        <w:pStyle w:val="EndnoteText"/>
      </w:pPr>
      <w:r>
        <w:rPr>
          <w:rStyle w:val="EndnoteReference"/>
        </w:rPr>
        <w:endnoteRef/>
      </w:r>
      <w:r>
        <w:t xml:space="preserve"> </w:t>
      </w:r>
      <w:r>
        <w:t xml:space="preserve">Muki Betser and Robert Rosenberg, Secret Soldier: The True Life Story of Israel’s Greatest Commando (New York: Atlantic Monthly Press, 1996), chaps. 14–15; Gal Hirsch, War Story, Love Story [in Hebrew] (Tel-Aviv: Yedioth Aharonoth, 2009), chap. 4; see chapter 7, §§7.8–7.12.</w:t>
      </w:r>
    </w:p>
  </w:endnote>
  <w:endnote w:id="28">
    <w:p>
      <w:pPr>
        <w:pStyle w:val="EndnoteText"/>
      </w:pPr>
      <w:r>
        <w:rPr>
          <w:rStyle w:val="EndnoteReference"/>
        </w:rPr>
        <w:endnoteRef/>
      </w:r>
      <w:r>
        <w:t xml:space="preserve"> </w:t>
      </w:r>
      <w:r>
        <w:t xml:space="preserve">Moshe Zonder, Sayeret Matkal [in Hebrew] (Jerusalem: Keter, 2000), chap. 8; Avner Shur, Border Crosser: The Story of Avraham Arnan [in Hebrew] (Or Yehuda: Kineret, 2008), chaps. 18–19; Eliot Cohen and John Gooch, Military Misfortunes: The Anatomy of Failure in War (New York: Free Press, 1990), chap. 4.</w:t>
      </w:r>
    </w:p>
  </w:endnote>
  <w:endnote w:id="29">
    <w:p>
      <w:pPr>
        <w:pStyle w:val="EndnoteText"/>
      </w:pPr>
      <w:r>
        <w:rPr>
          <w:rStyle w:val="EndnoteReference"/>
        </w:rPr>
        <w:endnoteRef/>
      </w:r>
      <w:r>
        <w:t xml:space="preserve"> </w:t>
      </w:r>
      <w:r>
        <w:t xml:space="preserve">Schiff and Yaari, Israel’s Lebanon War, chaps. 9–10; Hirsch, War Story, Love Story, chap. 4; Zonder, Sayeret Matkal, chap. 8.</w:t>
      </w:r>
    </w:p>
  </w:endnote>
  <w:endnote w:id="30">
    <w:p>
      <w:pPr>
        <w:pStyle w:val="EndnoteText"/>
      </w:pPr>
      <w:r>
        <w:rPr>
          <w:rStyle w:val="EndnoteReference"/>
        </w:rPr>
        <w:endnoteRef/>
      </w:r>
      <w:r>
        <w:t xml:space="preserve"> </w:t>
      </w:r>
      <w:r>
        <w:t xml:space="preserve">Schiff and Yaari, Israel’s Lebanon War, chap. 11; Itamar Rabinovich, The War for Lebanon, 1970–1985, rev. ed. (Ithaca: Cornell University Press, 1985), chap. 5; Henkin, The 1982 Lebanon War.</w:t>
      </w:r>
    </w:p>
  </w:endnote>
  <w:endnote w:id="32">
    <w:p>
      <w:pPr>
        <w:pStyle w:val="EndnoteText"/>
      </w:pPr>
      <w:r>
        <w:rPr>
          <w:rStyle w:val="EndnoteReference"/>
        </w:rPr>
        <w:endnoteRef/>
      </w:r>
      <w:r>
        <w:t xml:space="preserve"> </w:t>
      </w:r>
      <w:r>
        <w:t xml:space="preserve">Schiff and Yaari, Israel’s Lebanon War, chaps. 12–13; Seth Anziska, Preventing Palestine: A Political History from Camp David to Oslo (Princeton: Princeton University Press, 2018), chap. 4; Robert Maroun Hatem (Cobra), From Israel to Damascus: The Painful Road of Blood, Betrayal and Deception (n.p.: Pride International Press, 1999); Israeli Ministry of Foreign Affairs Online Archive.</w:t>
      </w:r>
    </w:p>
  </w:endnote>
  <w:endnote w:id="33">
    <w:p>
      <w:pPr>
        <w:pStyle w:val="EndnoteText"/>
      </w:pPr>
      <w:r>
        <w:rPr>
          <w:rStyle w:val="EndnoteReference"/>
        </w:rPr>
        <w:endnoteRef/>
      </w:r>
      <w:r>
        <w:t xml:space="preserve"> </w:t>
      </w:r>
      <w:r>
        <w:t xml:space="preserve">Anziska, Preventing Palestine, chap. 4; Rabinovich, War for Lebanon, chaps. 5–6; Kamal Salibi, A House of Many Mansions: The History of Lebanon Reconsidered (Berkeley: University of California Press, 1988), chap. 8.</w:t>
      </w:r>
    </w:p>
  </w:endnote>
  <w:endnote w:id="34">
    <w:p>
      <w:pPr>
        <w:pStyle w:val="EndnoteText"/>
      </w:pPr>
      <w:r>
        <w:rPr>
          <w:rStyle w:val="EndnoteReference"/>
        </w:rPr>
        <w:endnoteRef/>
      </w:r>
      <w:r>
        <w:t xml:space="preserve"> </w:t>
      </w:r>
      <w:r>
        <w:t xml:space="preserve">Augustus Richard Norton, Hezbollah: A Short History, 3rd ed. (Princeton: Princeton University Press, 2018), chaps. 1–2; Naim Qassem, Hizbullah: The Story from Within (London: Saqi Books, 2005); Marius Deeb, Syria’s Terrorist War on Lebanon and the Peace Process (London: Palgrave Macmillan, 2003), chap. 3; Augustus Richard Norton, Amal and the Shi’a: Struggle for the Soul of Lebanon (Austin: University of Texas Press, 1987), chaps. 4–5; Joseph Alagha, The Shifts in Hizbullah’s Ideology: Religious Ideology, Political Ideology, and Political Program (Amsterdam: Amsterdam University Press, 2006), appendix A.</w:t>
      </w:r>
    </w:p>
  </w:endnote>
  <w:endnote w:id="35">
    <w:p>
      <w:pPr>
        <w:pStyle w:val="EndnoteText"/>
      </w:pPr>
      <w:r>
        <w:rPr>
          <w:rStyle w:val="EndnoteReference"/>
        </w:rPr>
        <w:endnoteRef/>
      </w:r>
      <w:r>
        <w:t xml:space="preserve"> </w:t>
      </w:r>
      <w:r>
        <w:t xml:space="preserve">Norton, Hezbollah: A Short History, chap. 2; Robert Baer, See No Evil: The True Story of a Ground Soldier in the CIA’s War on Terrorism (New York: Crown, 2002), chap. 5; Eric Hammel, The Root: The Marines in Beirut, August 1982 – February 1984 (New York: Pacifica Military History, 1993); Norton, Hezbollah, chap. 2; Ami Pedahzur, Suicide Terrorism (Cambridge: Polity, 2005), chaps. 2–3; Daniel Byman, A High Price: The Triumphs and Failures of Israeli Counterterrorism (Oxford: Oxford University Press, 2011), chap. 8.</w:t>
      </w:r>
    </w:p>
  </w:endnote>
  <w:endnote w:id="36">
    <w:p>
      <w:pPr>
        <w:pStyle w:val="EndnoteText"/>
      </w:pPr>
      <w:r>
        <w:rPr>
          <w:rStyle w:val="EndnoteReference"/>
        </w:rPr>
        <w:endnoteRef/>
      </w:r>
      <w:r>
        <w:t xml:space="preserve"> </w:t>
      </w:r>
      <w:r>
        <w:t xml:space="preserve">See chapter 7, §§7.11–7.13; Hirsch, War Story, Love Story, chap. 4; Ofer Shelah and Yoav Limor, Captives of Lebanon [in Hebrew] (Tel-Aviv: Yedioth Aharonoth, 2007), chap. 1.</w:t>
      </w:r>
    </w:p>
  </w:endnote>
  <w:endnote w:id="37">
    <w:p>
      <w:pPr>
        <w:pStyle w:val="EndnoteText"/>
      </w:pPr>
      <w:r>
        <w:rPr>
          <w:rStyle w:val="EndnoteReference"/>
        </w:rPr>
        <w:endnoteRef/>
      </w:r>
      <w:r>
        <w:t xml:space="preserve"> </w:t>
      </w:r>
      <w:r>
        <w:t xml:space="preserve">Schiff and Yaari, Israel’s Lebanon War, epilogue; Yagil Henkin, Either We Win or We Perish: The History of the IDF in the First Lebanon War [in Hebrew] (Tel-Aviv: Ministry of Defense, 2015), chaps. 14–15; Anziska, Preventing Palestine, chap. 5; Yossi Beilin, Touching Peace: From the Oslo Accord to a Final Agreement (London: Weidenfeld and Nicolson, 1999), prologue.</w:t>
      </w:r>
    </w:p>
  </w:endnote>
  <w:endnote w:id="39">
    <w:p>
      <w:pPr>
        <w:pStyle w:val="EndnoteText"/>
      </w:pPr>
      <w:r>
        <w:rPr>
          <w:rStyle w:val="EndnoteReference"/>
        </w:rPr>
        <w:endnoteRef/>
      </w:r>
      <w:r>
        <w:t xml:space="preserve"> </w:t>
      </w:r>
      <w:r>
        <w:t xml:space="preserve">Beate Hamizrachi, The Emergence of the South Lebanon Security Belt: Major Saad Haddad and the Ties with Israel, 1975–1978 (New York: Praeger, 1988); Aaron Mannes, Profiles in Terror: The Guide to Middle East Terrorist Organizations (Lanham: Rowman and Littlefield, 2004), entry on SLA; Eitan Haber,</w:t>
      </w:r>
      <w:r>
        <w:t xml:space="preserve"> </w:t>
      </w:r>
      <w:r>
        <w:t xml:space="preserve">“</w:t>
      </w:r>
      <w:r>
        <w:t xml:space="preserve">The South Lebanon Army: Israel’s Lebanese Allies</w:t>
      </w:r>
      <w:r>
        <w:t xml:space="preserve">”</w:t>
      </w:r>
      <w:r>
        <w:t xml:space="preserve"> </w:t>
      </w:r>
      <w:r>
        <w:t xml:space="preserve">[in Hebrew], Maariv, 24 June 1985.</w:t>
      </w:r>
    </w:p>
  </w:endnote>
  <w:endnote w:id="40">
    <w:p>
      <w:pPr>
        <w:pStyle w:val="EndnoteText"/>
      </w:pPr>
      <w:r>
        <w:rPr>
          <w:rStyle w:val="EndnoteReference"/>
        </w:rPr>
        <w:endnoteRef/>
      </w:r>
      <w:r>
        <w:t xml:space="preserve"> </w:t>
      </w:r>
      <w:r>
        <w:t xml:space="preserve">Shelah and Limor, Captives of Lebanon, chap. 1; Leshem, Beaufort; Moshe Tamir, Undeclared War [in Hebrew] (Tel Aviv: Ministry of Defense, 2005), chap. 3.</w:t>
      </w:r>
    </w:p>
  </w:endnote>
  <w:endnote w:id="41">
    <w:p>
      <w:pPr>
        <w:pStyle w:val="EndnoteText"/>
      </w:pPr>
      <w:r>
        <w:rPr>
          <w:rStyle w:val="EndnoteReference"/>
        </w:rPr>
        <w:endnoteRef/>
      </w:r>
      <w:r>
        <w:t xml:space="preserve"> </w:t>
      </w:r>
      <w:r>
        <w:t xml:space="preserve">Shelah and Limor, Captives of Lebanon, chap. 1; Ehud Eiran, The Essence of Longing: General Erez Gerstein and the War in Lebanon [in Hebrew] (Tel-Aviv: Yedioth Aharonoth Chemed, 2007), chaps. 3–5; Anthony Cordesman and Abraham Wagner, The Lessons of Modern War, Vol. IV: The Gulf War (Boulder: Westview, 1996).</w:t>
      </w:r>
    </w:p>
  </w:endnote>
  <w:endnote w:id="42">
    <w:p>
      <w:pPr>
        <w:pStyle w:val="EndnoteText"/>
      </w:pPr>
      <w:r>
        <w:rPr>
          <w:rStyle w:val="EndnoteReference"/>
        </w:rPr>
        <w:endnoteRef/>
      </w:r>
      <w:r>
        <w:t xml:space="preserve"> </w:t>
      </w:r>
      <w:r>
        <w:t xml:space="preserve">Tamir, Undeclared War, chap. 5; Israeli Intelligence: A New Approach, Aman Heritage Center publication series; Hirsch, War Story, Love Story, chap. 4.</w:t>
      </w:r>
    </w:p>
  </w:endnote>
  <w:endnote w:id="43">
    <w:p>
      <w:pPr>
        <w:pStyle w:val="EndnoteText"/>
      </w:pPr>
      <w:r>
        <w:rPr>
          <w:rStyle w:val="EndnoteReference"/>
        </w:rPr>
        <w:endnoteRef/>
      </w:r>
      <w:r>
        <w:t xml:space="preserve"> </w:t>
      </w:r>
      <w:r>
        <w:t xml:space="preserve">Tamir, Undeclared War, chap. 7; Eiran, Essence of Longing, chaps. 4–6.</w:t>
      </w:r>
    </w:p>
  </w:endnote>
  <w:endnote w:id="45">
    <w:p>
      <w:pPr>
        <w:pStyle w:val="EndnoteText"/>
      </w:pPr>
      <w:r>
        <w:rPr>
          <w:rStyle w:val="EndnoteReference"/>
        </w:rPr>
        <w:endnoteRef/>
      </w:r>
      <w:r>
        <w:t xml:space="preserve"> </w:t>
      </w:r>
      <w:r>
        <w:t xml:space="preserve">Moshe Givati, Abir 21: The Story of Eli Avram, Commander of the Mistarvim Unit [in Hebrew] (Jerusalem: Reut, 2003), 84; Stuart Cohen,</w:t>
      </w:r>
      <w:r>
        <w:t xml:space="preserve"> </w:t>
      </w:r>
      <w:r>
        <w:t xml:space="preserve">“</w:t>
      </w:r>
      <w:r>
        <w:t xml:space="preserve">‘</w:t>
      </w:r>
      <w:r>
        <w:t xml:space="preserve">Masqueraders</w:t>
      </w:r>
      <w:r>
        <w:t xml:space="preserve">’</w:t>
      </w:r>
      <w:r>
        <w:t xml:space="preserve"> </w:t>
      </w:r>
      <w:r>
        <w:t xml:space="preserve">in the Israel Defense Forces, 1991–1992: The Military Unit and the Public Debate,</w:t>
      </w:r>
      <w:r>
        <w:t xml:space="preserve">”</w:t>
      </w:r>
      <w:r>
        <w:t xml:space="preserve"> </w:t>
      </w:r>
      <w:r>
        <w:t xml:space="preserve">Low-Intensity Conflict and Law Enforcement 2, no. 2 (1993): 282–300; Mordechai Bar-On, Moshe Dayan: A Biography 1915–1981 [in Hebrew] (Tel-Aviv: Am Oved, 2014).</w:t>
      </w:r>
    </w:p>
  </w:endnote>
  <w:endnote w:id="46">
    <w:p>
      <w:pPr>
        <w:pStyle w:val="EndnoteText"/>
      </w:pPr>
      <w:r>
        <w:rPr>
          <w:rStyle w:val="EndnoteReference"/>
        </w:rPr>
        <w:endnoteRef/>
      </w:r>
      <w:r>
        <w:t xml:space="preserve"> </w:t>
      </w:r>
      <w:r>
        <w:t xml:space="preserve">Daniel Byman, A High Price: The Triumphs and Failures of Israeli Counterterrorism (Oxford: Oxford University Press, 2011), chaps. 5–6; Ami Pedahzur, The Israeli Secret Services and the Struggle against Terrorism (New York: Columbia University Press, 2009), chaps. 3–4; Yossi Melman, Every Spy a Prince: The Complete History of Israel’s Intelligence Community (Boston: Houghton Mifflin, 1990), chaps. 14–15.</w:t>
      </w:r>
    </w:p>
  </w:endnote>
  <w:endnote w:id="47">
    <w:p>
      <w:pPr>
        <w:pStyle w:val="EndnoteText"/>
      </w:pPr>
      <w:r>
        <w:rPr>
          <w:rStyle w:val="EndnoteReference"/>
        </w:rPr>
        <w:endnoteRef/>
      </w:r>
      <w:r>
        <w:t xml:space="preserve"> </w:t>
      </w:r>
      <w:r>
        <w:t xml:space="preserve">See chapter 3, §3.6; chapter 4, §§4.2, 4.4; Yaakov Markovitzki, Palmach’s Special Ground Units [in Hebrew] (Tel-Aviv: Ministry of Defense, 1989), chaps. 3–4; see chapter 4, §4.7.</w:t>
      </w:r>
    </w:p>
  </w:endnote>
  <w:endnote w:id="48">
    <w:p>
      <w:pPr>
        <w:pStyle w:val="EndnoteText"/>
      </w:pPr>
      <w:r>
        <w:rPr>
          <w:rStyle w:val="EndnoteReference"/>
        </w:rPr>
        <w:endnoteRef/>
      </w:r>
      <w:r>
        <w:t xml:space="preserve"> </w:t>
      </w:r>
      <w:r>
        <w:t xml:space="preserve">Ehud Barak, My Country, My Life: Fighting for Israel, Searching for Peace (New York: St. Martin’s Press, 2018), chaps. 14–15; Givati, Abir 21, 84–95; see chapter 4, §§4.5–4.6; chapter 5, §§5.6–5.8; chapter 7, §§7.7–7.10.</w:t>
      </w:r>
    </w:p>
  </w:endnote>
  <w:endnote w:id="49">
    <w:p>
      <w:pPr>
        <w:pStyle w:val="EndnoteText"/>
      </w:pPr>
      <w:r>
        <w:rPr>
          <w:rStyle w:val="EndnoteReference"/>
        </w:rPr>
        <w:endnoteRef/>
      </w:r>
      <w:r>
        <w:t xml:space="preserve"> </w:t>
      </w:r>
      <w:r>
        <w:t xml:space="preserve">Givati, Abir 21, 84–95;</w:t>
      </w:r>
      <w:r>
        <w:t xml:space="preserve"> </w:t>
      </w:r>
      <w:r>
        <w:t xml:space="preserve">“</w:t>
      </w:r>
      <w:r>
        <w:t xml:space="preserve">Duvdevan Unit,</w:t>
      </w:r>
      <w:r>
        <w:t xml:space="preserve">”</w:t>
      </w:r>
      <w:r>
        <w:t xml:space="preserve"> </w:t>
      </w:r>
      <w:r>
        <w:t xml:space="preserve">IDF Spokesperson partial public profile, accessed 26 May 2026, http://www.idf.il [partial declassification, 2008]; Shlomi Tzipori, Justice in Disguise [in Hebrew] (Tel-Aviv: Agam, 2004).</w:t>
      </w:r>
    </w:p>
  </w:endnote>
  <w:endnote w:id="50">
    <w:p>
      <w:pPr>
        <w:pStyle w:val="EndnoteText"/>
      </w:pPr>
      <w:r>
        <w:rPr>
          <w:rStyle w:val="EndnoteReference"/>
        </w:rPr>
        <w:endnoteRef/>
      </w:r>
      <w:r>
        <w:t xml:space="preserve"> </w:t>
      </w:r>
      <w:r>
        <w:t xml:space="preserve">Yosef Argaman, The Border: The History of the Border Guard [in Hebrew] (Tel Aviv: Ministry of Defense, 1996), chaps. 9–10; Givati, Abir 21, 84; Cohen,</w:t>
      </w:r>
      <w:r>
        <w:t xml:space="preserve"> </w:t>
      </w:r>
      <w:r>
        <w:t xml:space="preserve">“</w:t>
      </w:r>
      <w:r>
        <w:t xml:space="preserve">‘</w:t>
      </w:r>
      <w:r>
        <w:t xml:space="preserve">Masqueraders</w:t>
      </w:r>
      <w:r>
        <w:t xml:space="preserve">’</w:t>
      </w:r>
      <w:r>
        <w:t xml:space="preserve"> </w:t>
      </w:r>
      <w:r>
        <w:t xml:space="preserve">in the Israel Defense Forces,</w:t>
      </w:r>
      <w:r>
        <w:t xml:space="preserve">”</w:t>
      </w:r>
      <w:r>
        <w:t xml:space="preserve"> </w:t>
      </w:r>
      <w:r>
        <w:t xml:space="preserve">295–98; Pedahzur, Israeli Secret Services, chap. 6.</w:t>
      </w:r>
    </w:p>
  </w:endnote>
  <w:endnote w:id="52">
    <w:p>
      <w:pPr>
        <w:pStyle w:val="EndnoteText"/>
      </w:pPr>
      <w:r>
        <w:rPr>
          <w:rStyle w:val="EndnoteReference"/>
        </w:rPr>
        <w:endnoteRef/>
      </w:r>
      <w:r>
        <w:t xml:space="preserve"> </w:t>
      </w:r>
      <w:r>
        <w:t xml:space="preserve">Don Peretz, Intifada: The Palestinian Uprising (Boulder: Westview, 1990), chap. 1; Zachary Lockman and Joel Beinin, eds., Intifada: The Palestinian Uprising against Israeli Occupation (Boston: South End Press, 1989), introductory chapter; Tom Segev, The Seventh Million: The Israelis and the Holocaust (New York: Henry Holt, 1993), epilogue; Benny Morris, Righteous Victims: A History of the Zionist-Arab Conflict, 1881–2001 (New York: Vintage, 2001), chap. 12.</w:t>
      </w:r>
    </w:p>
  </w:endnote>
  <w:endnote w:id="53">
    <w:p>
      <w:pPr>
        <w:pStyle w:val="EndnoteText"/>
      </w:pPr>
      <w:r>
        <w:rPr>
          <w:rStyle w:val="EndnoteReference"/>
        </w:rPr>
        <w:endnoteRef/>
      </w:r>
      <w:r>
        <w:t xml:space="preserve"> </w:t>
      </w:r>
      <w:r>
        <w:t xml:space="preserve">Reuven Gal, ed., The Seventh War: The Effects of the Intifada on the Israeli Society [in Hebrew] (Tel-Aviv: HaKibbutz HaMeuchad, 1990); Stuart Cohen, Israel and Its Army: From Cohesion to Confusion (London: Routledge, 2008), chap. 5; David Eshel, Israel’s Israeli Army Confronts the Intifada (Tel-Aviv: Eshel-Dramit, 1988); see chapter 4.</w:t>
      </w:r>
    </w:p>
  </w:endnote>
  <w:endnote w:id="54">
    <w:p>
      <w:pPr>
        <w:pStyle w:val="EndnoteText"/>
      </w:pPr>
      <w:r>
        <w:rPr>
          <w:rStyle w:val="EndnoteReference"/>
        </w:rPr>
        <w:endnoteRef/>
      </w:r>
      <w:r>
        <w:t xml:space="preserve"> </w:t>
      </w:r>
      <w:r>
        <w:t xml:space="preserve">Peretz, Intifada, chaps. 3–4; David McDowall, Palestine and Israel: The Uprising and Beyond (Berkeley: University of California Press, 1989), chap. 5; Morris, Righteous Victims, chap. 12; Yitzhak Rabin and Dov Goldstein, The Rabin Memoirs, expanded ed. (Berkeley: University of California Press, 1996), chap. 14.</w:t>
      </w:r>
    </w:p>
  </w:endnote>
  <w:endnote w:id="55">
    <w:p>
      <w:pPr>
        <w:pStyle w:val="EndnoteText"/>
      </w:pPr>
      <w:r>
        <w:rPr>
          <w:rStyle w:val="EndnoteReference"/>
        </w:rPr>
        <w:endnoteRef/>
      </w:r>
      <w:r>
        <w:t xml:space="preserve"> </w:t>
      </w:r>
      <w:r>
        <w:t xml:space="preserve">Jean-François Legrain, The Islamic Movement and the Intifada (Berkeley: University of California Press, 1990); Khaled Hroub, Hamas: Political Thought and Practice (Washington: Institute for Palestine Studies, 2000), chaps. 1–2; Pedahzur, Israeli Secret Services, chaps. 5–6; Ronen Bergman, The Secret War with Iran: The 30-Year Clandestine Struggle against the World’s Most Dangerous Terrorist Power (New York: Free Press, 2008), chap. 2.</w:t>
      </w:r>
    </w:p>
  </w:endnote>
  <w:endnote w:id="56">
    <w:p>
      <w:pPr>
        <w:pStyle w:val="EndnoteText"/>
      </w:pPr>
      <w:r>
        <w:rPr>
          <w:rStyle w:val="EndnoteReference"/>
        </w:rPr>
        <w:endnoteRef/>
      </w:r>
      <w:r>
        <w:t xml:space="preserve"> </w:t>
      </w:r>
      <w:r>
        <w:t xml:space="preserve">Givati, Abir 21, 95–140; Pedahzur, Israeli Secret Services, chap. 6.</w:t>
      </w:r>
    </w:p>
  </w:endnote>
  <w:endnote w:id="57">
    <w:p>
      <w:pPr>
        <w:pStyle w:val="EndnoteText"/>
      </w:pPr>
      <w:r>
        <w:rPr>
          <w:rStyle w:val="EndnoteReference"/>
        </w:rPr>
        <w:endnoteRef/>
      </w:r>
      <w:r>
        <w:t xml:space="preserve"> </w:t>
      </w:r>
      <w:r>
        <w:t xml:space="preserve">Cohen,</w:t>
      </w:r>
      <w:r>
        <w:t xml:space="preserve"> </w:t>
      </w:r>
      <w:r>
        <w:t xml:space="preserve">“</w:t>
      </w:r>
      <w:r>
        <w:t xml:space="preserve">‘</w:t>
      </w:r>
      <w:r>
        <w:t xml:space="preserve">Masqueraders</w:t>
      </w:r>
      <w:r>
        <w:t xml:space="preserve">’</w:t>
      </w:r>
      <w:r>
        <w:t xml:space="preserve"> </w:t>
      </w:r>
      <w:r>
        <w:t xml:space="preserve">in the Israel Defense Forces,</w:t>
      </w:r>
      <w:r>
        <w:t xml:space="preserve">”</w:t>
      </w:r>
      <w:r>
        <w:t xml:space="preserve"> </w:t>
      </w:r>
      <w:r>
        <w:t xml:space="preserve">295–98; Givati, Abir 21, 145–55; Pedahzur, Israeli Secret Services, chap. 6.</w:t>
      </w:r>
    </w:p>
  </w:endnote>
  <w:endnote w:id="58">
    <w:p>
      <w:pPr>
        <w:pStyle w:val="EndnoteText"/>
      </w:pPr>
      <w:r>
        <w:rPr>
          <w:rStyle w:val="EndnoteReference"/>
        </w:rPr>
        <w:endnoteRef/>
      </w:r>
      <w:r>
        <w:t xml:space="preserve"> </w:t>
      </w:r>
      <w:r>
        <w:t xml:space="preserve">Avi Shlaim, The Iron Wall: Israel and the Arab World, updated ed. (New York: W. W. Norton, 2014), chap. 14; see chapter 9, §§9.2–9.3.</w:t>
      </w:r>
    </w:p>
  </w:endnote>
  <w:endnote w:id="60">
    <w:p>
      <w:pPr>
        <w:pStyle w:val="EndnoteText"/>
      </w:pPr>
      <w:r>
        <w:rPr>
          <w:rStyle w:val="EndnoteReference"/>
        </w:rPr>
        <w:endnoteRef/>
      </w:r>
      <w:r>
        <w:t xml:space="preserve"> </w:t>
      </w:r>
      <w:r>
        <w:t xml:space="preserve">Lawrence Freedman and Efraim Karsh, The Gulf Conflict, 1990–1991 (Princeton: Princeton University Press, 1993), chap. 18; Yitzhak Klein, A Theory of Strategic Culture (London: Routledge, 1993); Theodore Postol,</w:t>
      </w:r>
      <w:r>
        <w:t xml:space="preserve"> </w:t>
      </w:r>
      <w:r>
        <w:t xml:space="preserve">“</w:t>
      </w:r>
      <w:r>
        <w:t xml:space="preserve">Lessons of the Gulf War Experience with Patriot,</w:t>
      </w:r>
      <w:r>
        <w:t xml:space="preserve">”</w:t>
      </w:r>
      <w:r>
        <w:t xml:space="preserve"> </w:t>
      </w:r>
      <w:r>
        <w:t xml:space="preserve">International Security 16, no. 3 (Winter 1991/1992): 119–71.</w:t>
      </w:r>
    </w:p>
  </w:endnote>
  <w:endnote w:id="61">
    <w:p>
      <w:pPr>
        <w:pStyle w:val="EndnoteText"/>
      </w:pPr>
      <w:r>
        <w:rPr>
          <w:rStyle w:val="EndnoteReference"/>
        </w:rPr>
        <w:endnoteRef/>
      </w:r>
      <w:r>
        <w:t xml:space="preserve"> </w:t>
      </w:r>
      <w:r>
        <w:t xml:space="preserve">George H. W. Bush and Brent Scowcroft, A World Transformed (New York: Knopf, 1998), chap. 15; Lawrence Freedman, Choice of Enemies: America Confronts the Middle East (London: Weidenfeld and Nicolson, 2008), chap. 4; the Israeli press of January–February 1991; Moshe Arens, Broken Covenant: American Foreign Policy and the Crisis between the United States and Israel (New York: Simon and Schuster, 1995), chap. 6.</w:t>
      </w:r>
    </w:p>
  </w:endnote>
  <w:endnote w:id="62">
    <w:p>
      <w:pPr>
        <w:pStyle w:val="EndnoteText"/>
      </w:pPr>
      <w:r>
        <w:rPr>
          <w:rStyle w:val="EndnoteReference"/>
        </w:rPr>
        <w:endnoteRef/>
      </w:r>
      <w:r>
        <w:t xml:space="preserve"> </w:t>
      </w:r>
      <w:r>
        <w:t xml:space="preserve">Yaakov Katz and Yoaz Hendel, Israel vs. Iran: The Shadow War (Washington: Potomac Books, 2012), chap. 1; Amos Gilboa and Ephraim Lapid, Israeli Intelligence: A Look from Within; Avner Shur and Aviram Halevi, Sayeret Matkal [in Hebrew] (Rishon LeTsiyon: Yediot Aharonot: Sifrei Hemed, 2020), chap. 11.</w:t>
      </w:r>
    </w:p>
  </w:endnote>
  <w:endnote w:id="63">
    <w:p>
      <w:pPr>
        <w:pStyle w:val="EndnoteText"/>
      </w:pPr>
      <w:r>
        <w:rPr>
          <w:rStyle w:val="EndnoteReference"/>
        </w:rPr>
        <w:endnoteRef/>
      </w:r>
      <w:r>
        <w:t xml:space="preserve"> </w:t>
      </w:r>
      <w:r>
        <w:t xml:space="preserve">Andy McNab, Bravo Two Zero: The Original SAS Story (London: Bantam Press, 1993); Michael R. Gordon and Bernard E. Trainor, The Generals’ War: The Inside Story of the Conflict in the Gulf (New York: Little, Brown, 1995), chap. 9.</w:t>
      </w:r>
    </w:p>
  </w:endnote>
  <w:endnote w:id="64">
    <w:p>
      <w:pPr>
        <w:pStyle w:val="EndnoteText"/>
      </w:pPr>
      <w:r>
        <w:rPr>
          <w:rStyle w:val="EndnoteReference"/>
        </w:rPr>
        <w:endnoteRef/>
      </w:r>
      <w:r>
        <w:t xml:space="preserve"> </w:t>
      </w:r>
      <w:r>
        <w:t xml:space="preserve">Omri Assenheim, Tse’elim [in Hebrew] (Or Yehuda: Kineret/Zemorah-Bitan, 2012); Shur and Halevi, Sayeret Matkal, chap. 11; Rabin and Goldstein, Rabin Memoirs, chap. 16.</w:t>
      </w:r>
    </w:p>
  </w:endnote>
  <w:endnote w:id="65">
    <w:p>
      <w:pPr>
        <w:pStyle w:val="EndnoteText"/>
      </w:pPr>
      <w:r>
        <w:rPr>
          <w:rStyle w:val="EndnoteReference"/>
        </w:rPr>
        <w:endnoteRef/>
      </w:r>
      <w:r>
        <w:t xml:space="preserve"> </w:t>
      </w:r>
      <w:r>
        <w:t xml:space="preserve">Cohen and Gooch, Military Misfortunes; see chapter 9.</w:t>
      </w:r>
    </w:p>
  </w:endnote>
  <w:endnote w:id="67">
    <w:p>
      <w:pPr>
        <w:pStyle w:val="EndnoteText"/>
      </w:pPr>
      <w:r>
        <w:rPr>
          <w:rStyle w:val="EndnoteReference"/>
        </w:rPr>
        <w:endnoteRef/>
      </w:r>
      <w:r>
        <w:t xml:space="preserve"> </w:t>
      </w:r>
      <w:r>
        <w:t xml:space="preserve">Stephen Spector, Operation Solomon: The Daring Rescue of the Ethiopian Jews (Oxford: Oxford University Press, 2005); Mitchell G. Bard, From Tragedy to Triumph: The Politics behind the Rescue of Ethiopian Jewry (Westport, CT: Praeger, 2002).</w:t>
      </w:r>
    </w:p>
  </w:endnote>
  <w:endnote w:id="68">
    <w:p>
      <w:pPr>
        <w:pStyle w:val="EndnoteText"/>
      </w:pPr>
      <w:r>
        <w:rPr>
          <w:rStyle w:val="EndnoteReference"/>
        </w:rPr>
        <w:endnoteRef/>
      </w:r>
      <w:r>
        <w:t xml:space="preserve"> </w:t>
      </w:r>
      <w:r>
        <w:t xml:space="preserve">Bard, From Tragedy to Triumph, chaps. 2–4; Daniel Friedmann, Who Is a Jew? A Case-by-Case Examination (Tel-Aviv: Yedioth Aharonoth, 2007); Andargachew Tiruneh, The Ethiopian Revolution, 1974–1987: A Transformation from an Aristocratic to a Totalitarian Autocracy (Cambridge: Cambridge University Press, 1993).</w:t>
      </w:r>
    </w:p>
  </w:endnote>
  <w:endnote w:id="69">
    <w:p>
      <w:pPr>
        <w:pStyle w:val="EndnoteText"/>
      </w:pPr>
      <w:r>
        <w:rPr>
          <w:rStyle w:val="EndnoteReference"/>
        </w:rPr>
        <w:endnoteRef/>
      </w:r>
      <w:r>
        <w:t xml:space="preserve"> </w:t>
      </w:r>
      <w:r>
        <w:t xml:space="preserve">Bard, From Tragedy to Triumph, chaps. 5–7; the IDF Spokesperson’s late-1990s declassification documents; Tudor Parfitt, Operation Moses: The Untold Story of the Secret Exodus of the Falasha Jews from Ethiopia (New York: Stein and Day, 1985).</w:t>
      </w:r>
    </w:p>
  </w:endnote>
  <w:endnote w:id="70">
    <w:p>
      <w:pPr>
        <w:pStyle w:val="EndnoteText"/>
      </w:pPr>
      <w:r>
        <w:rPr>
          <w:rStyle w:val="EndnoteReference"/>
        </w:rPr>
        <w:endnoteRef/>
      </w:r>
      <w:r>
        <w:t xml:space="preserve"> </w:t>
      </w:r>
      <w:r>
        <w:t xml:space="preserve">Bard, From Tragedy to Triumph; Spector, Operation Solomon, prologue.</w:t>
      </w:r>
    </w:p>
  </w:endnote>
  <w:endnote w:id="71">
    <w:p>
      <w:pPr>
        <w:pStyle w:val="EndnoteText"/>
      </w:pPr>
      <w:r>
        <w:rPr>
          <w:rStyle w:val="EndnoteReference"/>
        </w:rPr>
        <w:endnoteRef/>
      </w:r>
      <w:r>
        <w:t xml:space="preserve"> </w:t>
      </w:r>
      <w:r>
        <w:t xml:space="preserve">Spector, Operation Solomon, chaps. 1–4; Christopher Clapham, Transformation and Continuity in Revolutionary Ethiopia (Cambridge: Cambridge University Press, 1988); John Young, Peasant Revolution in Ethiopia: The Tigray People’s Liberation Front, 1975–1991 (Cambridge: Cambridge University Press, 1997).</w:t>
      </w:r>
    </w:p>
  </w:endnote>
  <w:endnote w:id="72">
    <w:p>
      <w:pPr>
        <w:pStyle w:val="EndnoteText"/>
      </w:pPr>
      <w:r>
        <w:rPr>
          <w:rStyle w:val="EndnoteReference"/>
        </w:rPr>
        <w:endnoteRef/>
      </w:r>
      <w:r>
        <w:t xml:space="preserve"> </w:t>
      </w:r>
      <w:r>
        <w:t xml:space="preserve">Spector, Operation Solomon, chaps. 6–10; the Israeli Air Force Magazine retrospectives of the 2010s; the Jewish Agency for Israel’s institutional history of the operation.</w:t>
      </w:r>
    </w:p>
  </w:endnote>
  <w:endnote w:id="73">
    <w:p>
      <w:pPr>
        <w:pStyle w:val="EndnoteText"/>
      </w:pPr>
      <w:r>
        <w:rPr>
          <w:rStyle w:val="EndnoteReference"/>
        </w:rPr>
        <w:endnoteRef/>
      </w:r>
      <w:r>
        <w:t xml:space="preserve"> </w:t>
      </w:r>
      <w:r>
        <w:t xml:space="preserve">Spector, Operation Solomon.</w:t>
      </w:r>
    </w:p>
  </w:endnote>
  <w:endnote w:id="75">
    <w:p>
      <w:pPr>
        <w:pStyle w:val="EndnoteText"/>
      </w:pPr>
      <w:r>
        <w:rPr>
          <w:rStyle w:val="EndnoteReference"/>
        </w:rPr>
        <w:endnoteRef/>
      </w:r>
      <w:r>
        <w:t xml:space="preserve"> </w:t>
      </w:r>
      <w:r>
        <w:t xml:space="preserve">Avi Shlaim, The Iron Wall: Israel and the Arab World, updated ed. (New York: W. W. Norton, 2014), chap. 14; Itamar Rabinovich, Waging Peace: Israel and the Arabs, 1948–2003 (Princeton: Princeton University Press, 2004), chaps. 5–6; Yoram Peri, Generals in the Cabinet Room: How the Military Shapes Israeli Policy (Washington: United States Institute of Peace Press, 2006), chaps. 3–4.</w:t>
      </w:r>
    </w:p>
  </w:endnote>
  <w:endnote w:id="76">
    <w:p>
      <w:pPr>
        <w:pStyle w:val="EndnoteText"/>
      </w:pPr>
      <w:r>
        <w:rPr>
          <w:rStyle w:val="EndnoteReference"/>
        </w:rPr>
        <w:endnoteRef/>
      </w:r>
      <w:r>
        <w:t xml:space="preserve"> </w:t>
      </w:r>
      <w:r>
        <w:t xml:space="preserve">Moshe Tamir, Undeclared War [in Hebrew] (Tel Aviv: Ministry of Defense, 2005), chap. 7; Ehud Eiran, The Essence of Longing: General Erez Gerstein and the War in Lebanon [in Hebrew] (Tel-Aviv: Yedioth Aharonoth Chemed, 2007), chap. 6; Stuart Cohen, Israel and Its Army: From Cohesion to Confusion (London: Routledge, 2008), chap. 6.</w:t>
      </w:r>
    </w:p>
  </w:endnote>
  <w:endnote w:id="77">
    <w:p>
      <w:pPr>
        <w:pStyle w:val="EndnoteText"/>
      </w:pPr>
      <w:r>
        <w:rPr>
          <w:rStyle w:val="EndnoteReference"/>
        </w:rPr>
        <w:endnoteRef/>
      </w:r>
      <w:r>
        <w:t xml:space="preserve"> </w:t>
      </w:r>
      <w:r>
        <w:t xml:space="preserve">Eiran, Essence of Longing, chaps. 6–8; Tamir, Undeclared War, chap. 7; see chapter 6, §6.2½; chapter 7, §7.13.</w:t>
      </w:r>
    </w:p>
  </w:endnote>
  <w:endnote w:id="78">
    <w:p>
      <w:pPr>
        <w:pStyle w:val="EndnoteText"/>
      </w:pPr>
      <w:r>
        <w:rPr>
          <w:rStyle w:val="EndnoteReference"/>
        </w:rPr>
        <w:endnoteRef/>
      </w:r>
      <w:r>
        <w:t xml:space="preserve"> </w:t>
      </w:r>
      <w:r>
        <w:t xml:space="preserve">Eiran, Essence of Longing, chap. 7; Tamir, Undeclared War, chap. 7.</w:t>
      </w:r>
    </w:p>
  </w:endnote>
  <w:endnote w:id="79">
    <w:p>
      <w:pPr>
        <w:pStyle w:val="EndnoteText"/>
      </w:pPr>
      <w:r>
        <w:rPr>
          <w:rStyle w:val="EndnoteReference"/>
        </w:rPr>
        <w:endnoteRef/>
      </w:r>
      <w:r>
        <w:t xml:space="preserve"> </w:t>
      </w:r>
      <w:r>
        <w:t xml:space="preserve">Eiran, Essence of Longing, chaps. 8–10; Daniel Byman, A High Price: The Triumphs and Failures of Israeli Counterterrorism (Oxford: Oxford University Press, 2011), chaps. 8–10.</w:t>
      </w:r>
    </w:p>
  </w:endnote>
  <w:endnote w:id="81">
    <w:p>
      <w:pPr>
        <w:pStyle w:val="EndnoteText"/>
      </w:pPr>
      <w:r>
        <w:rPr>
          <w:rStyle w:val="EndnoteReference"/>
        </w:rPr>
        <w:endnoteRef/>
      </w:r>
      <w:r>
        <w:t xml:space="preserve"> </w:t>
      </w:r>
      <w:r>
        <w:t xml:space="preserve">Augustus Richard Norton, Hezbollah: A Short History, 3rd ed. (Princeton: Princeton University Press, 2018), chap. 4; Itamar Rabinovich, Waging Peace, chap. 7; Anthony Cordesman, Israel and Lebanon: The Military Dimensions of the Conflict (Washington: Center for Strategic and International Studies, 2000), chap. 4.</w:t>
      </w:r>
    </w:p>
  </w:endnote>
  <w:endnote w:id="82">
    <w:p>
      <w:pPr>
        <w:pStyle w:val="EndnoteText"/>
      </w:pPr>
      <w:r>
        <w:rPr>
          <w:rStyle w:val="EndnoteReference"/>
        </w:rPr>
        <w:endnoteRef/>
      </w:r>
      <w:r>
        <w:t xml:space="preserve"> </w:t>
      </w:r>
      <w:r>
        <w:t xml:space="preserve">Norton, Hezbollah, chap. 4;</w:t>
      </w:r>
      <w:r>
        <w:t xml:space="preserve"> </w:t>
      </w:r>
      <w:r>
        <w:t xml:space="preserve">“</w:t>
      </w:r>
      <w:r>
        <w:t xml:space="preserve">Report of the Secretary-General’s Military Adviser concerning the shelling of the United Nations compound at Qana on 18 April 1996,</w:t>
      </w:r>
      <w:r>
        <w:t xml:space="preserve">”</w:t>
      </w:r>
      <w:r>
        <w:t xml:space="preserve"> </w:t>
      </w:r>
      <w:r>
        <w:t xml:space="preserve">UN document S/1996/337, 7 May 1996; Robert Fisk, Pity the Nation: Lebanon at War, 3rd ed. (Oxford: Oxford University Press, 2002), chap. 25; Cordesman, Israel and Lebanon, chap. 4.</w:t>
      </w:r>
    </w:p>
  </w:endnote>
  <w:endnote w:id="83">
    <w:p>
      <w:pPr>
        <w:pStyle w:val="EndnoteText"/>
      </w:pPr>
      <w:r>
        <w:rPr>
          <w:rStyle w:val="EndnoteReference"/>
        </w:rPr>
        <w:endnoteRef/>
      </w:r>
      <w:r>
        <w:t xml:space="preserve"> </w:t>
      </w:r>
      <w:r>
        <w:t xml:space="preserve">Mike Eldar, Flotilla 13: The Story of Israel’s Naval Commandos [in Hebrew] (Tel Aviv: Maʻariv Book Guild, 1993), updated 1998 edition, chap. 20; Ronen Bergman, The Secret War with Iran: The 30-Year Clandestine Struggle against the World’s Most Dangerous Terrorist Power (New York: Free Press, 2008), chap. 5; the IDF Chief of Staff’s report to the Knesset Foreign Affairs and Defense Committee, October 1997.</w:t>
      </w:r>
    </w:p>
  </w:endnote>
  <w:endnote w:id="84">
    <w:p>
      <w:pPr>
        <w:pStyle w:val="EndnoteText"/>
      </w:pPr>
      <w:r>
        <w:rPr>
          <w:rStyle w:val="EndnoteReference"/>
        </w:rPr>
        <w:endnoteRef/>
      </w:r>
      <w:r>
        <w:t xml:space="preserve"> </w:t>
      </w:r>
      <w:r>
        <w:t xml:space="preserve">Bergman, Secret War with Iran, chap. 5; Norton, Hezbollah, chap. 4; Avi Kober,</w:t>
      </w:r>
      <w:r>
        <w:t xml:space="preserve"> </w:t>
      </w:r>
      <w:r>
        <w:t xml:space="preserve">“</w:t>
      </w:r>
      <w:r>
        <w:t xml:space="preserve">The Israel Defense Forces in the Second Lebanon War: Why the Poor Performance?</w:t>
      </w:r>
      <w:r>
        <w:t xml:space="preserve">”</w:t>
      </w:r>
      <w:r>
        <w:t xml:space="preserve"> </w:t>
      </w:r>
      <w:r>
        <w:t xml:space="preserve">Journal of Strategic Studies 31, no. 1 (2008): 3–40.</w:t>
      </w:r>
    </w:p>
  </w:endnote>
  <w:endnote w:id="85">
    <w:p>
      <w:pPr>
        <w:pStyle w:val="EndnoteText"/>
      </w:pPr>
      <w:r>
        <w:rPr>
          <w:rStyle w:val="EndnoteReference"/>
        </w:rPr>
        <w:endnoteRef/>
      </w:r>
      <w:r>
        <w:t xml:space="preserve"> </w:t>
      </w:r>
      <w:r>
        <w:t xml:space="preserve">Bergman, Secret War with Iran, chap. 5; Kober,</w:t>
      </w:r>
      <w:r>
        <w:t xml:space="preserve"> </w:t>
      </w:r>
      <w:r>
        <w:t xml:space="preserve">“</w:t>
      </w:r>
      <w:r>
        <w:t xml:space="preserve">Why the Poor Performance?</w:t>
      </w:r>
      <w:r>
        <w:t xml:space="preserve">”</w:t>
      </w:r>
      <w:r>
        <w:t xml:space="preserve"> </w:t>
      </w:r>
      <w:r>
        <w:t xml:space="preserve">JSS 31:1; see chapter 9, §§9.7–9.8.</w:t>
      </w:r>
    </w:p>
  </w:endnote>
  <w:endnote w:id="87">
    <w:p>
      <w:pPr>
        <w:pStyle w:val="EndnoteText"/>
      </w:pPr>
      <w:r>
        <w:rPr>
          <w:rStyle w:val="EndnoteReference"/>
        </w:rPr>
        <w:endnoteRef/>
      </w:r>
      <w:r>
        <w:t xml:space="preserve"> </w:t>
      </w:r>
      <w:r>
        <w:t xml:space="preserve">Eiran, Essence of Longing, chaps. 9–10; the Israeli press of March–May 1999; Yossi Klein Halevi, Like Dreamers: The Story of the Israeli Paratroopers Who Reunited Jerusalem and Divided a Nation (New York: Harper, 2013), chap. 18.</w:t>
      </w:r>
    </w:p>
  </w:endnote>
  <w:endnote w:id="88">
    <w:p>
      <w:pPr>
        <w:pStyle w:val="EndnoteText"/>
      </w:pPr>
      <w:r>
        <w:rPr>
          <w:rStyle w:val="EndnoteReference"/>
        </w:rPr>
        <w:endnoteRef/>
      </w:r>
      <w:r>
        <w:t xml:space="preserve"> </w:t>
      </w:r>
      <w:r>
        <w:t xml:space="preserve">Eiran, Essence of Longing, chaps. 10–11; Yagil Levy, Israel’s Materialist Militarism (Lanham: Lexington Books, 2007), chaps. 5–6; Tamir, Undeclared War, chap. 9; Augustus Richard Norton, Hezbollah, chap. 5.</w:t>
      </w:r>
    </w:p>
  </w:endnote>
  <w:endnote w:id="89">
    <w:p>
      <w:pPr>
        <w:pStyle w:val="EndnoteText"/>
      </w:pPr>
      <w:r>
        <w:rPr>
          <w:rStyle w:val="EndnoteReference"/>
        </w:rPr>
        <w:endnoteRef/>
      </w:r>
      <w:r>
        <w:t xml:space="preserve"> </w:t>
      </w:r>
      <w:r>
        <w:t xml:space="preserve">Tamir, Undeclared War, epilogue; Reuven Pedatzur, The Triumph of Embarrassment: Israel and the Territories after the Six-Day War [in Hebrew] (Tel-Aviv: Bitan, 1996), epilogue; Schiff and Yaari, Israel’s Lebanon War, epilogue; Norton, Hezbollah, chaps. 6–9.</w:t>
      </w:r>
    </w:p>
  </w:endnote>
  <w:endnote w:id="90">
    <w:p>
      <w:pPr>
        <w:pStyle w:val="EndnoteText"/>
      </w:pPr>
      <w:r>
        <w:rPr>
          <w:rStyle w:val="EndnoteReference"/>
        </w:rPr>
        <w:endnoteRef/>
      </w:r>
      <w:r>
        <w:t xml:space="preserve"> </w:t>
      </w:r>
      <w:r>
        <w:t xml:space="preserve">IDF General Staff’s Order of Battle Assessment documents of 2000–2001 (partly declassified); see chapter 9, §§9.2–9.3.</w:t>
      </w:r>
    </w:p>
  </w:endnote>
  <w:endnote w:id="92">
    <w:p>
      <w:pPr>
        <w:pStyle w:val="EndnoteText"/>
      </w:pPr>
      <w:r>
        <w:rPr>
          <w:rStyle w:val="EndnoteReference"/>
        </w:rPr>
        <w:endnoteRef/>
      </w:r>
      <w:r>
        <w:t xml:space="preserve"> </w:t>
      </w:r>
      <w:r>
        <w:t xml:space="preserve">See chapter 9, §§9.10–9.12.</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2026-08-10T01:56:50Z</dcterms:created>
  <dcterms:modified xsi:type="dcterms:W3CDTF">2026-08-10T01:56:50Z</dcterms:modified>
</cp:coreProperties>
</file>

<file path=docProps/custom.xml><?xml version="1.0" encoding="utf-8"?>
<Properties xmlns="http://schemas.openxmlformats.org/officeDocument/2006/custom-properties" xmlns:vt="http://schemas.openxmlformats.org/officeDocument/2006/docPropsVTypes"/>
</file>