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chapter-9-the-contemporary-era"/>
    <w:p>
      <w:pPr>
        <w:pStyle w:val="Heading1"/>
      </w:pPr>
      <w:r>
        <w:t xml:space="preserve">Chapter 9 — The Contemporary Era</w:t>
      </w:r>
    </w:p>
    <w:p>
      <w:pPr>
        <w:pStyle w:val="FirstParagraph"/>
      </w:pPr>
      <w:r>
        <w:rPr>
          <w:iCs/>
          <w:i/>
        </w:rPr>
        <w:t xml:space="preserve">The IDF’s Special Operations Forces from the Second Intifada to the Eve of October 7, 2000–2023</w:t>
      </w:r>
    </w:p>
    <w:bookmarkStart w:id="27" w:name="X0e842eca05041f9d3158db0e8032de8abfe371b"/>
    <w:p>
      <w:pPr>
        <w:pStyle w:val="Heading2"/>
      </w:pPr>
      <w:r>
        <w:t xml:space="preserve">9.1 Deir el-Zor and Tartus, 2007–2008: The Long Reach</w:t>
      </w:r>
    </w:p>
    <w:p>
      <w:pPr>
        <w:pStyle w:val="FirstParagraph"/>
      </w:pPr>
      <w:r>
        <w:t xml:space="preserve">On the night of September 6, 2007, at forty minutes past midnight local time, eight Israeli Air Force fighter jets crossed the eastern Syrian frontier at low altitude and made for a target on the western bank of the Euphrates River, thirty-two miles northwest of the city of Deir el-Zor. The target was a seventeen-thousand-square-foot industrial building that, according to the Israeli intelligence community’s assessment of the preceding eight months, was a Syrian plutonium-production reactor modeled on the North Korean Yongbyon facility. The strike force consisted of four F-15I aircraft from the 69th</w:t>
      </w:r>
      <w:r>
        <w:t xml:space="preserve"> </w:t>
      </w:r>
      <w:r>
        <w:t xml:space="preserve">“</w:t>
      </w:r>
      <w:r>
        <w:t xml:space="preserve">Hammers</w:t>
      </w:r>
      <w:r>
        <w:t xml:space="preserve">”</w:t>
      </w:r>
      <w:r>
        <w:t xml:space="preserve"> </w:t>
      </w:r>
      <w:r>
        <w:t xml:space="preserve">Squadron and four F-16I aircraft from the 253rd</w:t>
      </w:r>
      <w:r>
        <w:t xml:space="preserve"> </w:t>
      </w:r>
      <w:r>
        <w:t xml:space="preserve">“</w:t>
      </w:r>
      <w:r>
        <w:t xml:space="preserve">Negev</w:t>
      </w:r>
      <w:r>
        <w:t xml:space="preserve">”</w:t>
      </w:r>
      <w:r>
        <w:t xml:space="preserve"> </w:t>
      </w:r>
      <w:r>
        <w:t xml:space="preserve">and 119th</w:t>
      </w:r>
      <w:r>
        <w:t xml:space="preserve"> </w:t>
      </w:r>
      <w:r>
        <w:t xml:space="preserve">“</w:t>
      </w:r>
      <w:r>
        <w:t xml:space="preserve">Bat</w:t>
      </w:r>
      <w:r>
        <w:t xml:space="preserve">”</w:t>
      </w:r>
      <w:r>
        <w:t xml:space="preserve"> </w:t>
      </w:r>
      <w:r>
        <w:t xml:space="preserve">Squadrons. Each aircraft, in sequence, released two precision-guided weapons against the target. Five minutes after the first release, the formation commander transmitted the code word Arizona — confirmation that the reactor had been destroyed. In the IDF’s command bunker in central Tel Aviv, the prime minister, the defense minister, the chief of staff, and the head of the Mossad released a collective breath that they had been holding, in some institutional sense, since the previous November.</w:t>
      </w:r>
      <w:r>
        <w:rPr>
          <w:rStyle w:val="EndnoteReference"/>
        </w:rPr>
        <w:endnoteReference w:id="20"/>
      </w:r>
    </w:p>
    <w:p>
      <w:pPr>
        <w:pStyle w:val="BodyText"/>
      </w:pPr>
      <w:r>
        <w:t xml:space="preserve">The story of how the IDF arrived at the Deir el-Zor strike — and what the strike represented institutionally — is the story this chapter is about. Eight months earlier, in November 2006, an analyst in AMAN’s Research Division known in the Israeli intelligence community as Major I had flagged the building on the Euphrates as a possible nuclear facility. The Mossad’s analysts, working under Meir Dagan’s leadership, were initially skeptical. Two months later, in January 2007, satellite imagery revealed a water pipe running from the building to the river — the kind of pipe used for the cooling pumps of a nuclear reactor. North Korean nationals connected to the Yongbyon program were spotted in the area. The accumulation of indicators worried Israeli policymakers. Prime Minister Ehud Olmert instructed Dagan to confirm the assessment. When Ibrahim Othman, the head of Syria’s Atomic Energy Agency, attended an International Atomic Energy Agency meeting in Vienna in early 2007, Mossad operators from the agency’s Operations Division entered his hotel room, downloaded the contents of his laptop, and exfiltrated within hours. The laptop contained thirty-five detailed photographs of the Deir el-Zor compound. The assessment was confirmed. The compound was a Plutonium reactor approaching operational status.</w:t>
      </w:r>
      <w:r>
        <w:rPr>
          <w:rStyle w:val="EndnoteReference"/>
        </w:rPr>
        <w:endnoteReference w:id="21"/>
      </w:r>
    </w:p>
    <w:p>
      <w:pPr>
        <w:pStyle w:val="BodyText"/>
      </w:pPr>
      <w:r>
        <w:t xml:space="preserve">On March 13, 2007, Dagan called Olmert and requested an urgent meeting. By the end of the meeting, Olmert had concluded that Israel had no alternative but to destroy the reactor before it became active. The question that remained was timing — and the answer to that question required additional intelligence that the satellite imagery alone could not provide. The scientists assisting the operation’s planning needed to know whether fuel rods had been loaded into the reactor (which would indicate imminent activation), and they needed soil samples from the reactor’s vicinity and photographs from ground angles that the satellite could not produce. The prime minister authorized a special reconnaissance operation. The operation had six weeks to plan and execute what an IDF-internal staff would normally take six months to prepare. The operational risk of detection was acute: any sign that foreign forces had infiltrated the Deir el-Zor area would alert Syrian counterintelligence and would foreclose the air strike that was the operation’s strategic objective.</w:t>
      </w:r>
      <w:r>
        <w:rPr>
          <w:rStyle w:val="EndnoteReference"/>
        </w:rPr>
        <w:endnoteReference w:id="22"/>
      </w:r>
    </w:p>
    <w:p>
      <w:pPr>
        <w:pStyle w:val="BodyText"/>
      </w:pPr>
      <w:r>
        <w:t xml:space="preserve">One night in August 2007, two Sikorsky CH-53</w:t>
      </w:r>
      <w:r>
        <w:t xml:space="preserve"> </w:t>
      </w:r>
      <w:r>
        <w:t xml:space="preserve">“</w:t>
      </w:r>
      <w:r>
        <w:t xml:space="preserve">Sea Stallion</w:t>
      </w:r>
      <w:r>
        <w:t xml:space="preserve">”</w:t>
      </w:r>
      <w:r>
        <w:t xml:space="preserve"> </w:t>
      </w:r>
      <w:r>
        <w:t xml:space="preserve">transport helicopters — the Yas’ur aircraft that I traced through Chapter 6 and Chapter 7 — crossed the Israel-Syria border at low altitude. Above them flew a command-and-control aircraft equipped with electronic-warfare equipment designed to suppress the Syrian air-defense radars. Inside the helicopters were twelve operators from Sayeret Matkal — the unit Avraham Arnan had founded in 1957 and whose institutional trajectory I traced in Chapter 5 — dressed in Syrian military uniforms and carrying Kalashnikov assault rifles, and several Syrian-pattern SUVs that the operators would use for the approach to the reactor. The helicopters landed at a safe distance from the compound. The Sayeret Matkal team drove and then walked the final approach to the target. The operation itself, on the ground at Deir el-Zor, took minutes. The operators collected soil samples, made photographs from the angles the satellite could not see, ensured they had left nothing behind, and withdrew. By the time the helicopters returned to Israel, the analytical pieces were in place. The reactor was not yet active; the development was in advanced stages; the window for an air strike was closing fast; and — critically — Syrian forces were not deployed to the area, leaving the reactor effectively unprotected.</w:t>
      </w:r>
      <w:r>
        <w:rPr>
          <w:rStyle w:val="EndnoteReference"/>
        </w:rPr>
        <w:endnoteReference w:id="23"/>
      </w:r>
    </w:p>
    <w:p>
      <w:pPr>
        <w:pStyle w:val="BodyText"/>
      </w:pPr>
      <w:r>
        <w:t xml:space="preserve">The night of September 6, 2007 followed. The strike succeeded. On the morning after the operation, the Syrian Arab News Agency reported that Israeli aircraft had entered Syrian airspace, that air defense units had confronted them, and that bombs had been dropped on uninhabited territory without effect. The Israeli leadership received the news in something like relief. The operation had eliminated what the intelligence community had assessed as an existential threat — and President Bashar al-Assad had chosen, at least publicly, to contain the attack and prevent the disclosure of the regime’s nuclear ambitions, rather than to retaliate.</w:t>
      </w:r>
      <w:r>
        <w:rPr>
          <w:rStyle w:val="EndnoteReference"/>
        </w:rPr>
        <w:endnoteReference w:id="24"/>
      </w:r>
    </w:p>
    <w:p>
      <w:pPr>
        <w:pStyle w:val="BodyText"/>
      </w:pPr>
      <w:r>
        <w:t xml:space="preserve">The Deir el-Zor program had been one of the most closely held secrets in Syria. The president had shared the plan with a small inner circle. The most powerful figure in that circle, after Assad himself, was General Mohammed Suleiman, his closest security confidant, the liaison between the regime and Qasem Soleimani of Iran’s Quds Force, and the liaison between the regime and Imad Mughniyeh of Hezbollah’s military wing. Suleiman was forty-nine years old. After the September 6 strike, he had emerged inside the Syrian leadership as the figure pressing hardest for retaliation, including the proposal — recorded in the Israeli intelligence assessment of the period — to arm a portion of Syria’s Scud missile arsenal with chemical warheads and to aim those missiles at Israeli population centers.</w:t>
      </w:r>
      <w:r>
        <w:rPr>
          <w:rStyle w:val="EndnoteReference"/>
        </w:rPr>
        <w:endnoteReference w:id="25"/>
      </w:r>
    </w:p>
    <w:p>
      <w:pPr>
        <w:pStyle w:val="BodyText"/>
      </w:pPr>
      <w:r>
        <w:t xml:space="preserve">On the evening of August 1, 2008, Suleiman hosted a dinner party at his summer residence in the coastal city of Tartus. The guests retired to the seaward balcony to enjoy the Mediterranean breeze. None of them noticed the two silhouettes that had positioned themselves in the dark water below the balcony. At a moment of opportunity, the silhouettes opened fire. Suleiman was hit six times from two angles, fell instantly, and died before first aid could reach him. Amid the commotion, the silhouettes — naval commandos of Flotilla 13, the unit I traced from its 1948 founding through Almog’s 1968 reforms in Chapter 6 — slipped back into the water and disappeared.</w:t>
      </w:r>
      <w:r>
        <w:rPr>
          <w:rStyle w:val="EndnoteReference"/>
        </w:rPr>
        <w:endnoteReference w:id="26"/>
      </w:r>
    </w:p>
    <w:p>
      <w:pPr>
        <w:pStyle w:val="BodyText"/>
      </w:pPr>
      <w:r>
        <w:t xml:space="preserve">The two operations together — the Sayeret Matkal reconnaissance and IAF strike against the Deir el-Zor reactor in 2007, and the Shayetet 13 sniper assassination of Mohammed Suleiman in 2008 — established the operational signature of the Israeli SOF community at the moment of its greatest institutional maturity. Three of the IDF’s premier units (Sayeret Matkal, Shayetet 13, and Unit 669, which was on standby with a CH-53 throughout the Deir el-Zor reconnaissance) had collaborated across a 750-kilometer operational arc that ran from the Mediterranean coast across the Syrian desert to the Iraqi border. The operations had been planned in weeks rather than months. They had been executed with no friendly losses, no detection, and no compromise of the larger strategic objective. And they had taken place in a strategic environment — Syria under Bashar al-Assad, in the eighth year of the Second Intifada, four years after the U.S. invasion of Iraq had reshaped the Middle East — that the founders of the SOF community I have traced in this book could not have imagined when they made their founding decisions in 1957, 1969, or 1974.</w:t>
      </w:r>
    </w:p>
    <w:p>
      <w:pPr>
        <w:pStyle w:val="BodyText"/>
      </w:pPr>
      <w:r>
        <w:t xml:space="preserve">This is the chapter about how the institutional architecture those founders built between 1957 and 1982 was used, refined, expanded, and tested across the twenty-three years between the outbreak of the Second Intifada in September 2000 and the morning of October 7, 2023. It is the chapter that links the entrepreneurial moments the book has been tracing — Sadeh, Arnan, Betser — to the contemporary IDF that the world’s audiences encountered, in radically different conditions, on the morning of the Hamas attack. And it is the chapter in which one institutional thread — the doctrine of intelligence-based precision strike that Muki Betser conceived in 1974 — reaches its full operational maturation under a new entrepreneurial figure, Aviv Kochavi, whose 2011–2014 reform of the IDF’s Military Intelligence Directorate would become the cognitive foundation of every Israeli operation, including those of the post-October 7 war, that the book’s final chapter will examine.</w:t>
      </w:r>
    </w:p>
    <w:bookmarkEnd w:id="27"/>
    <w:bookmarkStart w:id="32" w:name="the-institutional-shock-of-october-2000"/>
    <w:p>
      <w:pPr>
        <w:pStyle w:val="Heading2"/>
      </w:pPr>
      <w:r>
        <w:t xml:space="preserve">9.2 The Institutional Shock of October 2000</w:t>
      </w:r>
    </w:p>
    <w:p>
      <w:pPr>
        <w:pStyle w:val="FirstParagraph"/>
      </w:pPr>
      <w:r>
        <w:t xml:space="preserve">The institutional architecture of the SOF community that the Deir el-Zor operation expressed had not been there ten years earlier. To understand what changed — and how the unit ecology I described in Chapter 6 and the post-1973 entrepreneurial reforms I described in Chapter 7 had evolved by 2007 into the integrated multi-unit kill chain that Deir el-Zor demonstrated — we have to begin with the institutional shock of the autumn of 2000.</w:t>
      </w:r>
    </w:p>
    <w:p>
      <w:pPr>
        <w:pStyle w:val="BodyText"/>
      </w:pPr>
      <w:r>
        <w:t xml:space="preserve">The Second Intifada began, in the Israeli operational accounting, on September 28, 2000, when Likud opposition leader Ariel Sharon visited the Temple Mount in Jerusalem and triggered the demonstrations that, over the following days and weeks, escalated into a sustained Palestinian campaign of armed attacks against Israeli civilians and military personnel across the West Bank, the Gaza Strip, and inside the Green Line.</w:t>
      </w:r>
      <w:r>
        <w:rPr>
          <w:rStyle w:val="EndnoteReference"/>
        </w:rPr>
        <w:endnoteReference w:id="28"/>
      </w:r>
      <w:r>
        <w:t xml:space="preserve"> </w:t>
      </w:r>
      <w:r>
        <w:t xml:space="preserve">The escalation surprised the IDF’s senior staff. The institutional working assumption of the second half of the 1990s — under the Rabin, Peres, Netanyahu, and Barak governments — had been that the Oslo process would, over time, reduce the IDF’s operational footprint in the West Bank and Gaza and would shift the security responsibility for the Palestinian areas to the Palestinian Authority’s security forces. The IDF’s force structure had been gradually adapted to this assumption. Units oriented toward sustained low-intensity counterinsurgency had been deprioritized. Units oriented toward conventional war — the Armored Corps, the IAF’s strike squadrons, the infantry brigades equipped for high-intensity combined-arms operations — had retained their place at the doctrinal center of the IDF.</w:t>
      </w:r>
      <w:r>
        <w:rPr>
          <w:rStyle w:val="EndnoteReference"/>
        </w:rPr>
        <w:endnoteReference w:id="29"/>
      </w:r>
    </w:p>
    <w:p>
      <w:pPr>
        <w:pStyle w:val="BodyText"/>
      </w:pPr>
      <w:r>
        <w:t xml:space="preserve">The September–October 2000 escalation exposed the institutional gap that ten years of Oslo-era assumptions had created. The IDF, as my earlier draft formulation put it,</w:t>
      </w:r>
      <w:r>
        <w:t xml:space="preserve"> </w:t>
      </w:r>
      <w:r>
        <w:t xml:space="preserve">“</w:t>
      </w:r>
      <w:r>
        <w:t xml:space="preserve">had to march backward.</w:t>
      </w:r>
      <w:r>
        <w:t xml:space="preserve">”</w:t>
      </w:r>
      <w:r>
        <w:t xml:space="preserve"> </w:t>
      </w:r>
      <w:r>
        <w:t xml:space="preserve">Across the West Bank and Gaza, IDF units found themselves engaged in sustained urban-and-rural counterinsurgency operations that no major IDF reform had prepared them for since the late 1980s. Two cohorts of units had relevant operational expertise. The first was Duvdevan, the mistaarvim (Arab-disguised undercover) unit Mossi Cohen had founded in December 1986 in response to the First Intifada, whose specialty was exactly the kind of intelligence-led urban counterterrorism the Second Intifada now demanded.</w:t>
      </w:r>
      <w:r>
        <w:rPr>
          <w:rStyle w:val="EndnoteReference"/>
        </w:rPr>
        <w:endnoteReference w:id="30"/>
      </w:r>
      <w:r>
        <w:t xml:space="preserve"> </w:t>
      </w:r>
      <w:r>
        <w:t xml:space="preserve">The second was Yamas — the Border Police’s Counterterrorism Units, which had developed in parallel through the 1990s as a paramilitary CT specialty. To a lesser extent, Sayeret Egoz — the Northern Command unit refounded in 1995 to counter Hezbollah in southern Lebanon — could be reoriented to urban operations. But beyond these three units, the IDF had no organic specialization for the kind of war that had just broken out.</w:t>
      </w:r>
      <w:r>
        <w:rPr>
          <w:rStyle w:val="EndnoteReference"/>
        </w:rPr>
        <w:endnoteReference w:id="31"/>
      </w:r>
    </w:p>
    <w:p>
      <w:pPr>
        <w:pStyle w:val="BodyText"/>
      </w:pPr>
      <w:r>
        <w:t xml:space="preserve">What the IDF did have, by the autumn of 2000, was an ecosystem of units without a clear institutional home. The post-Oslo drawdown had left several formations operationally underemployed — some reconnaissance battalions, some specialty units that had been built for missions that no longer existed, some Armored Corps formations whose tank battalions had been reduced or whose tactical roles had narrowed. These units could be repurposed. The question was how. The answer that emerged, in two stages between 2001 and 2003, was the institutional response that produced the contemporary IDF ground-CT architecture — and the answer’s first stage was the formation of what the IDF called Egged 900.</w:t>
      </w:r>
    </w:p>
    <w:bookmarkEnd w:id="32"/>
    <w:bookmarkStart w:id="37" w:name="X3be66e6c8dd8aa419d901a7e7970fa1e08764e1"/>
    <w:p>
      <w:pPr>
        <w:pStyle w:val="Heading2"/>
      </w:pPr>
      <w:r>
        <w:t xml:space="preserve">9.3 Aged 900, Kfir Brigade, and the Gadsarim Reform, 2000–2003</w:t>
      </w:r>
    </w:p>
    <w:p>
      <w:pPr>
        <w:pStyle w:val="FirstParagraph"/>
      </w:pPr>
      <w:r>
        <w:t xml:space="preserve">In the early months of the Second Intifada, the IDF’s General Staff consolidated the orphan units I described in §9.2 under a single ad hoc framework called Egged 900 (Brigade Group 900), under the command of Colonel Eyal Nusovsky. Egged 900 was, in its early form, less an operational unit than a holding architecture — a temporary institutional roof under which units without a clear home could be employed for the counterinsurgency mission while the IDF’s senior staff worked out a more permanent structure.</w:t>
      </w:r>
      <w:r>
        <w:rPr>
          <w:rStyle w:val="EndnoteReference"/>
        </w:rPr>
        <w:endnoteReference w:id="33"/>
      </w:r>
      <w:r>
        <w:t xml:space="preserve"> </w:t>
      </w:r>
      <w:r>
        <w:t xml:space="preserve">The institutional logic was the same logic I traced in Chapter 7 §7.10 for the founding of Shaldag in 1974 as a reserve platoon of Sayeret Matkal: incubate a new unit under an existing institutional umbrella until it has the size and the operational record to justify independent standing.</w:t>
      </w:r>
    </w:p>
    <w:p>
      <w:pPr>
        <w:pStyle w:val="BodyText"/>
      </w:pPr>
      <w:r>
        <w:t xml:space="preserve">The permanent structure that emerged from Egged 900 was the Kfir Brigade. In 2003, the IDF dissolved the Kfir Armored Reserve Division — the 500th Brigade, which had been a semi-active armored formation — and converted its personnel to infantry. The newly retrained infantry battalions were merged with the units that had been operating under Egged 900, and the consolidated force was reorganized as the Kfir Brigade, an infantry brigade dedicated to West Bank counterinsurgency operations under Central Command.</w:t>
      </w:r>
      <w:r>
        <w:rPr>
          <w:rStyle w:val="EndnoteReference"/>
        </w:rPr>
        <w:endnoteReference w:id="34"/>
      </w:r>
      <w:r>
        <w:t xml:space="preserve"> </w:t>
      </w:r>
      <w:r>
        <w:t xml:space="preserve">The first brigade commander was Colonel David Menachem, the former commander of the Ephraim Regional Brigade — a senior officer whose Ephraim experience had given him direct operational familiarity with the West Bank counterinsurgency environment.</w:t>
      </w:r>
    </w:p>
    <w:p>
      <w:pPr>
        <w:pStyle w:val="BodyText"/>
      </w:pPr>
      <w:r>
        <w:t xml:space="preserve">The Kfir Brigade was unusual within the IDF’s institutional taxonomy. Until 2008, its six battalions operated as functional equivalents of the company-strength armored-infantry units (Chermesh) of the 1990s, with each battalion attached operationally to a different West Bank regional brigade. The pattern, as it consolidated by the mid-2000s, was:</w:t>
      </w:r>
    </w:p>
    <w:p>
      <w:pPr>
        <w:numPr>
          <w:ilvl w:val="0"/>
          <w:numId w:val="1001"/>
        </w:numPr>
      </w:pPr>
      <w:r>
        <w:t xml:space="preserve">Nachshon (Battalion 90) — Ephraim Regional Brigade, founded 1998, responsible for Tul Karm, Qalqilya, and the surrounding sector</w:t>
      </w:r>
    </w:p>
    <w:p>
      <w:pPr>
        <w:numPr>
          <w:ilvl w:val="0"/>
          <w:numId w:val="1001"/>
        </w:numPr>
      </w:pPr>
      <w:r>
        <w:t xml:space="preserve">Shimshon (Battalion 92) — Etzion Regional Brigade, founded November 1997, originally intended as an infantry battalion for the northern Gaza Strip brigade but deployed instead in the Etzion Bloc area</w:t>
      </w:r>
    </w:p>
    <w:p>
      <w:pPr>
        <w:numPr>
          <w:ilvl w:val="0"/>
          <w:numId w:val="1001"/>
        </w:numPr>
      </w:pPr>
      <w:r>
        <w:t xml:space="preserve">Charuv (Battalion 93) — Samaria Regional Brigade, founded 1995, responsible for Nablus and the surrounding area; converted to the brigade’s reconnaissance battalion in June 2011</w:t>
      </w:r>
    </w:p>
    <w:p>
      <w:pPr>
        <w:numPr>
          <w:ilvl w:val="0"/>
          <w:numId w:val="1001"/>
        </w:numPr>
      </w:pPr>
      <w:r>
        <w:t xml:space="preserve">Duchifat (Battalion 94) — Benjamin Regional Brigade, responsible for the Ramallah sector</w:t>
      </w:r>
    </w:p>
    <w:p>
      <w:pPr>
        <w:numPr>
          <w:ilvl w:val="0"/>
          <w:numId w:val="1001"/>
        </w:numPr>
      </w:pPr>
      <w:r>
        <w:t xml:space="preserve">Lavi (Battalion 96) — Judea Regional Brigade, founded 2001 specifically as a dedicated infantry battalion for the South Hebron Hills</w:t>
      </w:r>
    </w:p>
    <w:p>
      <w:pPr>
        <w:numPr>
          <w:ilvl w:val="0"/>
          <w:numId w:val="1001"/>
        </w:numPr>
      </w:pPr>
      <w:r>
        <w:t xml:space="preserve">Netzah Yehuda (Battalion 97) — Menashe Regional Brigade, the IDF’s Haredi battalion, responsible for the North Samaria and Jenin sector</w:t>
      </w:r>
    </w:p>
    <w:p>
      <w:pPr>
        <w:pStyle w:val="FirstParagraph"/>
      </w:pPr>
      <w:r>
        <w:t xml:space="preserve">The Kfir Brigade’s institutional standing within the IDF was complicated by the operational character of its mission. The brigade was, in the senior staff’s reckoning, primarily a counterinsurgency formation — a label that, in the IDF’s post-1967 doctrinal hierarchy, carried lower prestige than the Armored Corps or the conventional infantry brigades that had carried the burden of the high-intensity wars. The IDF attempted to compensate by giving Kfir’s soldiers distinctive insignia — red boots, and later a camouflage beret — and by establishing institutional pipelines from the brigade’s training to two of the IDF’s elite small-unit formations: Oketz (the canine special forces unit) and LOTAR Eilat (the counterterrorism training unit). Volunteers for the Kfir Brigade who excelled in the basic training and the brigade’s selection process could continue to Oketz or LOTAR after their infantry qualification, which made Kfir, in practice, the entry path to two of the IDF’s higher-prestige niches.</w:t>
      </w:r>
      <w:r>
        <w:rPr>
          <w:rStyle w:val="EndnoteReference"/>
        </w:rPr>
        <w:endnoteReference w:id="35"/>
      </w:r>
    </w:p>
    <w:p>
      <w:pPr>
        <w:pStyle w:val="BodyText"/>
      </w:pPr>
      <w:r>
        <w:t xml:space="preserve">In parallel with the Kfir formation, the IDF undertook a second structural reform in 2001 that would shape the operational profile of the post-2000 ground forces. The reform produced the Gadsarim — the brigade-level Reconnaissance Battalions (Gdudei Siyur) that consolidated, under a single battalion commander, the brigade’s previously separate reconnaissance company, antitank company, and special-engineering company. The Gadsarim were structurally a fourth battalion within each infantry brigade, alongside the brigade’s three line battalions. Operationally, however, they were elite formations — and the IDF formalized this by requiring that a Gadsar commander must first have commanded a regular infantry battalion before assuming the Gadsar role. The doctrinal mission, as the IDF’s instructional literature defined it, was for the Gadsar to</w:t>
      </w:r>
      <w:r>
        <w:t xml:space="preserve"> </w:t>
      </w:r>
      <w:r>
        <w:t xml:space="preserve">“</w:t>
      </w:r>
      <w:r>
        <w:t xml:space="preserve">lead the infantry brigade in combat and primarily to serve as the spear-tip that scouts, navigates, breaks the way, and clears obstacles and enemy armored forces before the brigade.</w:t>
      </w:r>
      <w:r>
        <w:t xml:space="preserve">”</w:t>
      </w:r>
      <w:r>
        <w:t xml:space="preserve"> </w:t>
      </w:r>
      <w:r>
        <w:t xml:space="preserve">For sustained operations, the Gadsar companies retained the long-range raid skill that the older reconnaissance and antitank specialties had cultivated.</w:t>
      </w:r>
      <w:r>
        <w:rPr>
          <w:rStyle w:val="EndnoteReference"/>
        </w:rPr>
        <w:endnoteReference w:id="36"/>
      </w:r>
    </w:p>
    <w:p>
      <w:pPr>
        <w:pStyle w:val="BodyText"/>
      </w:pPr>
      <w:r>
        <w:t xml:space="preserve">The Gadsarim reform produced predictable institutional friction. The pre-2001 brigade-level units — particularly the reconnaissance companies of Golani, the Paratroopers, and the other senior infantry brigades — had carried strong institutional identities and operational reputations. Their absorption into the new Gadsar structure was resisted by their officer corps. The compromise the IDF reached was to permit each Gadsar’s component companies to retain their pre-reform unit cultures and traditions within the consolidated battalion structure. Through the 2000s and into the 2010s, the Gadsarim would grow into one of the IDF’s most operationally important formations — and one of the units that, on October 7, 2023, would carry the burden of the initial Israeli ground response in the Gaza envelope. We return to that role in Chapter 10. The 2001 reform laid the institutional foundation.</w:t>
      </w:r>
    </w:p>
    <w:bookmarkEnd w:id="37"/>
    <w:bookmarkStart w:id="42" w:name="X94b5e330d36ec624452eb95623ed917bd4ef80b"/>
    <w:p>
      <w:pPr>
        <w:pStyle w:val="Heading2"/>
      </w:pPr>
      <w:r>
        <w:t xml:space="preserve">9.4 The Targeted Killing Doctrine: November 2000</w:t>
      </w:r>
    </w:p>
    <w:p>
      <w:pPr>
        <w:pStyle w:val="FirstParagraph"/>
      </w:pPr>
      <w:r>
        <w:t xml:space="preserve">The operational signature of the Second Intifada — the institutional move that would, more than any single tactical innovation, define the relationship between the IDF’s SOF community and the Israeli state during the 2000s and into the 2020s — was not the Kfir Brigade or the Gadsarim reform. It was the targeted killing.</w:t>
      </w:r>
    </w:p>
    <w:p>
      <w:pPr>
        <w:pStyle w:val="BodyText"/>
      </w:pPr>
      <w:r>
        <w:t xml:space="preserve">The Israeli state had killed enemies by name before the Second Intifada. The Wrath of God campaign of 1972–1979, which I described in Chapter 6 §6.9, had assassinated approximately a dozen senior PLO operatives across Europe and the Middle East in response to the Munich Olympics massacre. The 1992 elimination of Hezbollah Secretary General Abbas Mussawi, which I will describe in Chapter 8 §8.x in the context of the Lebanon decade, had used airborne attack helicopters to destroy a vehicle convoy carrying a known target identified by intelligence in real time. The doctrine of named-target elimination — sikul memukad in Hebrew,</w:t>
      </w:r>
      <w:r>
        <w:t xml:space="preserve"> </w:t>
      </w:r>
      <w:r>
        <w:t xml:space="preserve">“</w:t>
      </w:r>
      <w:r>
        <w:t xml:space="preserve">targeted prevention</w:t>
      </w:r>
      <w:r>
        <w:t xml:space="preserve">”</w:t>
      </w:r>
      <w:r>
        <w:t xml:space="preserve"> </w:t>
      </w:r>
      <w:r>
        <w:t xml:space="preserve">— was not new in 2000. But the institutional pattern by which the IDF would implement that doctrine across the next quarter century was new, and the operational template was set in a Rafah operation in November 2000 by the unit Muki Betser had founded in 1974.</w:t>
      </w:r>
      <w:r>
        <w:rPr>
          <w:rStyle w:val="EndnoteReference"/>
        </w:rPr>
        <w:endnoteReference w:id="38"/>
      </w:r>
    </w:p>
    <w:p>
      <w:pPr>
        <w:pStyle w:val="BodyText"/>
      </w:pPr>
      <w:r>
        <w:t xml:space="preserve">The target was Jamal Abd al-Razek, the commander of al-Aqsa Martyrs’ Brigades in Rafah. The al-Aqsa Martyrs’ Brigades, in late 2000, was the Fatah-affiliated militant network that the Israeli security establishment had identified as the principal organizational source of the suicide bombings and shootings that had begun to flow into Israeli population centers in the weeks after the Second Intifada’s outbreak. Abd al-Razek, as the Rafah commander, was the operational nucleus of a network that had carried out approximately a half-dozen attacks on Israeli targets across October and November. The Shin Bet had developed his pattern of life in sufficient detail to know his vehicle, his routine, and the location at which he could be reached.</w:t>
      </w:r>
      <w:r>
        <w:rPr>
          <w:rStyle w:val="EndnoteReference"/>
        </w:rPr>
        <w:endnoteReference w:id="39"/>
      </w:r>
    </w:p>
    <w:p>
      <w:pPr>
        <w:pStyle w:val="BodyText"/>
      </w:pPr>
      <w:r>
        <w:t xml:space="preserve">The operational concept was a deception that recapitulated, with twenty-first-century technology, the maintenance-crew deception that Sayeret Matkal had used at Sabena in 1972 and that I described in Chapter 6 §6.8. A Shaldag team — the IAF SOF unit Betser had founded for SAM-suppression and that had, by 2000, taken on a much broader operational portfolio — concealed itself inside a panel truck that the Shin Bet had positioned in the Morag Junction area south of Rafah. When Abd al-Razek’s vehicle approached the junction, the panel truck pulled into position and blocked his path. The Shaldag operators inside the truck opened fire at close range. Abd al-Razek and the operative riding next to him were killed instantly. A bystander in a nearby vehicle was killed by a stray round. The Shaldag team withdrew before Palestinian security forces could converge on the site.</w:t>
      </w:r>
      <w:r>
        <w:rPr>
          <w:rStyle w:val="EndnoteReference"/>
        </w:rPr>
        <w:endnoteReference w:id="40"/>
      </w:r>
    </w:p>
    <w:p>
      <w:pPr>
        <w:pStyle w:val="BodyText"/>
      </w:pPr>
      <w:r>
        <w:t xml:space="preserve">What was new about the Abd al-Razek operation was not the technique — close-range engagement of a vehicle by a concealed assault element was an established commando method — but the institutional pattern. The operation had been planned by the Shin Bet, executed by Shaldag, supported by Israel Defense Forces signals intelligence (Unit 8200), authorized at the political level by the prime minister’s office (Ehud Barak, in his final months in office before the February 2001 election), and conducted on the operational principle that a known terrorist could be killed in a third country — or, in this case, in a Palestinian Authority area outside the Green Line — when the intelligence picture was sufficient and the operational opportunity allowed. From November 2000 onward, this institutional pattern would be the standard pattern by which the Israeli state engaged senior Palestinian, Hezbollah, and Iranian-aligned operatives across the subsequent quarter century. The Abd al-Razek operation was, in this sense, the operational template that would reach its empirical and political extremity in the Suleiman assassination of August 2008 that opened this chapter — and that would, by 2023, be conducting hundreds of named-target operations per year across Lebanon, Syria, Iraq, Iran, and the territories.</w:t>
      </w:r>
      <w:r>
        <w:rPr>
          <w:rStyle w:val="EndnoteReference"/>
        </w:rPr>
        <w:endnoteReference w:id="41"/>
      </w:r>
    </w:p>
    <w:p>
      <w:pPr>
        <w:pStyle w:val="BodyText"/>
      </w:pPr>
      <w:r>
        <w:t xml:space="preserve">The IDF’s institutional architecture for this campaign was not built in November 2000. It would be developed across the 2000s and 2010s under doctrinal labels — Lochamam (Intelligence-Based Warfare), the sensor-to-shooter kill chain, the Mab”m (Campaign Between Wars) framework — that I trace in the rest of this chapter. But the operational template, the political legitimacy, and the inter-agency cooperation pattern that the next twenty-three years would refine were all in place by the morning Abd al-Razek’s vehicle approached the Morag Junction.</w:t>
      </w:r>
    </w:p>
    <w:bookmarkEnd w:id="42"/>
    <w:bookmarkStart w:id="47" w:name="X45197691b45cb252644d1ac7f1d9f74c54c649c"/>
    <w:p>
      <w:pPr>
        <w:pStyle w:val="Heading2"/>
      </w:pPr>
      <w:r>
        <w:t xml:space="preserve">9.5 Maglan, Tal Russo, and the Death of Dror Weinberg</w:t>
      </w:r>
    </w:p>
    <w:p>
      <w:pPr>
        <w:pStyle w:val="FirstParagraph"/>
      </w:pPr>
      <w:r>
        <w:t xml:space="preserve">The Second Intifada’s most important operational evolution at the unit level took place inside Maglan — the Spike/Tamuz anti-tank unit Dani Herman had founded in 1986 under the 98th Paratroopers Reserve Division and that, as I described in Chapter 7 §7.13 and in the BETSER1 intake, had, by the early 1990s, been on the verge of dissolution before two interventions had saved it: the appointment of Brigadier General Shai Avital as commander of the 98th Division, and the appointment of Major Tal Russo as commander of Maglan in 1992.</w:t>
      </w:r>
      <w:r>
        <w:rPr>
          <w:rStyle w:val="EndnoteReference"/>
        </w:rPr>
        <w:endnoteReference w:id="43"/>
      </w:r>
    </w:p>
    <w:p>
      <w:pPr>
        <w:pStyle w:val="BodyText"/>
      </w:pPr>
      <w:r>
        <w:t xml:space="preserve">Russo, whose biographical arc I described in Chapter 7 §7.13 — Shaldag’s first conscript team in 1978, refusal of officer training, captain by the end of the First Lebanon War without formal qualification, appointment to Maglan command in 1992 — would prove the most consequential commander in the unit’s history. Under his leadership, Maglan undertook the role expansion that paralleled, in concept, the Sayeret Matkal expansion of the 1960s that I traced in Chapter 5 and Chapter 6. The unit’s original anti-tank designation was sidelined; the unit’s operational profile shifted toward what the IDF’s later doctrinal vocabulary would call low-intensity-conflict (LIC) operations and what the journalistic vocabulary would call commando hunting of terrorists. By the mid-1990s, Maglan had earned the journalistic nickname Tziedet HaMechablim HaRashit —</w:t>
      </w:r>
      <w:r>
        <w:t xml:space="preserve"> </w:t>
      </w:r>
      <w:r>
        <w:t xml:space="preserve">“</w:t>
      </w:r>
      <w:r>
        <w:t xml:space="preserve">the Chief Terror Hunter</w:t>
      </w:r>
      <w:r>
        <w:t xml:space="preserve">”</w:t>
      </w:r>
      <w:r>
        <w:t xml:space="preserve"> </w:t>
      </w:r>
      <w:r>
        <w:t xml:space="preserve">— for its work in the Lebanon security zone against Hezbollah operatives.</w:t>
      </w:r>
      <w:r>
        <w:rPr>
          <w:rStyle w:val="EndnoteReference"/>
        </w:rPr>
        <w:endnoteReference w:id="44"/>
      </w:r>
    </w:p>
    <w:p>
      <w:pPr>
        <w:pStyle w:val="BodyText"/>
      </w:pPr>
      <w:r>
        <w:t xml:space="preserve">Russo’s institutional template for Maglan drew on two officer pipelines. The first pipeline was Sayeret Matkal. Officers who had completed careers in Matkal and were seeking commando-leadership positions came to Maglan to lead companies and small-unit operations. Among them were Captain Roni Belkin and Lieutenant Colonel Dror Weinberg. The second pipeline was the Paratroopers Brigade. Officers from the paratroopers came to Maglan to expand the unit’s organizational base. Among them were Yossi Bachar, Moti Baruch, Amir Baram (whom I encountered in Chapter 9’s NotebookLM intake material as the pre-2006 Maglan commander who developed the</w:t>
      </w:r>
      <w:r>
        <w:t xml:space="preserve"> </w:t>
      </w:r>
      <w:r>
        <w:t xml:space="preserve">“</w:t>
      </w:r>
      <w:r>
        <w:t xml:space="preserve">Fire Canopy</w:t>
      </w:r>
      <w:r>
        <w:t xml:space="preserve">”</w:t>
      </w:r>
      <w:r>
        <w:t xml:space="preserve"> </w:t>
      </w:r>
      <w:r>
        <w:t xml:space="preserve">doctrine), Eliezer Toledano (who would command Maglan during the Lebanon II war), and Nimrod Aloni.</w:t>
      </w:r>
      <w:r>
        <w:rPr>
          <w:rStyle w:val="EndnoteReference"/>
        </w:rPr>
        <w:endnoteReference w:id="45"/>
      </w:r>
    </w:p>
    <w:p>
      <w:pPr>
        <w:pStyle w:val="BodyText"/>
      </w:pPr>
      <w:r>
        <w:t xml:space="preserve">The Second Intifada accelerated Maglan’s operational tempo. The unit, like Shaldag and Sayeret Matkal, was deployed across the West Bank and Gaza in sustained counterterrorism operations from October 2000 onward. The operational signature was the small-unit raid: insertion to an urban or peri-urban target, engagement of armed Palestinian operatives in close-quarters combat, extraction. The institutional cost was visible in the unit’s casualty list across 2000–2002.</w:t>
      </w:r>
    </w:p>
    <w:p>
      <w:pPr>
        <w:pStyle w:val="BodyText"/>
      </w:pPr>
      <w:r>
        <w:t xml:space="preserve">The cost reached its highest point on November 15, 2002, in Hebron. Lieutenant Colonel Dror Weinberg — by that date the commander of the Judea Brigade, having moved on from his Maglan service — was leading a small-unit reaction force in response to a Palestinian shooting attack against Israeli civilians and security personnel in the Old City of Hebron. Weinberg’s force was ambushed on the route to the engagement. Twelve Israelis — Weinberg, three other soldiers, three Border Police officers, and five civilian security guards from the Kiryat Arba settlement — were killed. The Hebron ambush was the deadliest single Palestinian attack on Israeli security personnel in the West Bank during the Second Intifada. Weinberg’s death — at the age of thirty-eight, after a career that had taken him from Sayeret Matkal through Maglan to brigade command — was, in the Israeli SOF community’s institutional memory, the most consequential officer loss of the period.</w:t>
      </w:r>
      <w:r>
        <w:rPr>
          <w:rStyle w:val="EndnoteReference"/>
        </w:rPr>
        <w:endnoteReference w:id="46"/>
      </w:r>
    </w:p>
    <w:p>
      <w:pPr>
        <w:pStyle w:val="BodyText"/>
      </w:pPr>
      <w:r>
        <w:t xml:space="preserve">The institutional pattern that the Weinberg case embodied — the migration of senior SOF officers from the elite small-unit roles into brigade and divisional command, and the institutional cost when those officers were lost in the kind of operations the elite small-unit roles had trained them for — is the pattern this chapter will return to repeatedly. The 2000s and 2010s would see Maglan’s officer pipeline produce, among others, Aviv Kochavi (whose Gaza Division command in the early 2000s had prompted Baram’s development of the Fire Canopy doctrine that I traced in §9.7, and who would become COGS from 2019 to 2023), Amir Baram himself (later Major General and OC Northern Command), Eliezer Toledano (the Maglan commander during Lebanon II and subsequently a senior commander in the Iron Swords war), and Nimrod Aloni (commander of the 98th Division on October 7, 2023). The institutional memory the unit carried — including the memory of Dror Weinberg’s death — would inform every operational decision the unit’s officers made through the subsequent two decades.</w:t>
      </w:r>
    </w:p>
    <w:p>
      <w:pPr>
        <w:pStyle w:val="BodyText"/>
      </w:pPr>
      <w:r>
        <w:t xml:space="preserve">We turn next, in §9.6, to the doctrinal evolution that paralleled this operational expansion: the pre-Lebanon-II maturation of the</w:t>
      </w:r>
      <w:r>
        <w:t xml:space="preserve"> </w:t>
      </w:r>
      <w:r>
        <w:t xml:space="preserve">“</w:t>
      </w:r>
      <w:r>
        <w:t xml:space="preserve">Fire Canopy</w:t>
      </w:r>
      <w:r>
        <w:t xml:space="preserve">”</w:t>
      </w:r>
      <w:r>
        <w:t xml:space="preserve"> </w:t>
      </w:r>
      <w:r>
        <w:t xml:space="preserve">doctrine, the Maroun a-Ras encounter, and the eleven-day perfection of the sensor-to-shooter kill chain in Operation Coast Boys.</w:t>
      </w:r>
    </w:p>
    <w:bookmarkEnd w:id="47"/>
    <w:bookmarkStart w:id="52" w:name="X9c1d057e3418a01e06debb2dc92e19062bb378f"/>
    <w:p>
      <w:pPr>
        <w:pStyle w:val="Heading2"/>
      </w:pPr>
      <w:r>
        <w:t xml:space="preserve">9.6 The Doctrinal Pivot at Its Peak: Maglan,</w:t>
      </w:r>
      <w:r>
        <w:t xml:space="preserve"> </w:t>
      </w:r>
      <w:r>
        <w:t xml:space="preserve">“</w:t>
      </w:r>
      <w:r>
        <w:t xml:space="preserve">Fire Canopy,</w:t>
      </w:r>
      <w:r>
        <w:t xml:space="preserve">”</w:t>
      </w:r>
      <w:r>
        <w:t xml:space="preserve"> </w:t>
      </w:r>
      <w:r>
        <w:t xml:space="preserve">and Kochavi’s Demand</w:t>
      </w:r>
    </w:p>
    <w:p>
      <w:pPr>
        <w:pStyle w:val="FirstParagraph"/>
      </w:pPr>
      <w:r>
        <w:t xml:space="preserve">The institutional thread that connects the Maglan of the early-2000s Second Intifada to the Lebanon II war of 2006 — and that connects the Maglan of 2006 to the contemporary IDF — runs through two officers and one doctrinal concept. The officers are Brigadier General Amir Baram, who commanded Maglan in the years preceding the Lebanon II war, and Major General Aviv Kochavi, who as commander of the Gaza Division in the early 2000s demanded the operational concept that would define the unit’s pre-2006 maturation. The doctrinal concept is Chupat Esh —</w:t>
      </w:r>
      <w:r>
        <w:t xml:space="preserve"> </w:t>
      </w:r>
      <w:r>
        <w:t xml:space="preserve">“</w:t>
      </w:r>
      <w:r>
        <w:t xml:space="preserve">Fire Canopy</w:t>
      </w:r>
      <w:r>
        <w:t xml:space="preserve">”</w:t>
      </w:r>
      <w:r>
        <w:t xml:space="preserve"> </w:t>
      </w:r>
      <w:r>
        <w:t xml:space="preserve">— the unit’s name for what would become, by the end of the decade, the operational vocabulary of the Israeli SOF community.</w:t>
      </w:r>
      <w:r>
        <w:rPr>
          <w:rStyle w:val="EndnoteReference"/>
        </w:rPr>
        <w:endnoteReference w:id="48"/>
      </w:r>
    </w:p>
    <w:p>
      <w:pPr>
        <w:pStyle w:val="BodyText"/>
      </w:pPr>
      <w:r>
        <w:t xml:space="preserve">The Fire Canopy concept emerged from a specific operational problem that Kochavi confronted as Gaza Division commander in the years between 2001 and 2003: the Palestinian rocket and mortar attacks from the Gaza Strip on Israeli population centers in the western Negev. The attacks were small in absolute scale during that period — a few dozen rockets per month, most landing in open fields — but their cumulative political effect was substantial, and the IDF’s standard responses (airstrikes against launching teams, raids against rocket-production workshops, demolition of launch sites) were insufficient to suppress the launching rate over time. Kochavi concluded that a different doctrine was required: real-time intelligence-led identification of launching teams during the brief windows in which they were exposed before, during, and after a launch, and immediate precision strike on the team itself rather than retrospective response to the launching site. The doctrine required a small SOF unit operating with autonomous initiative, embedded with continuous intelligence, and capable of directing fires from multiple platforms — IAF aircraft, attack helicopters, ground-based artillery, or its own organic weapons — onto identified targets within seconds of identification.</w:t>
      </w:r>
      <w:r>
        <w:rPr>
          <w:rStyle w:val="EndnoteReference"/>
        </w:rPr>
        <w:endnoteReference w:id="49"/>
      </w:r>
    </w:p>
    <w:p>
      <w:pPr>
        <w:pStyle w:val="BodyText"/>
      </w:pPr>
      <w:r>
        <w:t xml:space="preserve">The unit Kochavi turned to was Maglan, then under the command of Brigadier General Amir Baram. The institutional logic was that Maglan, whose original 1986 anti-tank mission had been substantially expanded under Tal Russo into general LIC and CT operations, was the IDF’s most operationally proven unit for the kind of small-unit, intelligence-led, stand-off-fires mission Kochavi wanted. Baram, working with Kochavi over the early 2000s, developed the Fire Canopy concept as Maglan’s institutional contribution to the broader Israeli counterterrorism toolkit. The concept was, in its operational architecture, a direct doctrinal descendant of the laser-designator-and-IAF-strike concept that Muki Betser had built into Shaldag in 1974 — the difference being that Fire Canopy was designed for the Gaza Division’s tactical environment of small-team rocket launchers rather than for Shaldag’s original strategic environment of mobile SAM batteries.</w:t>
      </w:r>
      <w:r>
        <w:rPr>
          <w:rStyle w:val="EndnoteReference"/>
        </w:rPr>
        <w:endnoteReference w:id="50"/>
      </w:r>
    </w:p>
    <w:p>
      <w:pPr>
        <w:pStyle w:val="BodyText"/>
      </w:pPr>
      <w:r>
        <w:t xml:space="preserve">By the spring of 2006, Maglan under its new commander Eliezer Toledano — a Paratroopers-pipeline officer who had succeeded Baram earlier that year — had matured Fire Canopy into the unit’s principal operational doctrine. Toledano had completed an extensive training cycle in Hebrew-language exercises that emphasized small-unit autonomy, multi-platform fire coordination, and the operational discipline of acting only on confirmed identifications. The unit was, on July 12, 2006, the most operationally ready of the IDF’s SOF formations for the kind of war that was about to break out. Whether anyone in the IDF’s senior staff understood, on July 12, what kind of war that would be is a question this chapter has to take up.</w:t>
      </w:r>
      <w:r>
        <w:rPr>
          <w:rStyle w:val="EndnoteReference"/>
        </w:rPr>
        <w:endnoteReference w:id="51"/>
      </w:r>
    </w:p>
    <w:bookmarkEnd w:id="52"/>
    <w:bookmarkStart w:id="58" w:name="X29ac8fe91485a7fbf8f99cde468db67e61d3abc"/>
    <w:p>
      <w:pPr>
        <w:pStyle w:val="Heading2"/>
      </w:pPr>
      <w:r>
        <w:t xml:space="preserve">9.7 The Maroun a-Ras Encounter and the Discovery of the Nature Reserves, July 13, 2006</w:t>
      </w:r>
    </w:p>
    <w:p>
      <w:pPr>
        <w:pStyle w:val="FirstParagraph"/>
      </w:pPr>
      <w:r>
        <w:t xml:space="preserve">The Lebanon II war began at dawn on Wednesday, July 12, 2006, when a Hezbollah cross-border raid into northern Israel captured two reserve IDF soldiers — Eldad Regev and Ehud Goldwasser — from a Hummer patrol along the Lebanese border near Zar’it. The IDF’s immediate rescue attempt, which sent a Merkava IV tank and a paratroopers’ reaction force across the border in pursuit of the captors, ran into a Hezbollah anti-tank ambush that killed five Israeli soldiers, including the tank’s four crew members. Prime Minister Ehud Olmert and Chief of Staff Dan Halutz convened the Cabinet within hours. By the end of July 12, the IDF had begun air strikes against Hezbollah targets in southern Lebanon. By the morning of July 13, the war that the Israeli press would call the Milchemet Levanon HaShniya — the Second Lebanon War — had begun in earnest.</w:t>
      </w:r>
      <w:r>
        <w:rPr>
          <w:rStyle w:val="EndnoteReference"/>
        </w:rPr>
        <w:endnoteReference w:id="53"/>
      </w:r>
    </w:p>
    <w:p>
      <w:pPr>
        <w:pStyle w:val="BodyText"/>
      </w:pPr>
      <w:r>
        <w:t xml:space="preserve">When the war broke out, Maglan halted its scheduled training cycle, called up its reservists, and opened the intelligence files on southern Lebanon that the unit’s intelligence section had been maintaining through the preceding decade. The unit’s first significant ground encounter with the operational reality of southern Lebanon in 2006 came on July 13. A Maglan team had been deployed against a target the unit had identified as the launching site of the recoilless rifle that had fired on Moshav Aviv’im — one of the Israeli villages along the border that had been receiving sustained Hezbollah short-range fire since the war’s opening hours. The team’s operational concept was a small-unit reconnaissance to identify the recoilless rifle’s exact location, with a precision strike to follow if the launching team could be engaged on contact.</w:t>
      </w:r>
      <w:r>
        <w:rPr>
          <w:rStyle w:val="EndnoteReference"/>
        </w:rPr>
        <w:endnoteReference w:id="54"/>
      </w:r>
    </w:p>
    <w:p>
      <w:pPr>
        <w:pStyle w:val="BodyText"/>
      </w:pPr>
      <w:r>
        <w:t xml:space="preserve">The team moved on foot to a point approximately eight hundred meters from the border, into the wooded terrain on the Lebanese side near the village of Maroun a-Ras. What the operators found, when they reached the projected launching site, was not what their intelligence preparation had led them to expect. The dense vegetation concealed a complex of metal infrastructure: camouflage netting strung across a clearing, a steel access door set into the hillside, and — once the operators approached close enough to examine the door — evidence of a constructed underground structure of substantial size. The team’s commander, after assessing the situation, ordered a grenade through the doorway. The grenade detonated. From other openings in the hillside — concealed openings the Maglan team had not previously seen — Hezbollah operators emerged and opened heavy automatic fire on the Israeli position.</w:t>
      </w:r>
      <w:r>
        <w:rPr>
          <w:rStyle w:val="EndnoteReference"/>
        </w:rPr>
        <w:endnoteReference w:id="55"/>
      </w:r>
    </w:p>
    <w:p>
      <w:pPr>
        <w:pStyle w:val="BodyText"/>
      </w:pPr>
      <w:r>
        <w:t xml:space="preserve">The firefight that followed lasted approximately twenty minutes. The Maglan team, taking fire from multiple concealed positions and outnumbered by what would later be assessed as approximately a Hezbollah platoon-strength force, fought to extract under fire to the Israeli side of the border. Two Maglan operators were killed: Sergeant Yonatan Hadassi and Sergeant Yotam Gilboa, the team’s combat paramedic. More than eight Hezbollah operatives were killed in the engagement; the actual number, given the underground complex from which the Hezbollah forces had emerged, has never been precisely assessed. The Maglan team withdrew to Israeli territory with the bodies of their two operators.</w:t>
      </w:r>
      <w:r>
        <w:rPr>
          <w:rStyle w:val="EndnoteReference"/>
        </w:rPr>
        <w:endnoteReference w:id="56"/>
      </w:r>
    </w:p>
    <w:p>
      <w:pPr>
        <w:pStyle w:val="BodyText"/>
      </w:pPr>
      <w:r>
        <w:t xml:space="preserve">The tactical result of the Maroun a-Ras encounter mattered less than the intelligence achievement. What the Maglan team had discovered — and what its reconnaissance debrief, conducted within hours of the team’s return, established for the first time in IDF institutional knowledge — was the existence of a hardened underground defensive system that Hezbollah had constructed in southern Lebanon during the six years since the IDF withdrawal in May 2000. The system, which the IDF would soon name the Shmurot HaTeva — the</w:t>
      </w:r>
      <w:r>
        <w:t xml:space="preserve"> </w:t>
      </w:r>
      <w:r>
        <w:t xml:space="preserve">“</w:t>
      </w:r>
      <w:r>
        <w:t xml:space="preserve">Nature Reserves</w:t>
      </w:r>
      <w:r>
        <w:t xml:space="preserve">”</w:t>
      </w:r>
      <w:r>
        <w:t xml:space="preserve"> </w:t>
      </w:r>
      <w:r>
        <w:t xml:space="preserve">— consisted of an interconnected network of underground shafts, observation positions, weapons storage, communication infrastructure, and concealed launching positions, integrated into the dense vegetation and limestone topography of southern Lebanon in a way that the Israeli aerial and satellite reconnaissance of the preceding six years had not detected. The Nature Reserves were not a few isolated bunkers. They were, as the IDF would learn over the subsequent thirty-three days of the war, an integrated defensive architecture that covered substantial portions of southern Lebanon’s terrain and that Hezbollah had been preparing systematically for precisely the kind of Israeli ground incursion that the IDF was now mounting.</w:t>
      </w:r>
      <w:r>
        <w:rPr>
          <w:rStyle w:val="EndnoteReference"/>
        </w:rPr>
        <w:endnoteReference w:id="57"/>
      </w:r>
    </w:p>
    <w:p>
      <w:pPr>
        <w:pStyle w:val="BodyText"/>
      </w:pPr>
      <w:r>
        <w:t xml:space="preserve">The intelligence report Maglan produced from the Maroun a-Ras encounter was packaged within hours and distributed across the IDF’s units operating in or projected into southern Lebanon. The discovery would, over the next three weeks, reshape the IDF’s understanding of what kind of war Lebanon II was. It would also, in the years after the war, become the operational case study that informed the IDF’s preparation for what would, by 2014, be the Hamas tunnel system in Gaza — a system that Hamas had built explicitly on the Hezbollah model and that the IDF would confront, in the Iron Swords war beginning October 7, 2023, on a scale that dwarfed the original Nature Reserves. The discovery of the post-2000 evolution of Hezbollah’s defensive doctrine — the moment at which the IDF understood that its enemy in southern Lebanon was no longer the lightly armed insurgent force of the 1990s but a hardened defensive military with a doctrine, infrastructure, and operational discipline that approached state-army standards — happened on the morning of July 13, 2006, in the wooded hills above Aviv’im. The cost of that discovery was two operators killed.</w:t>
      </w:r>
    </w:p>
    <w:bookmarkEnd w:id="58"/>
    <w:bookmarkStart w:id="65" w:name="X183aeb18da92489266d7c88baf94755e6327127"/>
    <w:p>
      <w:pPr>
        <w:pStyle w:val="Heading2"/>
      </w:pPr>
      <w:r>
        <w:t xml:space="preserve">9.8 Operation Coast Boys, August 2006: Eleven Days, Forty-Eight Targets</w:t>
      </w:r>
    </w:p>
    <w:p>
      <w:pPr>
        <w:pStyle w:val="FirstParagraph"/>
      </w:pPr>
      <w:r>
        <w:t xml:space="preserve">The strategic exposure that the Maroun a-Ras discovery revealed — the realization that Hezbollah had built a hardened defensive system the IDF had not anticipated — was accompanied, through the war’s first month, by a parallel operational pattern that the IDF’s senior staff had not anticipated either. Hezbollah’s short-range Katyusha rocket array was, throughout the war, larger and more sustained than the IDF’s intelligence assessment had predicted. From July 13 through the ceasefire of August 14, more than four thousand Hezbollah rockets fell on Israeli population centers in the Galilee, Haifa, and the Mediterranean coast. Forty-four Israeli civilians and one hundred and twenty-one Israeli soldiers were killed. The IAF strike campaign, which had been the cornerstone of the pre-war doctrinal plan, did not silence the rocket array.</w:t>
      </w:r>
      <w:r>
        <w:rPr>
          <w:rStyle w:val="EndnoteReference"/>
        </w:rPr>
        <w:endnoteReference w:id="59"/>
      </w:r>
    </w:p>
    <w:p>
      <w:pPr>
        <w:pStyle w:val="BodyText"/>
      </w:pPr>
      <w:r>
        <w:t xml:space="preserve">On August 4, 2006 — twenty-three days into the war — a Hezbollah long-range rocket struck the maintenance garage of Israel Railways in the eastern Haifa industrial zone. Eight civilian Israel Railways workers were killed in the strike. The political pressure on the IDF and the Cabinet to find an effective response to the coastal Hezbollah rocket launchers — which Israeli intelligence had located in the area around the city of Tyre on the northern Lebanese coast — became, within hours, the most urgent operational priority of the war. The mission was assigned to Maglan.</w:t>
      </w:r>
      <w:r>
        <w:rPr>
          <w:rStyle w:val="EndnoteReference"/>
        </w:rPr>
        <w:endnoteReference w:id="60"/>
      </w:r>
    </w:p>
    <w:p>
      <w:pPr>
        <w:pStyle w:val="BodyText"/>
      </w:pPr>
      <w:r>
        <w:t xml:space="preserve">The operation, which would enter the IDF’s institutional memory under the name Mivtsa Na’arei HaChof —</w:t>
      </w:r>
      <w:r>
        <w:t xml:space="preserve"> </w:t>
      </w:r>
      <w:r>
        <w:t xml:space="preserve">“</w:t>
      </w:r>
      <w:r>
        <w:t xml:space="preserve">Operation Coast Boys</w:t>
      </w:r>
      <w:r>
        <w:t xml:space="preserve">”</w:t>
      </w:r>
      <w:r>
        <w:t xml:space="preserve"> </w:t>
      </w:r>
      <w:r>
        <w:t xml:space="preserve">— was Maglan’s first sustained behind-the-lines deployment of the Lebanon II war. The operational concept, planned over the night of August 4 and the morning of August 5 by the unit’s command staff in cooperation with the IAF and the Northern Command, was a small-unit covert insertion to a position from which the Maglan team could observe the Hezbollah launching teams, identify them during the brief windows in which they emerged to fire, and direct precision fires from IAF aircraft and ground-based artillery onto the identified positions. The operational commander — Colonel</w:t>
      </w:r>
      <w:r>
        <w:t xml:space="preserve"> </w:t>
      </w:r>
      <w:r>
        <w:t xml:space="preserve">“</w:t>
      </w:r>
      <w:r>
        <w:t xml:space="preserve">A.</w:t>
      </w:r>
      <w:r>
        <w:t xml:space="preserve">”</w:t>
      </w:r>
      <w:r>
        <w:t xml:space="preserve">, whose name remains redacted in public sources — assembled an extended team that included approximately twenty Maglan operators plus an attached intelligence and communications element.</w:t>
      </w:r>
      <w:r>
        <w:rPr>
          <w:rStyle w:val="EndnoteReference"/>
        </w:rPr>
        <w:endnoteReference w:id="61"/>
      </w:r>
    </w:p>
    <w:p>
      <w:pPr>
        <w:pStyle w:val="BodyText"/>
      </w:pPr>
      <w:r>
        <w:t xml:space="preserve">The team was inserted into Lebanon by helicopter on the night of August 5–6. Heavy Hezbollah anti-aircraft fire across the projected insertion route forced the helicopters to deviate from the planned landing zone. The team landed approximately four kilometers from the intended position. The operators moved covertly across the four kilometers in darkness, carrying their weapons, communications equipment, batteries, ammunition, food, and water, and reached a concealed observation position at Sheqif al-Hardun — a wooded hillside that offered observation of the coastal launching zones around Tyre. The team established a hide position in a stand of vegetation that the unit’s reconnaissance had identified as both observation-suitable and concealable from the Hezbollah ground patrols that were known to operate in the area.</w:t>
      </w:r>
      <w:r>
        <w:rPr>
          <w:rStyle w:val="EndnoteReference"/>
        </w:rPr>
        <w:endnoteReference w:id="62"/>
      </w:r>
    </w:p>
    <w:p>
      <w:pPr>
        <w:pStyle w:val="BodyText"/>
      </w:pPr>
      <w:r>
        <w:t xml:space="preserve">What followed was an exercise in operational discipline that the IDF’s institutional memory would, in subsequent years, treat as the canonical example of what a Special Operations Force can accomplish when given autonomy, time, and intelligence. The operation had been planned for forty-eight hours. It extended to eleven days. Over those eleven days, the Maglan team — concealed in the Sheqif al-Hardun hide, operating in radio silence except for the burst transmissions that directed precision fires onto the identified targets — observed the Hezbollah launching teams, identified what the operators came to call Shniyot HaChasifa (the</w:t>
      </w:r>
      <w:r>
        <w:t xml:space="preserve"> </w:t>
      </w:r>
      <w:r>
        <w:t xml:space="preserve">“</w:t>
      </w:r>
      <w:r>
        <w:t xml:space="preserve">seconds of exposure</w:t>
      </w:r>
      <w:r>
        <w:t xml:space="preserve">”</w:t>
      </w:r>
      <w:r>
        <w:t xml:space="preserve">) in which a launching crew was visible above ground before and during a launch, and called in IAF and artillery fires onto those exposed crews with timing precise enough to engage the operatives during the launch window itself.</w:t>
      </w:r>
      <w:r>
        <w:rPr>
          <w:rStyle w:val="EndnoteReference"/>
        </w:rPr>
        <w:endnoteReference w:id="63"/>
      </w:r>
    </w:p>
    <w:p>
      <w:pPr>
        <w:pStyle w:val="BodyText"/>
      </w:pPr>
      <w:r>
        <w:t xml:space="preserve">At one point during the eleven days, a Hezbollah security patrol — apparently routine, not a search operation — passed within meters of the Maglan hide position. The operators, in concealment, held fire. The patrol passed without detecting them. The patrol’s failure to detect the Maglan team was as much a function of operational discipline as of luck: the hide had been constructed to minimize visual and acoustic signature, the operators had maintained motion discipline throughout the patrol’s passage, and the team commander had explicitly forbidden any defensive engagement except as a last resort against detection. The mission objective — the suppression of the coastal rocket launching activity — would have been compromised by an engagement that revealed the Maglan team’s location.</w:t>
      </w:r>
    </w:p>
    <w:p>
      <w:pPr>
        <w:pStyle w:val="BodyText"/>
      </w:pPr>
      <w:r>
        <w:t xml:space="preserve">The logistical strain of an eleven-day concealment operation, when the planning had assumed forty-eight hours, was substantial. The team rationed energy bars, transitioned to combat rations as the energy bars ran out, managed battery power for the communications equipment and the optical sensors, and operated in complete isolation from the rear. Re-supply was not possible without compromising the position. The operators, who had been inserted with the loadout for two days of operation, completed eleven days with discipline and without operational compromise.</w:t>
      </w:r>
    </w:p>
    <w:p>
      <w:pPr>
        <w:pStyle w:val="BodyText"/>
      </w:pPr>
      <w:r>
        <w:t xml:space="preserve">The results, by the operation’s end, were extraordinary. The Maglan team identified and called in fires on forty-eight quality targets, including approximately forty Hezbollah rocket launchers. The coastal sector of southern Lebanon was effectively paralyzed for the remainder of the war. The Maglan team was never detected. Not a single round was fired by Maglan itself; every kill in the operation was executed by IAF or artillery fires that Maglan directed onto identified targets. The team was extracted intact at the conclusion of the operation, with no friendly casualties.</w:t>
      </w:r>
      <w:r>
        <w:rPr>
          <w:rStyle w:val="EndnoteReference"/>
        </w:rPr>
        <w:endnoteReference w:id="64"/>
      </w:r>
    </w:p>
    <w:p>
      <w:pPr>
        <w:pStyle w:val="BodyText"/>
      </w:pPr>
      <w:r>
        <w:t xml:space="preserve">This is the operational apex, at the unit level, of the sensor-to-shooter doctrine that Muki Betser had conceived in 1974. Thirty-two years after Betser’s conversation with the Tadiran engineer about the laser designator, the doctrine that had begun as a concept for designating SA-6 batteries for IAF strike had been refined into an operational architecture that could, in the hands of a well-trained SOF unit with appropriate intelligence and air support, deliver forty-eight precision kills on quality targets in eleven days, in enemy territory, without detection, without friendly casualties, and without firing a single round from the SOF team itself. Operation Coast Boys is the proof that the doctrine, at the unit level, worked.</w:t>
      </w:r>
    </w:p>
    <w:p>
      <w:pPr>
        <w:pStyle w:val="BodyText"/>
      </w:pPr>
      <w:r>
        <w:t xml:space="preserve">The war that the doctrine was supposed to be winning was, simultaneously, a strategic catastrophe.</w:t>
      </w:r>
    </w:p>
    <w:bookmarkEnd w:id="65"/>
    <w:bookmarkStart w:id="72" w:name="Xfa982ab7c6c907f954ffde6ac1d7e2f6a2ae697"/>
    <w:p>
      <w:pPr>
        <w:pStyle w:val="Heading2"/>
      </w:pPr>
      <w:r>
        <w:t xml:space="preserve">9.9 The Winograd Verdict, the Plasma Screen Effect, and the Stand-Off Fires Illusion</w:t>
      </w:r>
    </w:p>
    <w:p>
      <w:pPr>
        <w:pStyle w:val="FirstParagraph"/>
      </w:pPr>
      <w:r>
        <w:t xml:space="preserve">The contradiction between Maglan’s operational success on the Lebanese coast in August 2006 and the IDF’s strategic failure in the war as a whole is the analytical pivot of this chapter, and it is the analytical pivot that the Israeli political establishment confronted in the months and years after the August 14 ceasefire. The Winograd Commission, established by Olmert in September 2006 under the chairmanship of retired Supreme Court justice Eliyahu Winograd, conducted its examination across 2007 and 2008. The Commission’s interim report (April 2007) and its final report (January 2008) are, in the Israeli institutional record, the most consequential analytical documents of the war.</w:t>
      </w:r>
      <w:r>
        <w:rPr>
          <w:rStyle w:val="EndnoteReference"/>
        </w:rPr>
        <w:endnoteReference w:id="66"/>
      </w:r>
    </w:p>
    <w:p>
      <w:pPr>
        <w:pStyle w:val="BodyText"/>
      </w:pPr>
      <w:r>
        <w:t xml:space="preserve">The Commission’s central finding, in the language of its final report, was that the IDF and the political echelon had entered the war under a doctrinal conception — what the report called Tfisat HaEsh MeRachok HaMagina,</w:t>
      </w:r>
      <w:r>
        <w:t xml:space="preserve"> </w:t>
      </w:r>
      <w:r>
        <w:t xml:space="preserve">“</w:t>
      </w:r>
      <w:r>
        <w:t xml:space="preserve">the protective stand-off-fires conception</w:t>
      </w:r>
      <w:r>
        <w:t xml:space="preserve">”</w:t>
      </w:r>
      <w:r>
        <w:t xml:space="preserve"> </w:t>
      </w:r>
      <w:r>
        <w:t xml:space="preserve">— that was, in the Commission’s judgment, wrong. The conception, which had crystallized in the IDF’s senior staff during the late 1990s and early 2000s, had held that the IDF could decisively defeat a hybrid enemy like Hezbollah through stand-off fires — primarily IAF airstrikes, supplemented by ground-based long-range fires — without requiring the massed ground maneuver that the IDF’s traditional doctrine had treated as the decisive phase of conventional war. The conception had drawn intellectual justification from the American experiences in Iraq in 2003 and from Israeli Air Force commander Dan Halutz’s own commitment to airpower as the principal arm of decisive operations. It had drawn institutional appeal from the political and demographic constraints on Israeli ground operations — the political cost of casualties, the limited size of the standing army, the operational difficulty of sustained ground combat in populated areas.</w:t>
      </w:r>
      <w:r>
        <w:rPr>
          <w:rStyle w:val="EndnoteReference"/>
        </w:rPr>
        <w:endnoteReference w:id="67"/>
      </w:r>
    </w:p>
    <w:p>
      <w:pPr>
        <w:pStyle w:val="BodyText"/>
      </w:pPr>
      <w:r>
        <w:t xml:space="preserve">The conception had been challenged before the war by a small group of internal critics, most prominently Major General (reserves) Gershon HaKohen, whose pre-war writings in Maarachot and in Hebrew defense journalism had warned that the doctrine of</w:t>
      </w:r>
      <w:r>
        <w:t xml:space="preserve"> </w:t>
      </w:r>
      <w:r>
        <w:t xml:space="preserve">“</w:t>
      </w:r>
      <w:r>
        <w:t xml:space="preserve">success without sacrifice</w:t>
      </w:r>
      <w:r>
        <w:t xml:space="preserve">”</w:t>
      </w:r>
      <w:r>
        <w:t xml:space="preserve"> </w:t>
      </w:r>
      <w:r>
        <w:t xml:space="preserve">was dangerous in principle and would prove inadequate against a competent hybrid adversary in practice. HaKohen’s warnings had not been heeded. The Winograd Commission, in retrospect, found him to have been substantially correct.</w:t>
      </w:r>
      <w:r>
        <w:rPr>
          <w:rStyle w:val="EndnoteReference"/>
        </w:rPr>
        <w:endnoteReference w:id="68"/>
      </w:r>
    </w:p>
    <w:p>
      <w:pPr>
        <w:pStyle w:val="BodyText"/>
      </w:pPr>
      <w:r>
        <w:t xml:space="preserve">Two structural conditions, the Commission found, had compounded the doctrinal failure. The first was the atrophy of the IDF’s reserve ground forces. Years of West Bank and Gaza counterinsurgency operations during the Second Intifada had eroded the reserve formations’ readiness for combined-arms warfare. When called up for Lebanon II, the reserve units were not prepared for the kind of fortified-defense combat against an enemy equipped with modern Russian-made anti-tank guided missiles (Kornet, Metis, AT-3 Sagger derivatives) that they would encounter against Hezbollah. The result, in the war’s later phases, was that armored units suffered casualties at rates the IDF’s senior staff had not anticipated and that the political echelon was not prepared to accept.</w:t>
      </w:r>
      <w:r>
        <w:rPr>
          <w:rStyle w:val="EndnoteReference"/>
        </w:rPr>
        <w:endnoteReference w:id="69"/>
      </w:r>
    </w:p>
    <w:p>
      <w:pPr>
        <w:pStyle w:val="BodyText"/>
      </w:pPr>
      <w:r>
        <w:t xml:space="preserve">The second structural condition — the one that bears most directly on the entrepreneurial argument of this book — was the institutional pathology that the Winograd report called, in a phrase that would enter the Israeli defense vocabulary, Efekt HaPlazma —</w:t>
      </w:r>
      <w:r>
        <w:t xml:space="preserve"> </w:t>
      </w:r>
      <w:r>
        <w:t xml:space="preserve">“</w:t>
      </w:r>
      <w:r>
        <w:t xml:space="preserve">the Plasma Screen Effect.</w:t>
      </w:r>
      <w:r>
        <w:t xml:space="preserve">”</w:t>
      </w:r>
      <w:r>
        <w:t xml:space="preserve"> </w:t>
      </w:r>
      <w:r>
        <w:t xml:space="preserve">The same technological maturation that the book has been tracing from the 1974 Tadiran laser designator through the 1982 Artzav 19 to the 2006 sensor-to-shooter integration created a new pathology at the command level. Division and brigade commanders in Lebanon II conducted significant portions of the war from rear command centers, sometimes located inside Israeli territory rather than at the forward edge of operations. The commanders watched UAV feeds and real-time sensor displays on the plasma screens that the post-2000 communications technology had made available. They did not command from forward positions. The result, the Winograd Commission found, was confusion at the divisional and brigade levels, opaque and cumbersome orders, and an enormous gap between the intelligence available at the General Staff level and the absence of tactical-level intelligence reaching the soldiers in contact with the enemy.</w:t>
      </w:r>
      <w:r>
        <w:rPr>
          <w:rStyle w:val="EndnoteReference"/>
        </w:rPr>
        <w:endnoteReference w:id="70"/>
      </w:r>
    </w:p>
    <w:p>
      <w:pPr>
        <w:pStyle w:val="BodyText"/>
      </w:pPr>
      <w:r>
        <w:t xml:space="preserve">This is the analytical pivot the book has to take seriously. The sensor-to-shooter doctrine Muki Betser conceived in 1974 — designed to put the SOF team in the enemy’s rear as the human sensor that closes the kill chain — had matured by 2006 into a doctrine that drew the senior officer corps out of forward command and into the rear. The technology that enabled Maglan’s perfect execution on the Lebanese coast — real-time intelligence integration, UAV feeds, multi-platform fire coordination — also enabled, at the divisional and brigade level, a form of command-by-screen that the Commission identified as a key cause of the war’s strategic failure. The same doctrine produced the unit-level apex and the system-level pathology. Operation Coast Boys and the Plasma Screen Effect are not two separate stories. They are the same story, told from two different institutional levels.</w:t>
      </w:r>
    </w:p>
    <w:p>
      <w:pPr>
        <w:pStyle w:val="BodyText"/>
      </w:pPr>
      <w:r>
        <w:t xml:space="preserve">In the war’s final stage, when it became evident that the IAF’s stand-off fires were not producing decisive victory, the Olmert Cabinet authorized a broad ground maneuver under the operational name Shinui Kivun 11 — Operation Change of Direction 11. The operation was executed only sixty hours before the U.N. Security Council ceasefire of August 14 took effect. The Olmert government’s evident motive was the political need to restore an image of strategic victory before the war ended. The operation encountered a prepared Hezbollah defensive system — including elements of the Nature Reserves that Maglan had first encountered at Maroun a-Ras — and produced significant additional Israeli casualties without completing its planned ground objectives before the ceasefire imposed its end.</w:t>
      </w:r>
      <w:r>
        <w:rPr>
          <w:rStyle w:val="EndnoteReference"/>
        </w:rPr>
        <w:endnoteReference w:id="71"/>
      </w:r>
      <w:r>
        <w:t xml:space="preserve"> </w:t>
      </w:r>
      <w:r>
        <w:t xml:space="preserve">The IDF and the Israeli political establishment emerged from Lebanon II with the operational record of a war that, despite Maglan’s eleven days on the Lebanese coast and the IAF’s exhaustive air campaign, had not produced the decisive defeat of Hezbollah that the pre-war doctrine had promised.</w:t>
      </w:r>
    </w:p>
    <w:p>
      <w:pPr>
        <w:pStyle w:val="BodyText"/>
      </w:pPr>
      <w:r>
        <w:t xml:space="preserve">The Winograd Commission’s central recommendation, which would shape the next decade of IDF institutional reform, was that the doctrine of the protective stand-off fires had to be re-examined fundamentally. The instrument of that re-examination, when it came in 2011, would be a new entrepreneurial figure inside AMAN — and the result, by 2014, would be the most ambitious organizational-learning reform in the history of Israeli intelligence.</w:t>
      </w:r>
    </w:p>
    <w:bookmarkEnd w:id="72"/>
    <w:bookmarkStart w:id="82" w:name="Xa778505bad3d6261a463f108e955cfa79d00f27"/>
    <w:p>
      <w:pPr>
        <w:pStyle w:val="Heading2"/>
      </w:pPr>
      <w:r>
        <w:t xml:space="preserve">9.10 Ma’aseh AMAN: The Cognitive-Cultural Reform, 2011–2014</w:t>
      </w:r>
    </w:p>
    <w:p>
      <w:pPr>
        <w:pStyle w:val="FirstParagraph"/>
      </w:pPr>
      <w:r>
        <w:t xml:space="preserve">In May 2011, Major General Aviv Kochavi — the same Aviv Kochavi who, as Gaza Division commander in the early 2000s, had demanded the Fire Canopy doctrine from Brigadier General Amir Baram that I described in §9.6 — assumed command of the IDF’s Military Intelligence Directorate (AMAN). The institutional context of his appointment was the post-Lebanon-II reckoning that the Winograd Commission had set in motion. The senior intelligence-community staff understood, by the time Kochavi took the position, that the AMAN of 2011 could not perform the missions that the IDF’s post-Lebanon doctrinal evolution required. The strategic intelligence had been adequate. The tactical intelligence available to the soldiers in contact with the enemy had been catastrophically inadequate. The institutional architecture that produced this asymmetry had to be re-engineered.</w:t>
      </w:r>
      <w:r>
        <w:rPr>
          <w:rStyle w:val="EndnoteReference"/>
        </w:rPr>
        <w:endnoteReference w:id="73"/>
      </w:r>
    </w:p>
    <w:p>
      <w:pPr>
        <w:pStyle w:val="BodyText"/>
      </w:pPr>
      <w:r>
        <w:t xml:space="preserve">The reform that Kochavi launched within months of his appointment — and that he co-designed with Lieutenant Colonel Eran Ortal, who served as secretary of the design phase and who would later become Brigadier General — was known inside AMAN as Ma’aseh AMAN (literally</w:t>
      </w:r>
      <w:r>
        <w:t xml:space="preserve"> </w:t>
      </w:r>
      <w:r>
        <w:t xml:space="preserve">“</w:t>
      </w:r>
      <w:r>
        <w:t xml:space="preserve">AMAN’s Project</w:t>
      </w:r>
      <w:r>
        <w:t xml:space="preserve">”</w:t>
      </w:r>
      <w:r>
        <w:t xml:space="preserve"> </w:t>
      </w:r>
      <w:r>
        <w:t xml:space="preserve">or</w:t>
      </w:r>
      <w:r>
        <w:t xml:space="preserve"> </w:t>
      </w:r>
      <w:r>
        <w:t xml:space="preserve">“</w:t>
      </w:r>
      <w:r>
        <w:t xml:space="preserve">AMAN’s Act,</w:t>
      </w:r>
      <w:r>
        <w:t xml:space="preserve">”</w:t>
      </w:r>
      <w:r>
        <w:t xml:space="preserve"> </w:t>
      </w:r>
      <w:r>
        <w:t xml:space="preserve">with the dual meaning that the Hebrew permits). The reform’s public documentation came in the 2014 article that Kochavi and Ortal co-authored in Bein HaKtavim, the journal of the Dado Center for Interdisciplinary Military Studies. The article, titled</w:t>
      </w:r>
      <w:r>
        <w:t xml:space="preserve"> </w:t>
      </w:r>
      <w:r>
        <w:t xml:space="preserve">“</w:t>
      </w:r>
      <w:r>
        <w:t xml:space="preserve">Ma’aseh AMAN: Constant Change in a Changing Reality,</w:t>
      </w:r>
      <w:r>
        <w:t xml:space="preserve">”</w:t>
      </w:r>
      <w:r>
        <w:t xml:space="preserve"> </w:t>
      </w:r>
      <w:r>
        <w:t xml:space="preserve">is the foundational document of the contemporary IDF’s intelligence doctrine and is, in retrospect, one of the more remarkable internal documents the IDF has produced in the post-Lebanon-II period.</w:t>
      </w:r>
      <w:r>
        <w:rPr>
          <w:rStyle w:val="EndnoteReference"/>
        </w:rPr>
        <w:endnoteReference w:id="74"/>
      </w:r>
    </w:p>
    <w:p>
      <w:pPr>
        <w:pStyle w:val="BodyText"/>
      </w:pPr>
      <w:r>
        <w:t xml:space="preserve">The article opens with an epigraph from Charles Darwin:</w:t>
      </w:r>
      <w:r>
        <w:t xml:space="preserve"> </w:t>
      </w:r>
      <w:r>
        <w:t xml:space="preserve">“</w:t>
      </w:r>
      <w:r>
        <w:t xml:space="preserve">It is not the strongest, nor the most intelligent, who survive, but those who best respond to change.</w:t>
      </w:r>
      <w:r>
        <w:t xml:space="preserve">”</w:t>
      </w:r>
      <w:r>
        <w:t xml:space="preserve"> </w:t>
      </w:r>
      <w:r>
        <w:t xml:space="preserve">This is not incidental ornament. The article’s central argument is that AMAN’s institutional task in 2011 was not to optimize for any particular operational mission but to build, into its organizational fabric, the capacity for continuous self-transformation. As Kochavi wrote in his</w:t>
      </w:r>
      <w:r>
        <w:t xml:space="preserve"> </w:t>
      </w:r>
      <w:r>
        <w:t xml:space="preserve">“</w:t>
      </w:r>
      <w:r>
        <w:t xml:space="preserve">Day of the Commander</w:t>
      </w:r>
      <w:r>
        <w:t xml:space="preserve">”</w:t>
      </w:r>
      <w:r>
        <w:t xml:space="preserve"> </w:t>
      </w:r>
      <w:r>
        <w:t xml:space="preserve">message #1 of May 2011 — the first of thirty such messages he would distribute to AMAN’s officer corps between 2011 and June 2014 — the central goal of his command would be the construction of</w:t>
      </w:r>
      <w:r>
        <w:t xml:space="preserve"> </w:t>
      </w:r>
      <w:r>
        <w:t xml:space="preserve">“</w:t>
      </w:r>
      <w:r>
        <w:t xml:space="preserve">an organization built such that its central characteristic will be the ability to change rapidly, and thereby to ensure that the organization will be relevant, adapted to reality, and capable of influencing it.</w:t>
      </w:r>
      <w:r>
        <w:t xml:space="preserve">”</w:t>
      </w:r>
      <w:r>
        <w:rPr>
          <w:rStyle w:val="EndnoteReference"/>
        </w:rPr>
        <w:endnoteReference w:id="75"/>
      </w:r>
    </w:p>
    <w:p>
      <w:pPr>
        <w:pStyle w:val="BodyText"/>
      </w:pPr>
      <w:r>
        <w:t xml:space="preserve">The reform’s design phase, conducted between May and August 2011, was structured around six principles: joint leadership by the senior AMAN command, a goal defined broadly enough to encompass all four dimensions of organizational reality (mission, structure, processes, culture), a systemic-learning methodology derived from the Israel academic-defense community’s adaptation of organizational-learning theory, a three-phase implementation sequence (design, planning, execution), maximum participation across the AMAN officer corps, and a simultaneous internal and external view of AMAN’s institutional role. The participation architecture was substantial: a five-person process-management forum, a sixteen-person senior steering forum, ten sub-teams led by senior officers, and an organizational survey of approximately two thousand AMAN personnel that was conducted by the AMAN behavioral sciences branch under Lieutenant Colonel Hagit Kaplaner-Matzliach.</w:t>
      </w:r>
      <w:r>
        <w:rPr>
          <w:rStyle w:val="EndnoteReference"/>
        </w:rPr>
        <w:endnoteReference w:id="76"/>
      </w:r>
    </w:p>
    <w:p>
      <w:pPr>
        <w:pStyle w:val="BodyText"/>
      </w:pPr>
      <w:r>
        <w:t xml:space="preserve">The reform’s findings, codified in the design phase output by August 2011, identified six environmental changes that AMAN had failed to adapt to: - the exponential expansion of the rocket and missile threat against the Israeli home front - the</w:t>
      </w:r>
      <w:r>
        <w:t xml:space="preserve"> </w:t>
      </w:r>
      <w:r>
        <w:t xml:space="preserve">“</w:t>
      </w:r>
      <w:r>
        <w:t xml:space="preserve">disappearance</w:t>
      </w:r>
      <w:r>
        <w:t xml:space="preserve">”</w:t>
      </w:r>
      <w:r>
        <w:t xml:space="preserve"> </w:t>
      </w:r>
      <w:r>
        <w:t xml:space="preserve">of enemy forces into urban and underground spaces - the dramatic increase in the geographic distribution and number of intelligence theaters - the networked character of the enemy and its state sponsors - the emergence of delegitimation as a cognitive weapon - the regional upheaval of the Arab Spring (which broke out as the reform’s design phase was underway) - the emergence of cyber as a distinct strategic, operational, and organizational dimension</w:t>
      </w:r>
    </w:p>
    <w:p>
      <w:pPr>
        <w:pStyle w:val="BodyText"/>
      </w:pPr>
      <w:r>
        <w:t xml:space="preserve">From these environmental changes, the reform extracted what Kochavi and Ortal called Modi’in BeShishit —</w:t>
      </w:r>
      <w:r>
        <w:t xml:space="preserve"> </w:t>
      </w:r>
      <w:r>
        <w:t xml:space="preserve">“</w:t>
      </w:r>
      <w:r>
        <w:t xml:space="preserve">Intelligence in the Sixth,</w:t>
      </w:r>
      <w:r>
        <w:t xml:space="preserve">”</w:t>
      </w:r>
      <w:r>
        <w:t xml:space="preserve"> </w:t>
      </w:r>
      <w:r>
        <w:t xml:space="preserve">meaning by a factor of six. The conclusion was that the volume, granularity, variety, and operational integration of intelligence required of AMAN would have to expand by an order of magnitude relative to the pre-2011 baseline. The reform also produced a new four-tier intelligence taxonomy that the IDF’s institutional vocabulary would adopt over the subsequent decade: Modi’in Le’umi (national intelligence, for grand-strategy decision-makers), Modi’in Estrategi (strategic intelligence, for understanding enemy logics and enabling military strategy), Modi’in Operativi-Ma’arachti (operational-systemic intelligence, for identifying enemy strengths and weaknesses at the campaign level), and Modi’in Mivtsa’i (kinetic operational intelligence, for serving forces at the tactical level — exactly the level at which the Lebanon II inadequacy had been most acute).</w:t>
      </w:r>
      <w:r>
        <w:rPr>
          <w:rStyle w:val="EndnoteReference"/>
        </w:rPr>
        <w:endnoteReference w:id="77"/>
      </w:r>
    </w:p>
    <w:p>
      <w:pPr>
        <w:pStyle w:val="BodyText"/>
      </w:pPr>
      <w:r>
        <w:t xml:space="preserve">The reform’s central doctrinal product was Lochamah Mevussas Modi’in — Lochamam in the IDF’s acronym — Intelligence-Based Warfare. The doctrine held that the IDF could not realize its full combat power against a networked, hidden enemy without making granular, accurate, real-time intelligence accessible all the way down to the micro-tactical level of the assaulting force. Lochamam’s institutional vehicles included a dedicated Lochamam Directorate at the AMAN level, the thickening of intelligence staff at division and brigade headquarters, and the integration of AMAN’s intelligence information systems with the ground forces’ tactical command-and-control infrastructure (Tzayad).</w:t>
      </w:r>
      <w:r>
        <w:rPr>
          <w:rStyle w:val="EndnoteReference"/>
        </w:rPr>
        <w:endnoteReference w:id="78"/>
      </w:r>
    </w:p>
    <w:p>
      <w:pPr>
        <w:pStyle w:val="BodyText"/>
      </w:pPr>
      <w:r>
        <w:t xml:space="preserve">The reform’s structural products included what Kochavi and Ortal called AMAN Reshti —</w:t>
      </w:r>
      <w:r>
        <w:t xml:space="preserve"> </w:t>
      </w:r>
      <w:r>
        <w:t xml:space="preserve">“</w:t>
      </w:r>
      <w:r>
        <w:t xml:space="preserve">Networked AMAN</w:t>
      </w:r>
      <w:r>
        <w:t xml:space="preserve">”</w:t>
      </w:r>
      <w:r>
        <w:t xml:space="preserve"> </w:t>
      </w:r>
      <w:r>
        <w:t xml:space="preserve">— a radical reorganization of AMAN’s communications and information-technology infrastructure that consolidated the previously corps-specific tech units into a single AMAN-wide architecture organized around three new units: HaYechida HaKchula (the Blue Unit, for communications infrastructure), HaYechida HaYeruka (the Green Unit, for joint application development), and HaYechida HaSugula (the Purple Unit, for Lochamam application to the ground forces). The reform also established AMAN’s role as the IDF’s leading body in cyber operations — a substantial expansion of AMAN’s traditional collection-and-assessment mandate into an operational role that, by 2015, would produce the IDF Cyber Force that Eisenkot’s parallel reorganization would formalize.</w:t>
      </w:r>
      <w:r>
        <w:rPr>
          <w:rStyle w:val="EndnoteReference"/>
        </w:rPr>
        <w:endnoteReference w:id="79"/>
      </w:r>
    </w:p>
    <w:p>
      <w:pPr>
        <w:pStyle w:val="BodyText"/>
      </w:pPr>
      <w:r>
        <w:t xml:space="preserve">The reform’s cultural-cognitive products are, for the book’s argument, the most consequential. Kochavi and Ortal articulated three principles that would shape the contemporary IDF’s institutional self-understanding:</w:t>
      </w:r>
    </w:p>
    <w:p>
      <w:pPr>
        <w:numPr>
          <w:ilvl w:val="0"/>
          <w:numId w:val="1002"/>
        </w:numPr>
      </w:pPr>
      <w:r>
        <w:t xml:space="preserve">Gam VeGam —</w:t>
      </w:r>
      <w:r>
        <w:t xml:space="preserve"> </w:t>
      </w:r>
      <w:r>
        <w:t xml:space="preserve">“</w:t>
      </w:r>
      <w:r>
        <w:t xml:space="preserve">Both/And</w:t>
      </w:r>
      <w:r>
        <w:t xml:space="preserve">”</w:t>
      </w:r>
      <w:r>
        <w:t xml:space="preserve"> </w:t>
      </w:r>
      <w:r>
        <w:t xml:space="preserve">— the refusal of the classical binary that demands</w:t>
      </w:r>
      <w:r>
        <w:t xml:space="preserve"> </w:t>
      </w:r>
      <w:r>
        <w:t xml:space="preserve">“</w:t>
      </w:r>
      <w:r>
        <w:t xml:space="preserve">a choice between alternatives</w:t>
      </w:r>
      <w:r>
        <w:t xml:space="preserve">”</w:t>
      </w:r>
      <w:r>
        <w:t xml:space="preserve"> </w:t>
      </w:r>
      <w:r>
        <w:t xml:space="preserve">given resource scarcity. The principle held that AMAN must meet growing demands for output even without proportional resource increase, by combining efficiency, structural change, and technological innovation. This is the cognitive equivalent, in the intelligence domain, of the structural</w:t>
      </w:r>
      <w:r>
        <w:t xml:space="preserve"> </w:t>
      </w:r>
      <w:r>
        <w:t xml:space="preserve">“</w:t>
      </w:r>
      <w:r>
        <w:t xml:space="preserve">Lego instead of ego</w:t>
      </w:r>
      <w:r>
        <w:t xml:space="preserve">”</w:t>
      </w:r>
      <w:r>
        <w:t xml:space="preserve"> </w:t>
      </w:r>
      <w:r>
        <w:t xml:space="preserve">framing that would later define Eisenkot’s 2015 Commando Brigade consolidation.</w:t>
      </w:r>
    </w:p>
    <w:p>
      <w:pPr>
        <w:numPr>
          <w:ilvl w:val="0"/>
          <w:numId w:val="1002"/>
        </w:numPr>
      </w:pPr>
      <w:r>
        <w:t xml:space="preserve">The genealogical method — Shitat HaBerur HaGenealogi. Kochavi and Ortal explicitly argued that the IDF’s institutional problems were the legacy of past institutional choices: as their now-canonical phrase put it,</w:t>
      </w:r>
      <w:r>
        <w:t xml:space="preserve"> </w:t>
      </w:r>
      <w:r>
        <w:t xml:space="preserve">“</w:t>
      </w:r>
      <w:r>
        <w:t xml:space="preserve">Ha-be’ayot shel ha-yom novot mi-ha-pitronot shel ha-etmol</w:t>
      </w:r>
      <w:r>
        <w:t xml:space="preserve">”</w:t>
      </w:r>
      <w:r>
        <w:t xml:space="preserve"> </w:t>
      </w:r>
      <w:r>
        <w:t xml:space="preserve">—</w:t>
      </w:r>
      <w:r>
        <w:t xml:space="preserve"> </w:t>
      </w:r>
      <w:r>
        <w:t xml:space="preserve">“</w:t>
      </w:r>
      <w:r>
        <w:t xml:space="preserve">Today’s problems stem from yesterday’s solutions.</w:t>
      </w:r>
      <w:r>
        <w:t xml:space="preserve">”</w:t>
      </w:r>
      <w:r>
        <w:t xml:space="preserve"> </w:t>
      </w:r>
      <w:r>
        <w:t xml:space="preserve">The method they prescribed was a structured four-step inquiry — past, present, future, alternative — that mapped the historical development of any given institutional pattern, identified the present pattern that had emerged from that history, projected the trajectory of the present pattern into the future, and explicitly considered counterfactual alternatives that might better serve the future operational environment. This methodology, articulated by Kochavi and Ortal in 2011 and codified in their 2014 article, is, almost word-for-word, the structural-historical-institutionalist methodology that this book has applied to the longer history of the Israeli SOF community. The IDF’s intelligence leadership articulated, in 2014, the analytical method the book uses in 2026.</w:t>
      </w:r>
    </w:p>
    <w:p>
      <w:pPr>
        <w:numPr>
          <w:ilvl w:val="0"/>
          <w:numId w:val="1002"/>
        </w:numPr>
      </w:pPr>
      <w:r>
        <w:t xml:space="preserve">Zemishut —</w:t>
      </w:r>
      <w:r>
        <w:t xml:space="preserve"> </w:t>
      </w:r>
      <w:r>
        <w:t xml:space="preserve">“</w:t>
      </w:r>
      <w:r>
        <w:t xml:space="preserve">Agility.</w:t>
      </w:r>
      <w:r>
        <w:t xml:space="preserve">”</w:t>
      </w:r>
      <w:r>
        <w:t xml:space="preserve"> </w:t>
      </w:r>
      <w:r>
        <w:t xml:space="preserve">A portmanteau of zariz (quick) and gmishut (flexible), the term captured the reform’s recognition that change is a permanent state and that institutional architectures must be built for continuous adaptation rather than for static optimization. When the reform encountered implementation obstacles within months of its initial launch, Kochavi and Ortal did not abandon it. Instead, they launched Ma’aseh AMAN 1.2 — explicitly versioned to emphasize continuity and iterative update rather than rupture, in deliberate contrast to a</w:t>
      </w:r>
      <w:r>
        <w:t xml:space="preserve"> </w:t>
      </w:r>
      <w:r>
        <w:t xml:space="preserve">“</w:t>
      </w:r>
      <w:r>
        <w:t xml:space="preserve">2.0</w:t>
      </w:r>
      <w:r>
        <w:t xml:space="preserve">”</w:t>
      </w:r>
      <w:r>
        <w:t xml:space="preserve"> </w:t>
      </w:r>
      <w:r>
        <w:t xml:space="preserve">that would have implied discontinuity. The versioning itself was a doctrinal statement: organizational learning is iterative.</w:t>
      </w:r>
      <w:r>
        <w:rPr>
          <w:rStyle w:val="EndnoteReference"/>
        </w:rPr>
        <w:endnoteReference w:id="80"/>
      </w:r>
    </w:p>
    <w:p>
      <w:pPr>
        <w:pStyle w:val="FirstParagraph"/>
      </w:pPr>
      <w:r>
        <w:t xml:space="preserve">The reform’s first major operational test came in November 2012, in Operation Pillar of Cloud — the eight-day Gaza operation that Hamas had triggered with sustained rocket fire against southern Israeli population centers. The operation’s intelligence performance, by the IDF’s after-action assessment, demonstrated that the Lochamam doctrine had begun to produce the tactical-level intelligence integration that the reform had been designed to achieve. The Lochamam Directorate that Kochavi had established in 2011 supplied the maneuver brigades with named-target lists, real-time enemy-position updates, and integrated UAV feeds that the IDF’s pre-reform intelligence architecture had not been capable of delivering at scale. The post-operation assessment noted</w:t>
      </w:r>
      <w:r>
        <w:t xml:space="preserve"> </w:t>
      </w:r>
      <w:r>
        <w:t xml:space="preserve">“</w:t>
      </w:r>
      <w:r>
        <w:t xml:space="preserve">a significant improvement in fire effectiveness</w:t>
      </w:r>
      <w:r>
        <w:t xml:space="preserve">”</w:t>
      </w:r>
      <w:r>
        <w:t xml:space="preserve"> </w:t>
      </w:r>
      <w:r>
        <w:t xml:space="preserve">— kill chain time and accuracy had improved materially compared to the IDF’s last major Gaza operation, Operation Cast Lead of 2008–09.</w:t>
      </w:r>
      <w:r>
        <w:rPr>
          <w:rStyle w:val="EndnoteReference"/>
        </w:rPr>
        <w:endnoteReference w:id="81"/>
      </w:r>
      <w:r>
        <w:t xml:space="preserve"> </w:t>
      </w:r>
      <w:r>
        <w:t xml:space="preserve">The reform was, by November 2012, producing operational results.</w:t>
      </w:r>
    </w:p>
    <w:p>
      <w:pPr>
        <w:pStyle w:val="BodyText"/>
      </w:pPr>
      <w:r>
        <w:t xml:space="preserve">The full institutional implications of Ma’aseh AMAN — for the IDF’s broader force structure, for the Cyber Force, for the relationship between AMAN and the ground forces, and for the strategic intelligence picture that would, by the autumn of 2023, brief the IDF’s senior leadership on the threat from Hamas in Gaza — would unfold across the following decade. The reform that Kochavi and Ortal designed in 2011 and codified in 2014 became, more than any other single institutional change, the cognitive foundation of the IDF that confronted October 7. Whether that foundation proved adequate to the challenge it confronted on the morning of October 7 is a question this book’s final chapter will take up. What this chapter can establish, in §§9.6 through 9.10, is the institutional architecture that was in place when the question came due.</w:t>
      </w:r>
    </w:p>
    <w:p>
      <w:pPr>
        <w:pStyle w:val="BodyText"/>
      </w:pPr>
      <w:r>
        <w:t xml:space="preserve">We turn next, in §9.11, to the parallel structural reform — the democratization of the sensor-to-shooter doctrine through Rochev Shamayim — and to the broader institutional consolidation that Eisenkot’s 2015 Commando Brigade represented.</w:t>
      </w:r>
    </w:p>
    <w:bookmarkEnd w:id="82"/>
    <w:bookmarkStart w:id="90" w:name="Xc375fe5e8ba845f82ec4152fbfae2a704aa1ea9"/>
    <w:p>
      <w:pPr>
        <w:pStyle w:val="Heading2"/>
      </w:pPr>
      <w:r>
        <w:t xml:space="preserve">9.11 Rochev Shamayim and the Democratization of Sensor-to-Shooter</w:t>
      </w:r>
    </w:p>
    <w:p>
      <w:pPr>
        <w:pStyle w:val="FirstParagraph"/>
      </w:pPr>
      <w:r>
        <w:t xml:space="preserve">The cognitive-cultural reform Kochavi launched at AMAN in 2011 had a structural counterpart on the IDF’s ground side that was, in its own institutional terms, equally consequential. On the symbolically chosen date of October 10, 2010 — 10.10.10 — the IDF Artillery Corps formally established a new unit, designated Unit 5353 and named Rochev Shamayim,</w:t>
      </w:r>
      <w:r>
        <w:t xml:space="preserve"> </w:t>
      </w:r>
      <w:r>
        <w:t xml:space="preserve">“</w:t>
      </w:r>
      <w:r>
        <w:t xml:space="preserve">Sky Rider.</w:t>
      </w:r>
      <w:r>
        <w:t xml:space="preserve">”</w:t>
      </w:r>
      <w:r>
        <w:t xml:space="preserve"> </w:t>
      </w:r>
      <w:r>
        <w:t xml:space="preserve">The unit’s first commander was Lieutenant Colonel Uri Gonen. Its initial personnel consisted of three people: the commander, his driver, and the unit adjutant. A month later, in November 2010, the first conscript class —</w:t>
      </w:r>
      <w:r>
        <w:t xml:space="preserve"> </w:t>
      </w:r>
      <w:r>
        <w:t xml:space="preserve">“</w:t>
      </w:r>
      <w:r>
        <w:t xml:space="preserve">Class 04</w:t>
      </w:r>
      <w:r>
        <w:t xml:space="preserve">”</w:t>
      </w:r>
      <w:r>
        <w:t xml:space="preserve"> </w:t>
      </w:r>
      <w:r>
        <w:t xml:space="preserve">— was inducted, and the institutional history of the IDF’s tactical UAV capability began in earnest.</w:t>
      </w:r>
      <w:r>
        <w:rPr>
          <w:rStyle w:val="EndnoteReference"/>
        </w:rPr>
        <w:endnoteReference w:id="83"/>
      </w:r>
    </w:p>
    <w:p>
      <w:pPr>
        <w:pStyle w:val="BodyText"/>
      </w:pPr>
      <w:r>
        <w:t xml:space="preserve">The technological platform was the Elbit Systems Skylark 1 — a small electric-powered, bungee-launched UAV that operators carried on their backs (the full system weighed approximately seventy kilograms, of which seven kilograms was the aircraft itself), assembled in the field in minutes, launched manually, recovered by deep-stall and air-cushion landing at a pre-designated point, and that streamed real-time thermal and visual video to the operator and to subscribers on the IDF’s tactical communications network. The doctrinal purpose, in the institutional language that Kochavi’s parallel AMAN reform was simultaneously developing, was to put the Sensor into the Sensor-to-Shooter kill chain at the battalion level. The battalion commander would no longer need to coordinate with the IAF for time-critical reconnaissance support. He would have his own UAV, his own operators, and his own real-time visual intelligence —</w:t>
      </w:r>
      <w:r>
        <w:t xml:space="preserve"> </w:t>
      </w:r>
      <w:r>
        <w:t xml:space="preserve">“</w:t>
      </w:r>
      <w:r>
        <w:t xml:space="preserve">the eyes of the battalion commander,</w:t>
      </w:r>
      <w:r>
        <w:t xml:space="preserve">”</w:t>
      </w:r>
      <w:r>
        <w:t xml:space="preserve"> </w:t>
      </w:r>
      <w:r>
        <w:t xml:space="preserve">in the unit’s own institutional shorthand, capable of seeing</w:t>
      </w:r>
      <w:r>
        <w:t xml:space="preserve"> </w:t>
      </w:r>
      <w:r>
        <w:t xml:space="preserve">“</w:t>
      </w:r>
      <w:r>
        <w:t xml:space="preserve">beyond the hill</w:t>
      </w:r>
      <w:r>
        <w:t xml:space="preserve">”</w:t>
      </w:r>
      <w:r>
        <w:t xml:space="preserve"> </w:t>
      </w:r>
      <w:r>
        <w:t xml:space="preserve">without dependence on the IAF’s strategic platforms.</w:t>
      </w:r>
      <w:r>
        <w:rPr>
          <w:rStyle w:val="EndnoteReference"/>
        </w:rPr>
        <w:endnoteReference w:id="84"/>
      </w:r>
    </w:p>
    <w:p>
      <w:pPr>
        <w:pStyle w:val="BodyText"/>
      </w:pPr>
      <w:r>
        <w:t xml:space="preserve">The unit’s first institutional milestone came in September 2012, during a Golani brigade exercise in the Golan Heights. A Rochev Shamayim team, working with a Golani artillery battery, directed precision fires onto a designated target via UAV feed alone — with five-meter accuracy and without any human observer on the ground in line of sight to the target. This was the moment that, from the artillery doctrine of the past century, removed the requirement of a forward observer in direct visual contact with the target. The observer was now in the sky. The constraint that had governed artillery practice since the introduction of forward observers in World War One was, on a hillside in the Golan in September 2012, lifted.</w:t>
      </w:r>
      <w:r>
        <w:rPr>
          <w:rStyle w:val="EndnoteReference"/>
        </w:rPr>
        <w:endnoteReference w:id="85"/>
      </w:r>
    </w:p>
    <w:p>
      <w:pPr>
        <w:pStyle w:val="BodyText"/>
      </w:pPr>
      <w:r>
        <w:t xml:space="preserve">The unit’s operational test came two months later. During Operation Pillar of Cloud (November 14–21, 2012), Rochev Shamayim teams deployed across the Gaza envelope alongside the maneuvering battalions and — critically for the chapter’s argument — in close cooperation with Shaldag, the IAF’s strategic SOF unit that Muki Betser had founded in 1974. The Shaldag–Rochev Shamayim convergence in Pillar of Cloud was, in retrospect, the institutional moment at which the sensor-to-shooter doctrine reached its full operational ecology: the strategic SOF unit at the high end, the tactical UAV unit at the low end, and the Lochamam-architecture intelligence pipeline connecting both to the maneuvering ground forces. The doctrine Betser had conceived in 1974 had taken thirty-eight years to reach full operational maturation. The Pillar of Cloud deployment was the operational moment of its arrival.</w:t>
      </w:r>
      <w:r>
        <w:rPr>
          <w:rStyle w:val="EndnoteReference"/>
        </w:rPr>
        <w:endnoteReference w:id="86"/>
      </w:r>
    </w:p>
    <w:p>
      <w:pPr>
        <w:pStyle w:val="BodyText"/>
      </w:pPr>
      <w:r>
        <w:t xml:space="preserve">Two subsequent developments deepened the institutional significance of Rochev Shamayim. The first, during Operation Protective Edge (Tzuk Eitan, July–August 2014), was the unit’s release of the now-famous Skylark image of Hamas firing mortars from inside a Gaza school yard at Israeli targets. The image — disseminated to the international media by the IDF Spokesperson at the height of the war’s international legitimacy crisis — became the visual evidence that the IDF was acting in response to fire from civilian infrastructure rather than initiating it. The strategic-communications function this image performed was, in the kill-chain language of the post-2011 IDF, a new function: target → sensor → image → international legitimacy. The sensor-to-shooter doctrine had grown a fourth leg.</w:t>
      </w:r>
      <w:r>
        <w:rPr>
          <w:rStyle w:val="EndnoteReference"/>
        </w:rPr>
        <w:endnoteReference w:id="87"/>
      </w:r>
    </w:p>
    <w:p>
      <w:pPr>
        <w:pStyle w:val="BodyText"/>
      </w:pPr>
      <w:r>
        <w:t xml:space="preserve">The second development, in September 2014, was the integration of women operators into the Rochev Shamayim training track as combat-intelligence collectors. The integration would be expanded in subsequent years to four full women’s teams, performing identical missions to the men with weight-carrying adjustments. This is one of the more consequential institutional shifts in modern IDF history — the integration of women as combat operators in a maneuver-supporting unit, performing identical missions. The book will return to the broader gender-integration arc in Chapter 10 as it bears on the post-October-7 operational tempo.</w:t>
      </w:r>
      <w:r>
        <w:rPr>
          <w:rStyle w:val="EndnoteReference"/>
        </w:rPr>
        <w:endnoteReference w:id="88"/>
      </w:r>
    </w:p>
    <w:p>
      <w:pPr>
        <w:pStyle w:val="BodyText"/>
      </w:pPr>
      <w:r>
        <w:t xml:space="preserve">By 2015, Rochev Shamayim had become not only a defensive-tactical asset but also an active component of the IDF’s offensive operations between wars — what the institutional vocabulary by then called Ma’aracha bein HaMilchamot (the Mab”m, the Campaign Between Wars). The Skylark 1 LE Block 2.0 platform was introduced. The unit’s operational tempo expanded into the northern front, where Israeli airstrikes and special operations against Iranian and Iranian-affiliated targets in Syria — the so-called</w:t>
      </w:r>
      <w:r>
        <w:t xml:space="preserve"> </w:t>
      </w:r>
      <w:r>
        <w:t xml:space="preserve">“</w:t>
      </w:r>
      <w:r>
        <w:t xml:space="preserve">war between wars</w:t>
      </w:r>
      <w:r>
        <w:t xml:space="preserve">”</w:t>
      </w:r>
      <w:r>
        <w:t xml:space="preserve"> </w:t>
      </w:r>
      <w:r>
        <w:t xml:space="preserve">of the mid-to-late-2010s — required exactly the kind of tactical-UAV sensor support that Rochev Shamayim had been built to deliver.</w:t>
      </w:r>
      <w:r>
        <w:rPr>
          <w:rStyle w:val="EndnoteReference"/>
        </w:rPr>
        <w:endnoteReference w:id="89"/>
      </w:r>
    </w:p>
    <w:bookmarkEnd w:id="90"/>
    <w:bookmarkStart w:id="95" w:name="eisenkots-commando-brigade-july-2015"/>
    <w:p>
      <w:pPr>
        <w:pStyle w:val="Heading2"/>
      </w:pPr>
      <w:r>
        <w:t xml:space="preserve">9.12 Eisenkot’s Commando Brigade, July 2015</w:t>
      </w:r>
    </w:p>
    <w:p>
      <w:pPr>
        <w:pStyle w:val="FirstParagraph"/>
      </w:pPr>
      <w:r>
        <w:t xml:space="preserve">The cognitive-cultural reform of AMAN that Kochavi launched in 2011, and the democratization of the sensor-to-shooter doctrine that the founding of Rochev Shamayim represented in 2010, were paralleled by a structural reform of the IDF’s SOF community that came in 2015 under a different IDF leader — Lieutenant General Gadi Eisenkot, who assumed the position of Chief of the General Staff in February 2015.</w:t>
      </w:r>
    </w:p>
    <w:p>
      <w:pPr>
        <w:pStyle w:val="BodyText"/>
      </w:pPr>
      <w:r>
        <w:t xml:space="preserve">In July 2015, as the centerpiece of his Tochnit Rav-Shnatit Gid’on — the Gideon Multi-Year Plan that was the strategic framework of his COGS tenure — Eisenkot announced the establishment of the IDF Commando Brigade. The new formation, designated the 89th Division and named Otzvat Oz (</w:t>
      </w:r>
      <w:r>
        <w:t xml:space="preserve">“</w:t>
      </w:r>
      <w:r>
        <w:t xml:space="preserve">Force of Might</w:t>
      </w:r>
      <w:r>
        <w:t xml:space="preserve">”</w:t>
      </w:r>
      <w:r>
        <w:t xml:space="preserve">), was subordinated to the 98th Division (Otzvat HaEsh, the Fire Division) and was placed under the command of Colonel David Zini, an Infantry/Paratroopers Brigade veteran whose institutional task was to consolidate, under a single brigade-level command, four of the IDF’s mid-tier SOF units that had operated independently across the post-1973 decades: Maglan (founded 1986), Duvdevan (founded 1986), Egoz (refounded 1995), and Rimon (the post-1970s desert reconnaissance unit).</w:t>
      </w:r>
      <w:r>
        <w:rPr>
          <w:rStyle w:val="EndnoteReference"/>
        </w:rPr>
        <w:endnoteReference w:id="91"/>
      </w:r>
    </w:p>
    <w:p>
      <w:pPr>
        <w:pStyle w:val="BodyText"/>
      </w:pPr>
      <w:r>
        <w:t xml:space="preserve">The institutional logic of the consolidation was the logic the Winograd Commission had recommended in 2008 — and that the IDF’s senior staff had spent the intervening seven years debating without acting. Across the post-1986 decades, the IDF had accumulated approximately a dozen mid-tier SOF formations, distributed across regional commands, infantry brigades, divisions, and corps, with overlapping doctrinal missions, redundant equipment-development programs, and competing recruitment-and-training pipelines. The political-institutional cost of consolidation had been high: each unit’s officer corps and traditions had resisted absorption into a higher-order structure. Eisenkot’s decision, taken with the political backing of Defense Minister Moshe Ya’alon and ratified by the Cabinet in July 2015, was that the institutional resistance could no longer block the operational logic. The four units that had matured into commando formations during the Second Intifada and Lebanon II would be consolidated under one command.</w:t>
      </w:r>
      <w:r>
        <w:rPr>
          <w:rStyle w:val="EndnoteReference"/>
        </w:rPr>
        <w:endnoteReference w:id="92"/>
      </w:r>
    </w:p>
    <w:p>
      <w:pPr>
        <w:pStyle w:val="BodyText"/>
      </w:pPr>
      <w:r>
        <w:t xml:space="preserve">The institutional architecture Eisenkot selected was calibrated to preserve unit identity at the operational level while consolidating coordination at the strategic level. Each of the four units would retain its distinctive name, insignia, traditions, recruitment pattern, and operational specialization (Maglan: stand-off fires and deep-area reconnaissance; Duvdevan: urban warfare and mistarvim; Egoz: dense terrain and counter-Hezbollah; Rimon: desert warfare). What the consolidation produced was a brigade-level staff that could plan and command multi-unit operations, a shared logistics and intelligence infrastructure, and what Zini, the first commander, called a Beit Midrash LeKochot Meyuchadim — a</w:t>
      </w:r>
      <w:r>
        <w:t xml:space="preserve"> </w:t>
      </w:r>
      <w:r>
        <w:t xml:space="preserve">“</w:t>
      </w:r>
      <w:r>
        <w:t xml:space="preserve">Beit Midrash for Special Forces,</w:t>
      </w:r>
      <w:r>
        <w:t xml:space="preserve">”</w:t>
      </w:r>
      <w:r>
        <w:t xml:space="preserve"> </w:t>
      </w:r>
      <w:r>
        <w:t xml:space="preserve">using the rabbinic vocabulary of the institutional study-house to capture the cultural function of the new brigade as the place where the four units’ distinct doctrines would be examined, refined, and integrated.</w:t>
      </w:r>
      <w:r>
        <w:rPr>
          <w:rStyle w:val="EndnoteReference"/>
        </w:rPr>
        <w:endnoteReference w:id="93"/>
      </w:r>
    </w:p>
    <w:p>
      <w:pPr>
        <w:pStyle w:val="BodyText"/>
      </w:pPr>
      <w:r>
        <w:t xml:space="preserve">Critically — and this is the institutional point on which the chapter’s argument turns — Eisenkot’s consolidation did not extend to the IDF’s three premier ground-deliverable SOF units. Sayeret Matkal (under AMAN), Shayetet 13 (under the Navy), and Shaldag (under the IAF) remained outside the Commando Brigade, in the parent-service institutional configuration that Muki Betser had argued for in 1983 when Shaldag was formally transferred to the IAF, as I described in Chapter 7 §7.12. The 2015 consolidation explicitly preserved the institutional pattern Betser had established: elite SOFs belong to their service parent. What the 2015 reform consolidated was the second tier of SOF formations — exactly the units that had proliferated by corps and command across the post-1973 decades that the book has been tracing.</w:t>
      </w:r>
      <w:r>
        <w:rPr>
          <w:rStyle w:val="EndnoteReference"/>
        </w:rPr>
        <w:endnoteReference w:id="94"/>
      </w:r>
    </w:p>
    <w:p>
      <w:pPr>
        <w:pStyle w:val="BodyText"/>
      </w:pPr>
      <w:r>
        <w:t xml:space="preserve">The institutional architecture this produced — three premier SOFs at the service-parent level, four consolidated mid-tier SOFs under the Commando Brigade, a tactical-UAV unit (Rochev Shamayim) supporting brigade-level operations, the Lochamam intelligence apparatus at the AMAN level, and the developing Cyber Force across the same period — is the architecture the IDF carried into the late 2010s and into the operational tempo of the Mab”m era that I turn to next.</w:t>
      </w:r>
    </w:p>
    <w:bookmarkEnd w:id="95"/>
    <w:bookmarkStart w:id="101" w:name="the-mabm-era-20152023"/>
    <w:p>
      <w:pPr>
        <w:pStyle w:val="Heading2"/>
      </w:pPr>
      <w:r>
        <w:t xml:space="preserve">9.13 The Mab”m Era, 2015–2023</w:t>
      </w:r>
    </w:p>
    <w:p>
      <w:pPr>
        <w:pStyle w:val="FirstParagraph"/>
      </w:pPr>
      <w:r>
        <w:t xml:space="preserve">The seven years between the establishment of the Commando Brigade in July 2015 and the morning of October 7, 2023 constitute, in the IDF’s operational record, the most intensive sustained covert-and-overt offensive tempo in the institution’s history. The Campaign Between Wars — Ma’aracha bein HaMilchamot, the Mab”m — that the post-Eisenkot IDF conducted across the Syrian, Lebanese, and Iraqi theaters between 2015 and 2023 involved, by the IDF’s own retrospective accounting, several thousand operations: airstrikes against Iranian and Iranian-affiliated weapons transfers, special operations against Hezbollah infrastructure, covert reconnaissance missions across multiple national borders, cyber operations whose attribution and effects remained classified, and the targeted-killing campaign that continued the doctrinal pattern the Abd al-Razek operation had established in November 2000.</w:t>
      </w:r>
      <w:r>
        <w:rPr>
          <w:rStyle w:val="EndnoteReference"/>
        </w:rPr>
        <w:endnoteReference w:id="96"/>
      </w:r>
    </w:p>
    <w:p>
      <w:pPr>
        <w:pStyle w:val="BodyText"/>
      </w:pPr>
      <w:r>
        <w:t xml:space="preserve">Two operations within this period deserve particular attention for the book’s argument because they represent the institutional ecology Kochavi, Eisenkot, and their colleagues had built reaching its full operational maturation.</w:t>
      </w:r>
    </w:p>
    <w:p>
      <w:pPr>
        <w:pStyle w:val="BodyText"/>
      </w:pPr>
      <w:r>
        <w:t xml:space="preserve">The first is the Khan Yunis raid of February 11, 2018 — the Mivtsa Khan Yunis operation, in which Lieutenant Colonel Mahmoud Khir al-Din of Unit 504 (the IDF’s HUMINT and prisoner-interrogation unit) was killed during what had been planned as a covert intelligence-collection mission inside the Gaza Strip. The operation, which was compromised in its execution by Hamas security forces’ detection of the Israeli team, became famous within the IDF for the airborne extraction that followed: the IAF’s Unit 669 search-and-rescue team — the unit founded after Lebanon II based on lessons that this book has traced to Muki Betser’s 1973 frustration — extracted the surviving Israeli operators from the Gaza envelope in a forty-eight-second CH-53 Yas’ur pickup, under Hamas fire, with the wounded operators on board and the body of Lieutenant Colonel Khir al-Din recovered for return to Israel. The Khan Yunis operation became, in the IDF’s institutional memory, the case study of the contemporary SOF kill chain operating at full performance — including the airborne SAR capability that the post-Lebanon-II reform had built specifically to extract the kind of operators the contemporary intelligence operations were placing at risk.</w:t>
      </w:r>
      <w:r>
        <w:rPr>
          <w:rStyle w:val="EndnoteReference"/>
        </w:rPr>
        <w:endnoteReference w:id="97"/>
      </w:r>
    </w:p>
    <w:p>
      <w:pPr>
        <w:pStyle w:val="BodyText"/>
      </w:pPr>
      <w:r>
        <w:t xml:space="preserve">The second is Operation Northern Shield (Mivtsa Magen Tzafoni) of December 2018–January 2019, in which the IDF — under Aviv Kochavi’s first months as Chief of the General Staff — conducted a sustained engineering and counter-tunnel operation along the northern border that destroyed six Hezbollah cross-border attack tunnels that had been constructed beneath the Israeli frontier from villages in southern Lebanon. The operation was, in its institutional architecture, the practical reverse of the discovery that Maglan had made at Maroun a-Ras in 2006: where the 2006 discovery had revealed an underground defensive infrastructure the IDF had not anticipated, the 2018–2019 operation reflected the institutional capability the IDF had built across the intervening twelve years to detect, map, and neutralize such infrastructure. The operational performance of Northern Shield was, by the IDF’s after-action assessment, validation that the post-Lebanon-II reform agenda had produced an organization capable of confronting the Hezbollah defensive system on the institution’s own terms.</w:t>
      </w:r>
      <w:r>
        <w:rPr>
          <w:rStyle w:val="EndnoteReference"/>
        </w:rPr>
        <w:endnoteReference w:id="98"/>
      </w:r>
    </w:p>
    <w:p>
      <w:pPr>
        <w:pStyle w:val="BodyText"/>
      </w:pPr>
      <w:r>
        <w:t xml:space="preserve">In December 2021, Defense Minister Benny Gantz, with Prime Minister Naftali Bennett’s authorization, formally designated Yamam — the Border Police’s Counterterrorism Units, which had emerged in the 1990s and that I have referred to repeatedly in this chapter — as the State of Israel’s national counterterrorism unit, with operational priority over the IDF’s parallel CT capabilities for hostage-rescue and domestic-CT contingencies. The decision, which had been recommended in the post-Lebanon-II reviews and then again in the post-Protective Edge reviews of 2014–2015, was the formalization of an institutional reality that had been operationally true for the better part of a decade. Yamam’s December 2021 elevation completed the institutional roster of the IDF’s premier SOF community at the moment of its greatest mature complexity.</w:t>
      </w:r>
      <w:r>
        <w:rPr>
          <w:rStyle w:val="EndnoteReference"/>
        </w:rPr>
        <w:endnoteReference w:id="99"/>
      </w:r>
    </w:p>
    <w:p>
      <w:pPr>
        <w:pStyle w:val="BodyText"/>
      </w:pPr>
      <w:r>
        <w:t xml:space="preserve">Aviv Kochavi’s tenure as Chief of the General Staff, from January 2019 through January 2023, was the period in which the institutional architecture this chapter has been tracing reached its full operational expression. The Mab”m operational tempo continued without significant interruption. The Lochamam doctrine, the Networked AMAN infrastructure, the Commando Brigade, Rochev Shamayim, and the Cyber Force all matured within their respective domains. Kochavi handed the COGS position to Lieutenant General Herzi Halevi on January 17, 2023 — nine months and seventeen days before the Hamas attack of October 7, 2023, would put every institutional product of the post-Lebanon-II reform agenda to a test no one in the senior officer corps had anticipated.</w:t>
      </w:r>
      <w:r>
        <w:rPr>
          <w:rStyle w:val="EndnoteReference"/>
        </w:rPr>
        <w:endnoteReference w:id="100"/>
      </w:r>
    </w:p>
    <w:bookmarkEnd w:id="101"/>
    <w:bookmarkStart w:id="102" w:name="october-6-2023-bridge-to-chapter-10"/>
    <w:p>
      <w:pPr>
        <w:pStyle w:val="Heading2"/>
      </w:pPr>
      <w:r>
        <w:t xml:space="preserve">9.14 October 6, 2023 — Bridge to Chapter 10</w:t>
      </w:r>
    </w:p>
    <w:p>
      <w:pPr>
        <w:pStyle w:val="FirstParagraph"/>
      </w:pPr>
      <w:r>
        <w:t xml:space="preserve">What was in place, on the evening of October 6, 2023, as Israel entered the Sukkot holiday and the IDF’s senior officer corps and the political leadership scattered to their homes for the festival, was the institutional architecture the post-Lebanon-II reform decade had built.</w:t>
      </w:r>
    </w:p>
    <w:p>
      <w:pPr>
        <w:pStyle w:val="BodyText"/>
      </w:pPr>
      <w:r>
        <w:t xml:space="preserve">The three premier SOFs — Sayeret Matkal, Shayetet 13, Shaldag — operated under their parent services (AMAN, the Navy, the IAF), as they had since Muki Betser had won that institutional argument with Chief of Staff Moshe Levy in 1983. The four mid-tier SOFs — Maglan, Duvdevan, Egoz, Rimon — operated under the Commando Brigade that Eisenkot had consolidated in 2015. Unit 669, the airborne search-and-rescue unit founded out of the lessons of Lebanon II 2006, was on its standard readiness rotation. The Border Police’s Yamam, designated as the national CT unit in December 2021, was on its standard ready-watch rotation. The Lochamam doctrine that Kochavi and Ortal had codified in 2011–2014 had been the operating intelligence doctrine of the IDF for a decade. The Networked AMAN infrastructure — the Blue, Green, and Purple Units — had been integrated into the maneuver brigades’ tactical command-and-control systems. The Cyber Force that Eisenkot had consolidated in 2015 had matured into an institutional capability whose specific operations remained classified. Rochev Shamayim was on its standard deployment cycle, with Skylark 1 LE Block 2.0 platforms ready at battalion-level deployments across multiple theaters. The Kfir Brigade, the Gadsarim, the regional brigades of the West Bank and the Gaza envelope were on their standard readiness postures for what the IDF’s intelligence assessment had repeatedly assessed as a relatively quiet period.</w:t>
      </w:r>
    </w:p>
    <w:p>
      <w:pPr>
        <w:pStyle w:val="BodyText"/>
      </w:pPr>
      <w:r>
        <w:t xml:space="preserve">The cumulative institutional product of the seven decades the book has traced — from Yitzhak Sadeh’s FOSH founding in 1936, through Avraham Arnan’s Sayeret Matkal founding in 1957, through Muki Betser’s Shaldag founding in 1974, through the Lebanon decade and the Second Intifada and Lebanon II and the Ma’aseh AMAN reform and the Commando Brigade consolidation and the Mab”m tempo of the Eisenkot and Kochavi years — was the most operationally sophisticated SOF community Israel had ever fielded. The architecture was in place. The institutional learning was in place. The doctrinal vocabulary that the Kochavi-Ortal article had codified, in its insistence that today’s problems stem from yesterday’s solutions, was the operating intellectual framework of the IDF’s senior officer corps.</w:t>
      </w:r>
    </w:p>
    <w:p>
      <w:pPr>
        <w:pStyle w:val="BodyText"/>
      </w:pPr>
      <w:r>
        <w:t xml:space="preserve">What was not in place — what the institutional self-confidence of the post-Eisenkot-Kochavi reform decade had foreclosed — was the question of whether the architecture, however sophisticated, was adequate to the war that was about to begin. The morning of October 7, 2023 would test that question in the most direct possible terms. We turn to that test, and to the SOF community’s response to it, in Chapter 10.</w:t>
      </w:r>
    </w:p>
    <w:bookmarkEnd w:id="102"/>
    <w:bookmarkStart w:id="103" w:name="notes"/>
    <w:p>
      <w:pPr>
        <w:pStyle w:val="Heading2"/>
      </w:pPr>
      <w:r>
        <w:t xml:space="preserve">Notes</w:t>
      </w:r>
    </w:p>
    <w:bookmarkEnd w:id="103"/>
    <w:bookmarkEnd w:id="104"/>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Ronen Bergman, The Secret War with Iran: The 30-Year Clandestine Struggle Against the World’s Most Dangerous Terrorist Power (New York: Free Press, 2008), 218–22; Erich Follath and Holger Stark,</w:t>
      </w:r>
      <w:r>
        <w:t xml:space="preserve"> </w:t>
      </w:r>
      <w:r>
        <w:t xml:space="preserve">“</w:t>
      </w:r>
      <w:r>
        <w:t xml:space="preserve">The Story of Operation Orchard: How Israel Destroyed Syria’s Al Kibar Nuclear Reactor,</w:t>
      </w:r>
      <w:r>
        <w:t xml:space="preserve">”</w:t>
      </w:r>
      <w:r>
        <w:t xml:space="preserve"> </w:t>
      </w:r>
      <w:r>
        <w:t xml:space="preserve">Der Spiegel, November 2, 2009; David Makovsky,</w:t>
      </w:r>
      <w:r>
        <w:t xml:space="preserve"> </w:t>
      </w:r>
      <w:r>
        <w:t xml:space="preserve">“</w:t>
      </w:r>
      <w:r>
        <w:t xml:space="preserve">The Silent Strike: How Israel Bombed a Syrian Nuclear Installation and Kept It Secret,</w:t>
      </w:r>
      <w:r>
        <w:t xml:space="preserve">”</w:t>
      </w:r>
      <w:r>
        <w:t xml:space="preserve"> </w:t>
      </w:r>
      <w:r>
        <w:t xml:space="preserve">The New Yorker, September 17, 2012; IAF Spokesperson’s eventual partial declassification (2018); Ehud Olmert, In the First Person, Hebrew ed. (Tel Aviv: Yediot Aharonot, 2018), chap. 13.</w:t>
      </w:r>
    </w:p>
  </w:endnote>
  <w:endnote w:id="21">
    <w:p>
      <w:pPr>
        <w:pStyle w:val="EndnoteText"/>
      </w:pPr>
      <w:r>
        <w:rPr>
          <w:rStyle w:val="EndnoteReference"/>
        </w:rPr>
        <w:endnoteRef/>
      </w:r>
      <w:r>
        <w:t xml:space="preserve"> </w:t>
      </w:r>
      <w:r>
        <w:t xml:space="preserve">Makovsky,</w:t>
      </w:r>
      <w:r>
        <w:t xml:space="preserve"> </w:t>
      </w:r>
      <w:r>
        <w:t xml:space="preserve">“</w:t>
      </w:r>
      <w:r>
        <w:t xml:space="preserve">The Silent Strike</w:t>
      </w:r>
      <w:r>
        <w:t xml:space="preserve">”</w:t>
      </w:r>
      <w:r>
        <w:t xml:space="preserve">; Yossi Melman and Sol Stern,</w:t>
      </w:r>
      <w:r>
        <w:t xml:space="preserve"> </w:t>
      </w:r>
      <w:r>
        <w:t xml:space="preserve">“</w:t>
      </w:r>
      <w:r>
        <w:t xml:space="preserve">Operation Orchard,</w:t>
      </w:r>
      <w:r>
        <w:t xml:space="preserve">”</w:t>
      </w:r>
      <w:r>
        <w:t xml:space="preserve"> </w:t>
      </w:r>
      <w:r>
        <w:t xml:space="preserve">Foreign Affairs (2009); Bergman, The Secret War with Iran, 218–22; Ronen Bergman, Rise and Kill First: The Secret History of Israel’s Targeted Assassinations (New York: Random House, 2018), chap. 24.</w:t>
      </w:r>
    </w:p>
  </w:endnote>
  <w:endnote w:id="22">
    <w:p>
      <w:pPr>
        <w:pStyle w:val="EndnoteText"/>
      </w:pPr>
      <w:r>
        <w:rPr>
          <w:rStyle w:val="EndnoteReference"/>
        </w:rPr>
        <w:endnoteRef/>
      </w:r>
      <w:r>
        <w:t xml:space="preserve"> </w:t>
      </w:r>
      <w:r>
        <w:t xml:space="preserve">Bergman, Rise and Kill First, chap. 24; Makovsky,</w:t>
      </w:r>
      <w:r>
        <w:t xml:space="preserve"> </w:t>
      </w:r>
      <w:r>
        <w:t xml:space="preserve">“</w:t>
      </w:r>
      <w:r>
        <w:t xml:space="preserve">The Silent Strike.</w:t>
      </w:r>
      <w:r>
        <w:t xml:space="preserve">”</w:t>
      </w:r>
    </w:p>
  </w:endnote>
  <w:endnote w:id="23">
    <w:p>
      <w:pPr>
        <w:pStyle w:val="EndnoteText"/>
      </w:pPr>
      <w:r>
        <w:rPr>
          <w:rStyle w:val="EndnoteReference"/>
        </w:rPr>
        <w:endnoteRef/>
      </w:r>
      <w:r>
        <w:t xml:space="preserve"> </w:t>
      </w:r>
      <w:r>
        <w:t xml:space="preserve">Bergman, Rise and Kill First, chap. 24. See chapter 6, §6.3; chapter 7, §7.13.</w:t>
      </w:r>
    </w:p>
  </w:endnote>
  <w:endnote w:id="24">
    <w:p>
      <w:pPr>
        <w:pStyle w:val="EndnoteText"/>
      </w:pPr>
      <w:r>
        <w:rPr>
          <w:rStyle w:val="EndnoteReference"/>
        </w:rPr>
        <w:endnoteRef/>
      </w:r>
      <w:r>
        <w:t xml:space="preserve"> </w:t>
      </w:r>
      <w:r>
        <w:t xml:space="preserve">Bergman, The Secret War with Iran, 224–27; David Sanger, The Inheritance: The World Obama Confronts and the Challenges to American Power (New York: Harmony, 2009), chap. 7.</w:t>
      </w:r>
    </w:p>
  </w:endnote>
  <w:endnote w:id="25">
    <w:p>
      <w:pPr>
        <w:pStyle w:val="EndnoteText"/>
      </w:pPr>
      <w:r>
        <w:rPr>
          <w:rStyle w:val="EndnoteReference"/>
        </w:rPr>
        <w:endnoteRef/>
      </w:r>
      <w:r>
        <w:t xml:space="preserve"> </w:t>
      </w:r>
      <w:r>
        <w:t xml:space="preserve">Bergman, Rise and Kill First, chap. 25; David Schenker,</w:t>
      </w:r>
      <w:r>
        <w:t xml:space="preserve"> </w:t>
      </w:r>
      <w:r>
        <w:t xml:space="preserve">“</w:t>
      </w:r>
      <w:r>
        <w:t xml:space="preserve">Who Killed Mohammed Suleiman?,</w:t>
      </w:r>
      <w:r>
        <w:t xml:space="preserve">”</w:t>
      </w:r>
      <w:r>
        <w:t xml:space="preserve"> </w:t>
      </w:r>
      <w:r>
        <w:t xml:space="preserve">Foreign Policy, August 7, 2008.</w:t>
      </w:r>
    </w:p>
  </w:endnote>
  <w:endnote w:id="26">
    <w:p>
      <w:pPr>
        <w:pStyle w:val="EndnoteText"/>
      </w:pPr>
      <w:r>
        <w:rPr>
          <w:rStyle w:val="EndnoteReference"/>
        </w:rPr>
        <w:endnoteRef/>
      </w:r>
      <w:r>
        <w:t xml:space="preserve"> </w:t>
      </w:r>
      <w:r>
        <w:t xml:space="preserve">Bergman, Rise and Kill First, chap. 25; Schenker,</w:t>
      </w:r>
      <w:r>
        <w:t xml:space="preserve"> </w:t>
      </w:r>
      <w:r>
        <w:t xml:space="preserve">“</w:t>
      </w:r>
      <w:r>
        <w:t xml:space="preserve">Who Killed Mohammed Suleiman?</w:t>
      </w:r>
      <w:r>
        <w:t xml:space="preserve">”</w:t>
      </w:r>
      <w:r>
        <w:t xml:space="preserve">; Sunday Times (London), August 3, 2008.</w:t>
      </w:r>
    </w:p>
  </w:endnote>
  <w:endnote w:id="28">
    <w:p>
      <w:pPr>
        <w:pStyle w:val="EndnoteText"/>
      </w:pPr>
      <w:r>
        <w:rPr>
          <w:rStyle w:val="EndnoteReference"/>
        </w:rPr>
        <w:endnoteRef/>
      </w:r>
      <w:r>
        <w:t xml:space="preserve"> </w:t>
      </w:r>
      <w:r>
        <w:t xml:space="preserve">Ami Pedahzur, The Israeli Secret Services and the Struggle Against Terrorism (New York: Columbia University Press, 2009), chaps. 7–8; Amos Harel and Avi Issacharoff, The Seventh War: How We Won and Why We Lost the War with the Palestinians (Tel Aviv: Yedioth Aharonoth, 2004); Ronen Bergman, Rise and Kill First, chaps. 20–22.</w:t>
      </w:r>
    </w:p>
  </w:endnote>
  <w:endnote w:id="29">
    <w:p>
      <w:pPr>
        <w:pStyle w:val="EndnoteText"/>
      </w:pPr>
      <w:r>
        <w:rPr>
          <w:rStyle w:val="EndnoteReference"/>
        </w:rPr>
        <w:endnoteRef/>
      </w:r>
      <w:r>
        <w:t xml:space="preserve"> </w:t>
      </w:r>
      <w:r>
        <w:t xml:space="preserve">Stuart A. Cohen, Israel and Its Army: From Cohesion to Confusion (London: Routledge, 2008), chaps. 6–8; Pedahzur, The Israeli Secret Services, chap. 7.</w:t>
      </w:r>
    </w:p>
  </w:endnote>
  <w:endnote w:id="30">
    <w:p>
      <w:pPr>
        <w:pStyle w:val="EndnoteText"/>
      </w:pPr>
      <w:r>
        <w:rPr>
          <w:rStyle w:val="EndnoteReference"/>
        </w:rPr>
        <w:endnoteRef/>
      </w:r>
      <w:r>
        <w:t xml:space="preserve"> </w:t>
      </w:r>
      <w:r>
        <w:t xml:space="preserve">Yossi Melman,</w:t>
      </w:r>
      <w:r>
        <w:t xml:space="preserve"> </w:t>
      </w:r>
      <w:r>
        <w:t xml:space="preserve">“</w:t>
      </w:r>
      <w:r>
        <w:t xml:space="preserve">Duvdevan: The Mistaarvim Special Force,</w:t>
      </w:r>
      <w:r>
        <w:t xml:space="preserve">”</w:t>
      </w:r>
      <w:r>
        <w:t xml:space="preserve"> </w:t>
      </w:r>
      <w:r>
        <w:t xml:space="preserve">in The Israeli Secret Services and the Struggle Against Terrorism, 134–48. See chapter 8, §§8.x.</w:t>
      </w:r>
    </w:p>
  </w:endnote>
  <w:endnote w:id="31">
    <w:p>
      <w:pPr>
        <w:pStyle w:val="EndnoteText"/>
      </w:pPr>
      <w:r>
        <w:rPr>
          <w:rStyle w:val="EndnoteReference"/>
        </w:rPr>
        <w:endnoteRef/>
      </w:r>
      <w:r>
        <w:t xml:space="preserve"> </w:t>
      </w:r>
      <w:r>
        <w:t xml:space="preserve">Pedahzur, The Israeli Secret Services, chap. 9. See chapter 8, §§8.x.</w:t>
      </w:r>
    </w:p>
  </w:endnote>
  <w:endnote w:id="33">
    <w:p>
      <w:pPr>
        <w:pStyle w:val="EndnoteText"/>
      </w:pPr>
      <w:r>
        <w:rPr>
          <w:rStyle w:val="EndnoteReference"/>
        </w:rPr>
        <w:endnoteRef/>
      </w:r>
      <w:r>
        <w:t xml:space="preserve"> </w:t>
      </w:r>
      <w:r>
        <w:t xml:space="preserve">Cohen, Israel and Its Army, chap. 8.</w:t>
      </w:r>
    </w:p>
  </w:endnote>
  <w:endnote w:id="34">
    <w:p>
      <w:pPr>
        <w:pStyle w:val="EndnoteText"/>
      </w:pPr>
      <w:r>
        <w:rPr>
          <w:rStyle w:val="EndnoteReference"/>
        </w:rPr>
        <w:endnoteRef/>
      </w:r>
      <w:r>
        <w:t xml:space="preserve"> </w:t>
      </w:r>
      <w:r>
        <w:t xml:space="preserve">IDF Spokesperson, brigade-formation announcement, 2003; Amos Harel,</w:t>
      </w:r>
      <w:r>
        <w:t xml:space="preserve"> </w:t>
      </w:r>
      <w:r>
        <w:t xml:space="preserve">“</w:t>
      </w:r>
      <w:r>
        <w:t xml:space="preserve">The Birth of Kfir Brigade,</w:t>
      </w:r>
      <w:r>
        <w:t xml:space="preserve">”</w:t>
      </w:r>
      <w:r>
        <w:t xml:space="preserve"> </w:t>
      </w:r>
      <w:r>
        <w:t xml:space="preserve">Haaretz, March 4, 2005.</w:t>
      </w:r>
    </w:p>
  </w:endnote>
  <w:endnote w:id="35">
    <w:p>
      <w:pPr>
        <w:pStyle w:val="EndnoteText"/>
      </w:pPr>
      <w:r>
        <w:rPr>
          <w:rStyle w:val="EndnoteReference"/>
        </w:rPr>
        <w:endnoteRef/>
      </w:r>
      <w:r>
        <w:t xml:space="preserve"> </w:t>
      </w:r>
      <w:r>
        <w:t xml:space="preserve">IDF Manpower Directorate, Brigade Selection Guide (2008–2010 editions).</w:t>
      </w:r>
    </w:p>
  </w:endnote>
  <w:endnote w:id="36">
    <w:p>
      <w:pPr>
        <w:pStyle w:val="EndnoteText"/>
      </w:pPr>
      <w:r>
        <w:rPr>
          <w:rStyle w:val="EndnoteReference"/>
        </w:rPr>
        <w:endnoteRef/>
      </w:r>
      <w:r>
        <w:t xml:space="preserve"> </w:t>
      </w:r>
      <w:r>
        <w:t xml:space="preserve">Amos Harel,</w:t>
      </w:r>
      <w:r>
        <w:t xml:space="preserve"> </w:t>
      </w:r>
      <w:r>
        <w:t xml:space="preserve">“</w:t>
      </w:r>
      <w:r>
        <w:t xml:space="preserve">The Reconnaissance Reform,</w:t>
      </w:r>
      <w:r>
        <w:t xml:space="preserve">”</w:t>
      </w:r>
      <w:r>
        <w:t xml:space="preserve"> </w:t>
      </w:r>
      <w:r>
        <w:t xml:space="preserve">Haaretz, 2002; IDF Ground Forces Doctrine Document, 2005 edition.</w:t>
      </w:r>
    </w:p>
  </w:endnote>
  <w:endnote w:id="38">
    <w:p>
      <w:pPr>
        <w:pStyle w:val="EndnoteText"/>
      </w:pPr>
      <w:r>
        <w:rPr>
          <w:rStyle w:val="EndnoteReference"/>
        </w:rPr>
        <w:endnoteRef/>
      </w:r>
      <w:r>
        <w:t xml:space="preserve"> </w:t>
      </w:r>
      <w:r>
        <w:t xml:space="preserve">Bergman, Rise and Kill First, chaps. 1–25. See chapter 6, §6.9; chapter 8, §§8.x.</w:t>
      </w:r>
    </w:p>
  </w:endnote>
  <w:endnote w:id="39">
    <w:p>
      <w:pPr>
        <w:pStyle w:val="EndnoteText"/>
      </w:pPr>
      <w:r>
        <w:rPr>
          <w:rStyle w:val="EndnoteReference"/>
        </w:rPr>
        <w:endnoteRef/>
      </w:r>
      <w:r>
        <w:t xml:space="preserve"> </w:t>
      </w:r>
      <w:r>
        <w:t xml:space="preserve">Bergman, Rise and Kill First, chaps. 22–23; Pedahzur, The Israeli Secret Services, chap. 8.</w:t>
      </w:r>
    </w:p>
  </w:endnote>
  <w:endnote w:id="40">
    <w:p>
      <w:pPr>
        <w:pStyle w:val="EndnoteText"/>
      </w:pPr>
      <w:r>
        <w:rPr>
          <w:rStyle w:val="EndnoteReference"/>
        </w:rPr>
        <w:endnoteRef/>
      </w:r>
      <w:r>
        <w:t xml:space="preserve"> </w:t>
      </w:r>
      <w:r>
        <w:t xml:space="preserve">Bergman, Rise and Kill First, chaps. 22–23.</w:t>
      </w:r>
    </w:p>
  </w:endnote>
  <w:endnote w:id="41">
    <w:p>
      <w:pPr>
        <w:pStyle w:val="EndnoteText"/>
      </w:pPr>
      <w:r>
        <w:rPr>
          <w:rStyle w:val="EndnoteReference"/>
        </w:rPr>
        <w:endnoteRef/>
      </w:r>
      <w:r>
        <w:t xml:space="preserve"> </w:t>
      </w:r>
      <w:r>
        <w:t xml:space="preserve">Bergman, Rise and Kill First, conclusion; Daphna Sharfman, Palestinian Terror and Israeli Counter-Terror Legislation (Westport, CT: Praeger, 2008), chap. 4.</w:t>
      </w:r>
    </w:p>
  </w:endnote>
  <w:endnote w:id="43">
    <w:p>
      <w:pPr>
        <w:pStyle w:val="EndnoteText"/>
      </w:pPr>
      <w:r>
        <w:rPr>
          <w:rStyle w:val="EndnoteReference"/>
        </w:rPr>
        <w:endnoteRef/>
      </w:r>
      <w:r>
        <w:t xml:space="preserve"> </w:t>
      </w:r>
      <w:r>
        <w:t xml:space="preserve">Yair Ansbacher, A Shadow of a Bird (Tel Aviv: Yedioth Ahronoth, 2009). See chapter 7, §7.13.</w:t>
      </w:r>
    </w:p>
  </w:endnote>
  <w:endnote w:id="44">
    <w:p>
      <w:pPr>
        <w:pStyle w:val="EndnoteText"/>
      </w:pPr>
      <w:r>
        <w:rPr>
          <w:rStyle w:val="EndnoteReference"/>
        </w:rPr>
        <w:endnoteRef/>
      </w:r>
      <w:r>
        <w:t xml:space="preserve"> </w:t>
      </w:r>
      <w:r>
        <w:t xml:space="preserve">Nava Zuriel and Yael Levi,</w:t>
      </w:r>
      <w:r>
        <w:t xml:space="preserve"> </w:t>
      </w:r>
      <w:r>
        <w:t xml:space="preserve">“</w:t>
      </w:r>
      <w:r>
        <w:t xml:space="preserve">The Unit of the Generals,</w:t>
      </w:r>
      <w:r>
        <w:t xml:space="preserve">”</w:t>
      </w:r>
      <w:r>
        <w:t xml:space="preserve"> </w:t>
      </w:r>
      <w:r>
        <w:t xml:space="preserve">maglan.org, undated; Shai Lahav,</w:t>
      </w:r>
      <w:r>
        <w:t xml:space="preserve"> </w:t>
      </w:r>
      <w:r>
        <w:t xml:space="preserve">“</w:t>
      </w:r>
      <w:r>
        <w:t xml:space="preserve">Surgical Unit,</w:t>
      </w:r>
      <w:r>
        <w:t xml:space="preserve">”</w:t>
      </w:r>
      <w:r>
        <w:t xml:space="preserve"> </w:t>
      </w:r>
      <w:r>
        <w:t xml:space="preserve">NRG Maariv, 2003.</w:t>
      </w:r>
    </w:p>
  </w:endnote>
  <w:endnote w:id="45">
    <w:p>
      <w:pPr>
        <w:pStyle w:val="EndnoteText"/>
      </w:pPr>
      <w:r>
        <w:rPr>
          <w:rStyle w:val="EndnoteReference"/>
        </w:rPr>
        <w:endnoteRef/>
      </w:r>
      <w:r>
        <w:t xml:space="preserve"> </w:t>
      </w:r>
      <w:r>
        <w:t xml:space="preserve">Ansbacher, A Shadow of a Bird.</w:t>
      </w:r>
    </w:p>
  </w:endnote>
  <w:endnote w:id="46">
    <w:p>
      <w:pPr>
        <w:pStyle w:val="EndnoteText"/>
      </w:pPr>
      <w:r>
        <w:rPr>
          <w:rStyle w:val="EndnoteReference"/>
        </w:rPr>
        <w:endnoteRef/>
      </w:r>
      <w:r>
        <w:t xml:space="preserve"> </w:t>
      </w:r>
      <w:r>
        <w:t xml:space="preserve">IDF Spokesperson casualty announcements, November 2002; Amos Harel and Arnon Regular,</w:t>
      </w:r>
      <w:r>
        <w:t xml:space="preserve"> </w:t>
      </w:r>
      <w:r>
        <w:t xml:space="preserve">“</w:t>
      </w:r>
      <w:r>
        <w:t xml:space="preserve">The Hebron Ambush,</w:t>
      </w:r>
      <w:r>
        <w:t xml:space="preserve">”</w:t>
      </w:r>
      <w:r>
        <w:t xml:space="preserve"> </w:t>
      </w:r>
      <w:r>
        <w:t xml:space="preserve">Haaretz, November 17, 2002; obituary in Bamahane, November 22, 2002.</w:t>
      </w:r>
    </w:p>
  </w:endnote>
  <w:endnote w:id="48">
    <w:p>
      <w:pPr>
        <w:pStyle w:val="EndnoteText"/>
      </w:pPr>
      <w:r>
        <w:rPr>
          <w:rStyle w:val="EndnoteReference"/>
        </w:rPr>
        <w:endnoteRef/>
      </w:r>
      <w:r>
        <w:t xml:space="preserve"> </w:t>
      </w:r>
      <w:r>
        <w:t xml:space="preserve">Yair Ansbacher, A Shadow of a Bird (Tel Aviv: Yedioth Ahronoth, 2009); Shai Lahav,</w:t>
      </w:r>
      <w:r>
        <w:t xml:space="preserve"> </w:t>
      </w:r>
      <w:r>
        <w:t xml:space="preserve">“</w:t>
      </w:r>
      <w:r>
        <w:t xml:space="preserve">Surgical Unit,</w:t>
      </w:r>
      <w:r>
        <w:t xml:space="preserve">”</w:t>
      </w:r>
      <w:r>
        <w:t xml:space="preserve"> </w:t>
      </w:r>
      <w:r>
        <w:t xml:space="preserve">NRG Maariv, 2003; Amos Harel, The New Face of the IDF (Tel Aviv: Yedioth Aharonoth, 2013); Bergman, Rise and Kill First, chap. 25.</w:t>
      </w:r>
    </w:p>
  </w:endnote>
  <w:endnote w:id="49">
    <w:p>
      <w:pPr>
        <w:pStyle w:val="EndnoteText"/>
      </w:pPr>
      <w:r>
        <w:rPr>
          <w:rStyle w:val="EndnoteReference"/>
        </w:rPr>
        <w:endnoteRef/>
      </w:r>
      <w:r>
        <w:t xml:space="preserve"> </w:t>
      </w:r>
      <w:r>
        <w:t xml:space="preserve">Ansbacher, A Shadow of a Bird; Stuart A. Cohen and Aharon Klieman, Israel’s National Security Doctrine (Westport, CT: Praeger, 2009), chap. 6.</w:t>
      </w:r>
    </w:p>
  </w:endnote>
  <w:endnote w:id="50">
    <w:p>
      <w:pPr>
        <w:pStyle w:val="EndnoteText"/>
      </w:pPr>
      <w:r>
        <w:rPr>
          <w:rStyle w:val="EndnoteReference"/>
        </w:rPr>
        <w:endnoteRef/>
      </w:r>
      <w:r>
        <w:t xml:space="preserve"> </w:t>
      </w:r>
      <w:r>
        <w:t xml:space="preserve">See chapter 7, §§7.9–7.12; chapter 6, §6.5; §9.10.</w:t>
      </w:r>
    </w:p>
  </w:endnote>
  <w:endnote w:id="51">
    <w:p>
      <w:pPr>
        <w:pStyle w:val="EndnoteText"/>
      </w:pPr>
      <w:r>
        <w:rPr>
          <w:rStyle w:val="EndnoteReference"/>
        </w:rPr>
        <w:endnoteRef/>
      </w:r>
      <w:r>
        <w:t xml:space="preserve"> </w:t>
      </w:r>
      <w:r>
        <w:t xml:space="preserve">Amos Harel and Avi Issacharoff, 34 Days: Israel, Hezbollah, and the War in Lebanon (New York: Palgrave Macmillan, 2008), chaps. 1–3.</w:t>
      </w:r>
    </w:p>
  </w:endnote>
  <w:endnote w:id="53">
    <w:p>
      <w:pPr>
        <w:pStyle w:val="EndnoteText"/>
      </w:pPr>
      <w:r>
        <w:rPr>
          <w:rStyle w:val="EndnoteReference"/>
        </w:rPr>
        <w:endnoteRef/>
      </w:r>
      <w:r>
        <w:t xml:space="preserve"> </w:t>
      </w:r>
      <w:r>
        <w:t xml:space="preserve">Harel and Issacharoff, 34 Days, chaps. 1–2; Ofer Shelah and Yoav Limor, Captives of Lebanon (Tel Aviv: Yedioth Ahronoth, 2007), chap. 1; Winograd Commission Final Report (2008), chap. 2 (public sections).</w:t>
      </w:r>
    </w:p>
  </w:endnote>
  <w:endnote w:id="54">
    <w:p>
      <w:pPr>
        <w:pStyle w:val="EndnoteText"/>
      </w:pPr>
      <w:r>
        <w:rPr>
          <w:rStyle w:val="EndnoteReference"/>
        </w:rPr>
        <w:endnoteRef/>
      </w:r>
      <w:r>
        <w:t xml:space="preserve"> </w:t>
      </w:r>
      <w:r>
        <w:t xml:space="preserve">Ansbacher, A Shadow of a Bird; Harel and Issacharoff, 34 Days, chap. 3.</w:t>
      </w:r>
    </w:p>
  </w:endnote>
  <w:endnote w:id="55">
    <w:p>
      <w:pPr>
        <w:pStyle w:val="EndnoteText"/>
      </w:pPr>
      <w:r>
        <w:rPr>
          <w:rStyle w:val="EndnoteReference"/>
        </w:rPr>
        <w:endnoteRef/>
      </w:r>
      <w:r>
        <w:t xml:space="preserve"> </w:t>
      </w:r>
      <w:r>
        <w:t xml:space="preserve">IDF Spokesperson casualty announcements, July 13–14, 2006; Harel and Issacharoff, 34 Days, chap. 3.</w:t>
      </w:r>
    </w:p>
  </w:endnote>
  <w:endnote w:id="56">
    <w:p>
      <w:pPr>
        <w:pStyle w:val="EndnoteText"/>
      </w:pPr>
      <w:r>
        <w:rPr>
          <w:rStyle w:val="EndnoteReference"/>
        </w:rPr>
        <w:endnoteRef/>
      </w:r>
      <w:r>
        <w:t xml:space="preserve"> </w:t>
      </w:r>
      <w:r>
        <w:t xml:space="preserve">IDF Spokesperson casualty announcements, July 14, 2006; Yedioth Ahronoth and Israel Hayom obituaries, July 15–17, 2006; Israeli Ministry of Defense memorial records.</w:t>
      </w:r>
    </w:p>
  </w:endnote>
  <w:endnote w:id="57">
    <w:p>
      <w:pPr>
        <w:pStyle w:val="EndnoteText"/>
      </w:pPr>
      <w:r>
        <w:rPr>
          <w:rStyle w:val="EndnoteReference"/>
        </w:rPr>
        <w:endnoteRef/>
      </w:r>
      <w:r>
        <w:t xml:space="preserve"> </w:t>
      </w:r>
      <w:r>
        <w:t xml:space="preserve">Winograd Commission Final Report (2008), public sections; Anthony H. Cordesman, Lessons of the 2006 Israeli-Hezbollah War (Washington, DC: CSIS, 2007); Andrew Exum, Hizballah at War: A Military Assessment (Washington Institute for Near East Policy, Policy Focus 63, 2006). See chapter 10, §§10.x.</w:t>
      </w:r>
    </w:p>
  </w:endnote>
  <w:endnote w:id="59">
    <w:p>
      <w:pPr>
        <w:pStyle w:val="EndnoteText"/>
      </w:pPr>
      <w:r>
        <w:rPr>
          <w:rStyle w:val="EndnoteReference"/>
        </w:rPr>
        <w:endnoteRef/>
      </w:r>
      <w:r>
        <w:t xml:space="preserve"> </w:t>
      </w:r>
      <w:r>
        <w:t xml:space="preserve">Cordesman, Lessons of the 2006 Israeli-Hezbollah War; Harel and Issacharoff, 34 Days, chaps. 4–10; Winograd Commission Final Report (2008).</w:t>
      </w:r>
    </w:p>
  </w:endnote>
  <w:endnote w:id="60">
    <w:p>
      <w:pPr>
        <w:pStyle w:val="EndnoteText"/>
      </w:pPr>
      <w:r>
        <w:rPr>
          <w:rStyle w:val="EndnoteReference"/>
        </w:rPr>
        <w:endnoteRef/>
      </w:r>
      <w:r>
        <w:t xml:space="preserve"> </w:t>
      </w:r>
      <w:r>
        <w:t xml:space="preserve">Israel Hayom and Yedioth Ahronoth coverage, August 5–10, 2006; Harel and Issacharoff, 34 Days, chap. 8.</w:t>
      </w:r>
    </w:p>
  </w:endnote>
  <w:endnote w:id="61">
    <w:p>
      <w:pPr>
        <w:pStyle w:val="EndnoteText"/>
      </w:pPr>
      <w:r>
        <w:rPr>
          <w:rStyle w:val="EndnoteReference"/>
        </w:rPr>
        <w:endnoteRef/>
      </w:r>
      <w:r>
        <w:t xml:space="preserve"> </w:t>
      </w:r>
      <w:r>
        <w:t xml:space="preserve">Ansbacher, A Shadow of a Bird.</w:t>
      </w:r>
    </w:p>
  </w:endnote>
  <w:endnote w:id="62">
    <w:p>
      <w:pPr>
        <w:pStyle w:val="EndnoteText"/>
      </w:pPr>
      <w:r>
        <w:rPr>
          <w:rStyle w:val="EndnoteReference"/>
        </w:rPr>
        <w:endnoteRef/>
      </w:r>
      <w:r>
        <w:t xml:space="preserve"> </w:t>
      </w:r>
      <w:r>
        <w:t xml:space="preserve">Cordesman, Lessons of the 2006 Israeli-Hezbollah War.</w:t>
      </w:r>
    </w:p>
  </w:endnote>
  <w:endnote w:id="63">
    <w:p>
      <w:pPr>
        <w:pStyle w:val="EndnoteText"/>
      </w:pPr>
      <w:r>
        <w:rPr>
          <w:rStyle w:val="EndnoteReference"/>
        </w:rPr>
        <w:endnoteRef/>
      </w:r>
      <w:r>
        <w:t xml:space="preserve"> </w:t>
      </w:r>
      <w:r>
        <w:t xml:space="preserve">See §9.13.</w:t>
      </w:r>
    </w:p>
  </w:endnote>
  <w:endnote w:id="64">
    <w:p>
      <w:pPr>
        <w:pStyle w:val="EndnoteText"/>
      </w:pPr>
      <w:r>
        <w:rPr>
          <w:rStyle w:val="EndnoteReference"/>
        </w:rPr>
        <w:endnoteRef/>
      </w:r>
      <w:r>
        <w:t xml:space="preserve"> </w:t>
      </w:r>
      <w:r>
        <w:t xml:space="preserve">Ansbacher, A Shadow of a Bird; Lahav,</w:t>
      </w:r>
      <w:r>
        <w:t xml:space="preserve"> </w:t>
      </w:r>
      <w:r>
        <w:t xml:space="preserve">“</w:t>
      </w:r>
      <w:r>
        <w:t xml:space="preserve">Surgical Unit</w:t>
      </w:r>
      <w:r>
        <w:t xml:space="preserve">”</w:t>
      </w:r>
      <w:r>
        <w:t xml:space="preserve">; the unit’s official commendation and the IDF Southern Command Commander’s citation, August 2006.</w:t>
      </w:r>
    </w:p>
  </w:endnote>
  <w:endnote w:id="66">
    <w:p>
      <w:pPr>
        <w:pStyle w:val="EndnoteText"/>
      </w:pPr>
      <w:r>
        <w:rPr>
          <w:rStyle w:val="EndnoteReference"/>
        </w:rPr>
        <w:endnoteRef/>
      </w:r>
      <w:r>
        <w:t xml:space="preserve"> </w:t>
      </w:r>
      <w:r>
        <w:t xml:space="preserve">Eliyahu Winograd et al., The Commission of Inquiry into the Events of the 2006 Lebanon Campaign: Interim Report (April 2007) and Final Report (January 2008), public sections, Hebrew text and translated English summary published by the Government of Israel.</w:t>
      </w:r>
    </w:p>
  </w:endnote>
  <w:endnote w:id="67">
    <w:p>
      <w:pPr>
        <w:pStyle w:val="EndnoteText"/>
      </w:pPr>
      <w:r>
        <w:rPr>
          <w:rStyle w:val="EndnoteReference"/>
        </w:rPr>
        <w:endnoteRef/>
      </w:r>
      <w:r>
        <w:t xml:space="preserve"> </w:t>
      </w:r>
      <w:r>
        <w:t xml:space="preserve">Avi Kober,</w:t>
      </w:r>
      <w:r>
        <w:t xml:space="preserve"> </w:t>
      </w:r>
      <w:r>
        <w:t xml:space="preserve">“</w:t>
      </w:r>
      <w:r>
        <w:t xml:space="preserve">The Israel Defense Forces in the Second Lebanon War: Why the Poor Performance?,</w:t>
      </w:r>
      <w:r>
        <w:t xml:space="preserve">”</w:t>
      </w:r>
      <w:r>
        <w:t xml:space="preserve"> </w:t>
      </w:r>
      <w:r>
        <w:t xml:space="preserve">Journal of Strategic Studies 31, no. 1 (2008): 3–40; Cohen, Israel and Its Army, chap. 9; Stuart A. Cohen,</w:t>
      </w:r>
      <w:r>
        <w:t xml:space="preserve"> </w:t>
      </w:r>
      <w:r>
        <w:t xml:space="preserve">“</w:t>
      </w:r>
      <w:r>
        <w:t xml:space="preserve">Israel’s Way of War: The Implications of Asymmetric Conflict for the IDF,</w:t>
      </w:r>
      <w:r>
        <w:t xml:space="preserve">”</w:t>
      </w:r>
      <w:r>
        <w:t xml:space="preserve"> </w:t>
      </w:r>
      <w:r>
        <w:t xml:space="preserve">Israel Affairs 11, no. 4 (2005): 730–47.</w:t>
      </w:r>
    </w:p>
  </w:endnote>
  <w:endnote w:id="68">
    <w:p>
      <w:pPr>
        <w:pStyle w:val="EndnoteText"/>
      </w:pPr>
      <w:r>
        <w:rPr>
          <w:rStyle w:val="EndnoteReference"/>
        </w:rPr>
        <w:endnoteRef/>
      </w:r>
      <w:r>
        <w:t xml:space="preserve"> </w:t>
      </w:r>
      <w:r>
        <w:t xml:space="preserve">Gershon HaKohen,</w:t>
      </w:r>
      <w:r>
        <w:t xml:space="preserve"> </w:t>
      </w:r>
      <w:r>
        <w:t xml:space="preserve">“</w:t>
      </w:r>
      <w:r>
        <w:t xml:space="preserve">Stand-Off Fires and the Question of Decisive Victory,</w:t>
      </w:r>
      <w:r>
        <w:t xml:space="preserve">”</w:t>
      </w:r>
      <w:r>
        <w:t xml:space="preserve"> </w:t>
      </w:r>
      <w:r>
        <w:t xml:space="preserve">Maarachot (c. 2003–2004); HaKohen’s subsequent post-war retrospectives in Israeli journalism (Israel Hayom, Yedioth Ahronoth, 2006–2010); Kober,</w:t>
      </w:r>
      <w:r>
        <w:t xml:space="preserve"> </w:t>
      </w:r>
      <w:r>
        <w:t xml:space="preserve">“</w:t>
      </w:r>
      <w:r>
        <w:t xml:space="preserve">The Israel Defense Forces in the Second Lebanon War.</w:t>
      </w:r>
      <w:r>
        <w:t xml:space="preserve">”</w:t>
      </w:r>
    </w:p>
  </w:endnote>
  <w:endnote w:id="69">
    <w:p>
      <w:pPr>
        <w:pStyle w:val="EndnoteText"/>
      </w:pPr>
      <w:r>
        <w:rPr>
          <w:rStyle w:val="EndnoteReference"/>
        </w:rPr>
        <w:endnoteRef/>
      </w:r>
      <w:r>
        <w:t xml:space="preserve"> </w:t>
      </w:r>
      <w:r>
        <w:t xml:space="preserve">Shelah and Limor, Captives of Lebanon, chaps. 3–6; Winograd Commission Final Report (2008), public sections; Cohen, Israel and Its Army, chap. 9.</w:t>
      </w:r>
    </w:p>
  </w:endnote>
  <w:endnote w:id="70">
    <w:p>
      <w:pPr>
        <w:pStyle w:val="EndnoteText"/>
      </w:pPr>
      <w:r>
        <w:rPr>
          <w:rStyle w:val="EndnoteReference"/>
        </w:rPr>
        <w:endnoteRef/>
      </w:r>
      <w:r>
        <w:t xml:space="preserve"> </w:t>
      </w:r>
      <w:r>
        <w:t xml:space="preserve">Winograd Commission Final Report (2008), public sections; Shelah and Limor, Captives of Lebanon, chap. 7; Harel and Issacharoff, 34 Days, chaps. 11–12.</w:t>
      </w:r>
    </w:p>
  </w:endnote>
  <w:endnote w:id="71">
    <w:p>
      <w:pPr>
        <w:pStyle w:val="EndnoteText"/>
      </w:pPr>
      <w:r>
        <w:rPr>
          <w:rStyle w:val="EndnoteReference"/>
        </w:rPr>
        <w:endnoteRef/>
      </w:r>
      <w:r>
        <w:t xml:space="preserve"> </w:t>
      </w:r>
      <w:r>
        <w:t xml:space="preserve">Shelah and Limor, Captives of Lebanon, chap. 8; Harel and Issacharoff, 34 Days, chaps. 12–13; Winograd Commission Final Report (2008).</w:t>
      </w:r>
    </w:p>
  </w:endnote>
  <w:endnote w:id="73">
    <w:p>
      <w:pPr>
        <w:pStyle w:val="EndnoteText"/>
      </w:pPr>
      <w:r>
        <w:rPr>
          <w:rStyle w:val="EndnoteReference"/>
        </w:rPr>
        <w:endnoteRef/>
      </w:r>
      <w:r>
        <w:t xml:space="preserve"> </w:t>
      </w:r>
      <w:r>
        <w:t xml:space="preserve">Kochavi and Ortal,</w:t>
      </w:r>
      <w:r>
        <w:t xml:space="preserve"> </w:t>
      </w:r>
      <w:r>
        <w:t xml:space="preserve">“</w:t>
      </w:r>
      <w:r>
        <w:t xml:space="preserve">Ma’aseh AMAN: Constant Change in a Changing Reality,</w:t>
      </w:r>
      <w:r>
        <w:t xml:space="preserve">”</w:t>
      </w:r>
      <w:r>
        <w:t xml:space="preserve"> </w:t>
      </w:r>
      <w:r>
        <w:t xml:space="preserve">Bein HaKtavim 2 (August 2014), opening section; Harel, The New Face of the IDF.</w:t>
      </w:r>
    </w:p>
  </w:endnote>
  <w:endnote w:id="74">
    <w:p>
      <w:pPr>
        <w:pStyle w:val="EndnoteText"/>
      </w:pPr>
      <w:r>
        <w:rPr>
          <w:rStyle w:val="EndnoteReference"/>
        </w:rPr>
        <w:endnoteRef/>
      </w:r>
      <w:r>
        <w:t xml:space="preserve"> </w:t>
      </w:r>
      <w:r>
        <w:t xml:space="preserve">Aviv Kochavi and Eran Ortal,</w:t>
      </w:r>
      <w:r>
        <w:t xml:space="preserve"> </w:t>
      </w:r>
      <w:r>
        <w:t xml:space="preserve">“</w:t>
      </w:r>
      <w:r>
        <w:t xml:space="preserve">מעשה אמ’ץ: שינוי קבוע במציאות משתנה</w:t>
      </w:r>
      <w:r>
        <w:t xml:space="preserve">”</w:t>
      </w:r>
      <w:r>
        <w:t xml:space="preserve"> </w:t>
      </w:r>
      <w:r>
        <w:t xml:space="preserve">(</w:t>
      </w:r>
      <w:r>
        <w:t xml:space="preserve">“</w:t>
      </w:r>
      <w:r>
        <w:t xml:space="preserve">Ma’aseh AMAN: Constant Change in a Changing Reality</w:t>
      </w:r>
      <w:r>
        <w:t xml:space="preserve">”</w:t>
      </w:r>
      <w:r>
        <w:t xml:space="preserve">), Bein HaKtavim (בין הכתבים), Issue 2:</w:t>
      </w:r>
      <w:r>
        <w:t xml:space="preserve"> </w:t>
      </w:r>
      <w:r>
        <w:t xml:space="preserve">“</w:t>
      </w:r>
      <w:r>
        <w:t xml:space="preserve">Change and Transformation</w:t>
      </w:r>
      <w:r>
        <w:t xml:space="preserve">”</w:t>
      </w:r>
      <w:r>
        <w:t xml:space="preserve"> </w:t>
      </w:r>
      <w:r>
        <w:t xml:space="preserve">(שינוי והשתנות), August 2014, 9–~57.</w:t>
      </w:r>
    </w:p>
  </w:endnote>
  <w:endnote w:id="75">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9–10 (Darwin epigraph) and 11–12 (Kochavi’s</w:t>
      </w:r>
      <w:r>
        <w:t xml:space="preserve"> </w:t>
      </w:r>
      <w:r>
        <w:t xml:space="preserve">“</w:t>
      </w:r>
      <w:r>
        <w:t xml:space="preserve">Day of the Commander</w:t>
      </w:r>
      <w:r>
        <w:t xml:space="preserve">”</w:t>
      </w:r>
      <w:r>
        <w:t xml:space="preserve"> </w:t>
      </w:r>
      <w:r>
        <w:t xml:space="preserve">#1 of May 2011 — quoted passage on</w:t>
      </w:r>
      <w:r>
        <w:t xml:space="preserve"> </w:t>
      </w:r>
      <w:r>
        <w:t xml:space="preserve">“</w:t>
      </w:r>
      <w:r>
        <w:t xml:space="preserve">an organization built such that its central characteristic will be the ability to change rapidly</w:t>
      </w:r>
      <w:r>
        <w:t xml:space="preserve">”</w:t>
      </w:r>
      <w:r>
        <w:t xml:space="preserve">).</w:t>
      </w:r>
    </w:p>
  </w:endnote>
  <w:endnote w:id="76">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14–18.</w:t>
      </w:r>
    </w:p>
  </w:endnote>
  <w:endnote w:id="77">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18–21; the article’s footnote 4 on 18.</w:t>
      </w:r>
    </w:p>
  </w:endnote>
  <w:endnote w:id="78">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22–25; the article’s discussion of Mar”I (the new AMAN information systems department) on 28–30.</w:t>
      </w:r>
    </w:p>
  </w:endnote>
  <w:endnote w:id="79">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22–25 and 28–30; Kochavi and Ortal,</w:t>
      </w:r>
      <w:r>
        <w:t xml:space="preserve"> </w:t>
      </w:r>
      <w:r>
        <w:t xml:space="preserve">“</w:t>
      </w:r>
      <w:r>
        <w:t xml:space="preserve">Ma’aseh AMAN,</w:t>
      </w:r>
      <w:r>
        <w:t xml:space="preserve">”</w:t>
      </w:r>
      <w:r>
        <w:t xml:space="preserve"> </w:t>
      </w:r>
      <w:r>
        <w:t xml:space="preserve">25–27. See §9.12.</w:t>
      </w:r>
    </w:p>
  </w:endnote>
  <w:endnote w:id="80">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Part B, especially 40–45; the genealogical-method passage and the</w:t>
      </w:r>
      <w:r>
        <w:t xml:space="preserve"> </w:t>
      </w:r>
      <w:r>
        <w:t xml:space="preserve">“</w:t>
      </w:r>
      <w:r>
        <w:t xml:space="preserve">yesterday’s solutions</w:t>
      </w:r>
      <w:r>
        <w:t xml:space="preserve">”</w:t>
      </w:r>
      <w:r>
        <w:t xml:space="preserve"> </w:t>
      </w:r>
      <w:r>
        <w:t xml:space="preserve">aphorism appear on 41–42, with a four-step methodological diagram on 42; 45–47.</w:t>
      </w:r>
    </w:p>
  </w:endnote>
  <w:endnote w:id="81">
    <w:p>
      <w:pPr>
        <w:pStyle w:val="EndnoteText"/>
      </w:pPr>
      <w:r>
        <w:rPr>
          <w:rStyle w:val="EndnoteReference"/>
        </w:rPr>
        <w:endnoteRef/>
      </w:r>
      <w:r>
        <w:t xml:space="preserve"> </w:t>
      </w:r>
      <w:r>
        <w:t xml:space="preserve">Kochavi and Ortal,</w:t>
      </w:r>
      <w:r>
        <w:t xml:space="preserve"> </w:t>
      </w:r>
      <w:r>
        <w:t xml:space="preserve">“</w:t>
      </w:r>
      <w:r>
        <w:t xml:space="preserve">Ma’aseh AMAN,</w:t>
      </w:r>
      <w:r>
        <w:t xml:space="preserve">”</w:t>
      </w:r>
      <w:r>
        <w:t xml:space="preserve"> </w:t>
      </w:r>
      <w:r>
        <w:t xml:space="preserve">22 (the article’s brief reference to the operation’s intelligence performance); IDF Spokesperson after-action report on Pillar of Cloud, 2013; Avi Kober,</w:t>
      </w:r>
      <w:r>
        <w:t xml:space="preserve"> </w:t>
      </w:r>
      <w:r>
        <w:t xml:space="preserve">“</w:t>
      </w:r>
      <w:r>
        <w:t xml:space="preserve">The Three-Block War or the Three-Block Mess: Israeli Military Doctrine in the Second Lebanon War and the Gaza Disengagement,</w:t>
      </w:r>
      <w:r>
        <w:t xml:space="preserve">”</w:t>
      </w:r>
      <w:r>
        <w:t xml:space="preserve"> </w:t>
      </w:r>
      <w:r>
        <w:t xml:space="preserve">in Israeli Military Operations Against Hamas, ed. Stuart A. Cohen (London: Routledge, 2015).</w:t>
      </w:r>
    </w:p>
  </w:endnote>
  <w:endnote w:id="83">
    <w:p>
      <w:pPr>
        <w:pStyle w:val="EndnoteText"/>
      </w:pPr>
      <w:r>
        <w:rPr>
          <w:rStyle w:val="EndnoteReference"/>
        </w:rPr>
        <w:endnoteRef/>
      </w:r>
      <w:r>
        <w:t xml:space="preserve"> </w:t>
      </w:r>
      <w:r>
        <w:t xml:space="preserve">[TK — citation to be supplied]</w:t>
      </w:r>
    </w:p>
  </w:endnote>
  <w:endnote w:id="84">
    <w:p>
      <w:pPr>
        <w:pStyle w:val="EndnoteText"/>
      </w:pPr>
      <w:r>
        <w:rPr>
          <w:rStyle w:val="EndnoteReference"/>
        </w:rPr>
        <w:endnoteRef/>
      </w:r>
      <w:r>
        <w:t xml:space="preserve"> </w:t>
      </w:r>
      <w:r>
        <w:t xml:space="preserve">Elbit Systems product documentation; Kochavi-Ortal,</w:t>
      </w:r>
      <w:r>
        <w:t xml:space="preserve"> </w:t>
      </w:r>
      <w:r>
        <w:t xml:space="preserve">“</w:t>
      </w:r>
      <w:r>
        <w:t xml:space="preserve">Ma’aseh AMAN,</w:t>
      </w:r>
      <w:r>
        <w:t xml:space="preserve">”</w:t>
      </w:r>
      <w:r>
        <w:t xml:space="preserve"> </w:t>
      </w:r>
      <w:r>
        <w:t xml:space="preserve">22–25. See §9.10.</w:t>
      </w:r>
    </w:p>
  </w:endnote>
  <w:endnote w:id="85">
    <w:p>
      <w:pPr>
        <w:pStyle w:val="EndnoteText"/>
      </w:pPr>
      <w:r>
        <w:rPr>
          <w:rStyle w:val="EndnoteReference"/>
        </w:rPr>
        <w:endnoteRef/>
      </w:r>
      <w:r>
        <w:t xml:space="preserve"> </w:t>
      </w:r>
      <w:r>
        <w:t xml:space="preserve">Anthony H. Cordesman, Artillery in the Twenty-First Century (Washington, DC: CSIS, 2015).</w:t>
      </w:r>
    </w:p>
  </w:endnote>
  <w:endnote w:id="86">
    <w:p>
      <w:pPr>
        <w:pStyle w:val="EndnoteText"/>
      </w:pPr>
      <w:r>
        <w:rPr>
          <w:rStyle w:val="EndnoteReference"/>
        </w:rPr>
        <w:endnoteRef/>
      </w:r>
      <w:r>
        <w:t xml:space="preserve"> </w:t>
      </w:r>
      <w:r>
        <w:t xml:space="preserve">IDF Spokesperson after-action report, 2013. See chapter 7, §§7.9–7.12; §9.10.</w:t>
      </w:r>
    </w:p>
  </w:endnote>
  <w:endnote w:id="87">
    <w:p>
      <w:pPr>
        <w:pStyle w:val="EndnoteText"/>
      </w:pPr>
      <w:r>
        <w:rPr>
          <w:rStyle w:val="EndnoteReference"/>
        </w:rPr>
        <w:endnoteRef/>
      </w:r>
      <w:r>
        <w:t xml:space="preserve"> </w:t>
      </w:r>
      <w:r>
        <w:t xml:space="preserve">IDF Spokesperson release, August 2014; Stuart A. Cohen, ed., Israeli Military Operations Against Hamas (London: Routledge, 2015).</w:t>
      </w:r>
    </w:p>
  </w:endnote>
  <w:endnote w:id="88">
    <w:p>
      <w:pPr>
        <w:pStyle w:val="EndnoteText"/>
      </w:pPr>
      <w:r>
        <w:rPr>
          <w:rStyle w:val="EndnoteReference"/>
        </w:rPr>
        <w:endnoteRef/>
      </w:r>
      <w:r>
        <w:t xml:space="preserve"> </w:t>
      </w:r>
      <w:r>
        <w:t xml:space="preserve">Orna Sasson-Levy, Identities in Uniform: Masculinities and Femininities in the Israeli Army, Hebrew ed. (Jerusalem: Magnes Press, 2006). See chapter 10, §§10.x.</w:t>
      </w:r>
    </w:p>
  </w:endnote>
  <w:endnote w:id="89">
    <w:p>
      <w:pPr>
        <w:pStyle w:val="EndnoteText"/>
      </w:pPr>
      <w:r>
        <w:rPr>
          <w:rStyle w:val="EndnoteReference"/>
        </w:rPr>
        <w:endnoteRef/>
      </w:r>
      <w:r>
        <w:t xml:space="preserve"> </w:t>
      </w:r>
      <w:r>
        <w:t xml:space="preserve">See §9.13.</w:t>
      </w:r>
    </w:p>
  </w:endnote>
  <w:endnote w:id="91">
    <w:p>
      <w:pPr>
        <w:pStyle w:val="EndnoteText"/>
      </w:pPr>
      <w:r>
        <w:rPr>
          <w:rStyle w:val="EndnoteReference"/>
        </w:rPr>
        <w:endnoteRef/>
      </w:r>
      <w:r>
        <w:t xml:space="preserve"> </w:t>
      </w:r>
      <w:r>
        <w:t xml:space="preserve">Amos Harel,</w:t>
      </w:r>
      <w:r>
        <w:t xml:space="preserve"> </w:t>
      </w:r>
      <w:r>
        <w:t xml:space="preserve">“</w:t>
      </w:r>
      <w:r>
        <w:t xml:space="preserve">The Gideon Plan: Eisenkot’s Vision for the IDF,</w:t>
      </w:r>
      <w:r>
        <w:t xml:space="preserve">”</w:t>
      </w:r>
      <w:r>
        <w:t xml:space="preserve"> </w:t>
      </w:r>
      <w:r>
        <w:t xml:space="preserve">Haaretz, December 2015; Ben Caspit,</w:t>
      </w:r>
      <w:r>
        <w:t xml:space="preserve"> </w:t>
      </w:r>
      <w:r>
        <w:t xml:space="preserve">“</w:t>
      </w:r>
      <w:r>
        <w:t xml:space="preserve">Eisenkot’s Commando,</w:t>
      </w:r>
      <w:r>
        <w:t xml:space="preserve">”</w:t>
      </w:r>
      <w:r>
        <w:t xml:space="preserve"> </w:t>
      </w:r>
      <w:r>
        <w:t xml:space="preserve">Al-Monitor, July 8, 2015.</w:t>
      </w:r>
    </w:p>
  </w:endnote>
  <w:endnote w:id="92">
    <w:p>
      <w:pPr>
        <w:pStyle w:val="EndnoteText"/>
      </w:pPr>
      <w:r>
        <w:rPr>
          <w:rStyle w:val="EndnoteReference"/>
        </w:rPr>
        <w:endnoteRef/>
      </w:r>
      <w:r>
        <w:t xml:space="preserve"> </w:t>
      </w:r>
      <w:r>
        <w:t xml:space="preserve">See chapter 6, §6.2½; chapter 7, §§7.10–7.13; chapter 8, §§8.x.</w:t>
      </w:r>
    </w:p>
  </w:endnote>
  <w:endnote w:id="93">
    <w:p>
      <w:pPr>
        <w:pStyle w:val="EndnoteText"/>
      </w:pPr>
      <w:r>
        <w:rPr>
          <w:rStyle w:val="EndnoteReference"/>
        </w:rPr>
        <w:endnoteRef/>
      </w:r>
      <w:r>
        <w:t xml:space="preserve"> </w:t>
      </w:r>
      <w:r>
        <w:t xml:space="preserve">Gal Perl Finkel,</w:t>
      </w:r>
      <w:r>
        <w:t xml:space="preserve"> </w:t>
      </w:r>
      <w:r>
        <w:t xml:space="preserve">“</w:t>
      </w:r>
      <w:r>
        <w:t xml:space="preserve">The Challenge of Consolidation,</w:t>
      </w:r>
      <w:r>
        <w:t xml:space="preserve">”</w:t>
      </w:r>
      <w:r>
        <w:t xml:space="preserve"> </w:t>
      </w:r>
      <w:r>
        <w:t xml:space="preserve">Al HaKavanat (Walla blog), 2015; Yair Ansbacher’s writings on the consolidation challenges, 2015.</w:t>
      </w:r>
    </w:p>
  </w:endnote>
  <w:endnote w:id="94">
    <w:p>
      <w:pPr>
        <w:pStyle w:val="EndnoteText"/>
      </w:pPr>
      <w:r>
        <w:rPr>
          <w:rStyle w:val="EndnoteReference"/>
        </w:rPr>
        <w:endnoteRef/>
      </w:r>
      <w:r>
        <w:t xml:space="preserve"> </w:t>
      </w:r>
      <w:r>
        <w:t xml:space="preserve">See chapter 7, §7.12.</w:t>
      </w:r>
    </w:p>
  </w:endnote>
  <w:endnote w:id="96">
    <w:p>
      <w:pPr>
        <w:pStyle w:val="EndnoteText"/>
      </w:pPr>
      <w:r>
        <w:rPr>
          <w:rStyle w:val="EndnoteReference"/>
        </w:rPr>
        <w:endnoteRef/>
      </w:r>
      <w:r>
        <w:t xml:space="preserve"> </w:t>
      </w:r>
      <w:r>
        <w:t xml:space="preserve">Yaakov Lappin, The Israeli-Iranian Confrontation: A Mapping of the Frontline (Jerusalem Institute for Strategy and Security, 2021); Yossi Melman,</w:t>
      </w:r>
      <w:r>
        <w:t xml:space="preserve"> </w:t>
      </w:r>
      <w:r>
        <w:t xml:space="preserve">“</w:t>
      </w:r>
      <w:r>
        <w:t xml:space="preserve">The War Between Wars: Israel’s Strategy Against Iran in Syria,</w:t>
      </w:r>
      <w:r>
        <w:t xml:space="preserve">”</w:t>
      </w:r>
      <w:r>
        <w:t xml:space="preserve"> </w:t>
      </w:r>
      <w:r>
        <w:t xml:space="preserve">The Jerusalem Post, 2018; Amos Harel,</w:t>
      </w:r>
      <w:r>
        <w:t xml:space="preserve"> </w:t>
      </w:r>
      <w:r>
        <w:t xml:space="preserve">“</w:t>
      </w:r>
      <w:r>
        <w:t xml:space="preserve">The Decade of the War Between Wars,</w:t>
      </w:r>
      <w:r>
        <w:t xml:space="preserve">”</w:t>
      </w:r>
      <w:r>
        <w:t xml:space="preserve"> </w:t>
      </w:r>
      <w:r>
        <w:t xml:space="preserve">Haaretz, December 2019.</w:t>
      </w:r>
    </w:p>
  </w:endnote>
  <w:endnote w:id="97">
    <w:p>
      <w:pPr>
        <w:pStyle w:val="EndnoteText"/>
      </w:pPr>
      <w:r>
        <w:rPr>
          <w:rStyle w:val="EndnoteReference"/>
        </w:rPr>
        <w:endnoteRef/>
      </w:r>
      <w:r>
        <w:t xml:space="preserve"> </w:t>
      </w:r>
      <w:r>
        <w:t xml:space="preserve">IDF Spokesperson casualty announcement, February 2018; obituary for Lieutenant Colonel Mahmoud Khir al-Din in Bamahane, February 18, 2018; Ronen Bergman,</w:t>
      </w:r>
      <w:r>
        <w:t xml:space="preserve"> </w:t>
      </w:r>
      <w:r>
        <w:t xml:space="preserve">“</w:t>
      </w:r>
      <w:r>
        <w:t xml:space="preserve">The Khan Yunis Operation,</w:t>
      </w:r>
      <w:r>
        <w:t xml:space="preserve">”</w:t>
      </w:r>
      <w:r>
        <w:t xml:space="preserve"> </w:t>
      </w:r>
      <w:r>
        <w:t xml:space="preserve">Yedioth Ahronoth, March 2018.</w:t>
      </w:r>
    </w:p>
  </w:endnote>
  <w:endnote w:id="98">
    <w:p>
      <w:pPr>
        <w:pStyle w:val="EndnoteText"/>
      </w:pPr>
      <w:r>
        <w:rPr>
          <w:rStyle w:val="EndnoteReference"/>
        </w:rPr>
        <w:endnoteRef/>
      </w:r>
      <w:r>
        <w:t xml:space="preserve"> </w:t>
      </w:r>
      <w:r>
        <w:t xml:space="preserve">IDF Spokesperson operational announcements, December 4, 2018 – January 13, 2019; Amos Harel,</w:t>
      </w:r>
      <w:r>
        <w:t xml:space="preserve"> </w:t>
      </w:r>
      <w:r>
        <w:t xml:space="preserve">“</w:t>
      </w:r>
      <w:r>
        <w:t xml:space="preserve">The Tunnels of the North,</w:t>
      </w:r>
      <w:r>
        <w:t xml:space="preserve">”</w:t>
      </w:r>
      <w:r>
        <w:t xml:space="preserve"> </w:t>
      </w:r>
      <w:r>
        <w:t xml:space="preserve">Haaretz, January 14, 2019; Brigadier General (res.) Itai Brun, The Underground War: Hamas, Hezbollah, and the New Israeli Counter-Tunnel Doctrine (INSS Strategic Assessment, 2019).</w:t>
      </w:r>
    </w:p>
  </w:endnote>
  <w:endnote w:id="99">
    <w:p>
      <w:pPr>
        <w:pStyle w:val="EndnoteText"/>
      </w:pPr>
      <w:r>
        <w:rPr>
          <w:rStyle w:val="EndnoteReference"/>
        </w:rPr>
        <w:endnoteRef/>
      </w:r>
      <w:r>
        <w:t xml:space="preserve"> </w:t>
      </w:r>
      <w:r>
        <w:t xml:space="preserve">IDF Spokesperson announcement, December 2021; Yossi Melman,</w:t>
      </w:r>
      <w:r>
        <w:t xml:space="preserve"> </w:t>
      </w:r>
      <w:r>
        <w:t xml:space="preserve">“</w:t>
      </w:r>
      <w:r>
        <w:t xml:space="preserve">Yamam Elevated: The Institutional Logic,</w:t>
      </w:r>
      <w:r>
        <w:t xml:space="preserve">”</w:t>
      </w:r>
      <w:r>
        <w:t xml:space="preserve"> </w:t>
      </w:r>
      <w:r>
        <w:t xml:space="preserve">Haaretz, December 2021.</w:t>
      </w:r>
    </w:p>
  </w:endnote>
  <w:endnote w:id="100">
    <w:p>
      <w:pPr>
        <w:pStyle w:val="EndnoteText"/>
      </w:pPr>
      <w:r>
        <w:rPr>
          <w:rStyle w:val="EndnoteReference"/>
        </w:rPr>
        <w:endnoteRef/>
      </w:r>
      <w:r>
        <w:t xml:space="preserve"> </w:t>
      </w:r>
      <w:r>
        <w:t xml:space="preserve">IDF Spokesperson, COGS transition announcement, January 17, 2023; Amos Harel,</w:t>
      </w:r>
      <w:r>
        <w:t xml:space="preserve"> </w:t>
      </w:r>
      <w:r>
        <w:t xml:space="preserve">“</w:t>
      </w:r>
      <w:r>
        <w:t xml:space="preserve">Kochavi’s IDF,</w:t>
      </w:r>
      <w:r>
        <w:t xml:space="preserve">”</w:t>
      </w:r>
      <w:r>
        <w:t xml:space="preserve"> </w:t>
      </w:r>
      <w:r>
        <w:t xml:space="preserve">Haaretz, January 2023. See chapter 10, §§10.x.</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2026-08-10T01:56:50Z</dcterms:created>
  <dcterms:modified xsi:type="dcterms:W3CDTF">2026-08-10T01:56:50Z</dcterms:modified>
</cp:coreProperties>
</file>

<file path=docProps/custom.xml><?xml version="1.0" encoding="utf-8"?>
<Properties xmlns="http://schemas.openxmlformats.org/officeDocument/2006/custom-properties" xmlns:vt="http://schemas.openxmlformats.org/officeDocument/2006/docPropsVTypes"/>
</file>