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chapter-10-the-capacity-tested"/>
    <w:p>
      <w:pPr>
        <w:pStyle w:val="Heading1"/>
      </w:pPr>
      <w:r>
        <w:t xml:space="preserve">Chapter 10 — The Capacity Tested</w:t>
      </w:r>
    </w:p>
    <w:p>
      <w:pPr>
        <w:pStyle w:val="FirstParagraph"/>
      </w:pPr>
      <w:r>
        <w:rPr>
          <w:iCs/>
          <w:i/>
        </w:rPr>
        <w:t xml:space="preserve">October 7, 2023, and the Seven-Theater War</w:t>
      </w:r>
    </w:p>
    <w:bookmarkStart w:id="22" w:name="erev-sukkot-october-6-2023"/>
    <w:p>
      <w:pPr>
        <w:pStyle w:val="Heading2"/>
      </w:pPr>
      <w:r>
        <w:t xml:space="preserve">10.1 Erev Sukkot, October 6, 2023</w:t>
      </w:r>
    </w:p>
    <w:p>
      <w:pPr>
        <w:pStyle w:val="FirstParagraph"/>
      </w:pPr>
      <w:r>
        <w:t xml:space="preserve">By the evening of October 6, 2023, the institutional architecture this book has traced — from Yitzhak Sadeh’s FOSH companies in the orange groves of the Sharon in the summer of 1936, through Avraham Arnan’s Sayeret Matkal founding in the late summer of 1957, through Muki Betser’s improvised Shaldag in the early summer of 1974, through the Lebanon decade and the First and Second Intifadas and the Second Lebanon War and Aviv Kochavi’s Ma’aseh AMAN reform and Gadi Eisenkot’s Commando Brigade consolidation and the Mab”m operational tempo of the post-Eisenkot–Kochavi decade — had reached the most mature form Israel had ever fielded. The three Premier units operated under their parent services, as they had since Betser had won the institutional argument with the Chief of the General Staff Moshe Levy in 1983. The four mid-tier units of the Commando Brigade — Maglan, Duvdevan, Egoz, and Rimon — operated as Eisenkot had consolidated them in 2015. Unit 669 stood on its standard search-and-rescue rotation. Yamam, designated as the State of Israel’s national counterterrorism unit in December 2021 by Defense Minister Benny Gantz, with Prime Minister Naftali Bennett’s authorization, had completed its institutional elevation to the de jure status that operational reality had assigned it for the better part of a decade. The Lochamam doctrine was the operating intelligence doctrine of the IDF. The Networked AMAN infrastructure was integrated into the maneuver brigades’ command-and-control systems. The Cyber Force that Eisenkot had separated out in 2015 had matured into a capability whose specific operations remained classified. Rochev Shamayim was on its standard deployment cycle, with Skylark 1 LE Block 2.0 platforms ready at battalion-level deployments across multiple theaters. The cumulative product of seven decades of institutional entrepreneurship was a roster of approximately fifteen distinct SOF capabilities, operating under a single organizational ceiling, with an integrated doctrinal vocabulary that the Kochavi–Ortal article had codified, and with a Depth Command — Mifkedet HaOmek — that had been operational since 2013 to coordinate the deep-cross-border operations that the Premier Three executed.</w:t>
      </w:r>
      <w:r>
        <w:rPr>
          <w:rStyle w:val="EndnoteReference"/>
        </w:rPr>
        <w:endnoteReference w:id="20"/>
      </w:r>
    </w:p>
    <w:p>
      <w:pPr>
        <w:pStyle w:val="BodyText"/>
      </w:pPr>
      <w:r>
        <w:t xml:space="preserve">It is worth pausing on the date. October 6, 2023, was the eve of Sukkot — the seven-day Festival of Tabernacles, the holiday on which observant Jewish Israeli families construct the temporary outdoor shelters that give the festival its name and eat their meals inside them for the holiday’s duration. The IDF’s senior officer corps and most of the political leadership had scattered to their homes for the holiday. The Chief of the General Staff, Lieutenant General Herzi Halevi, who had taken the position from Aviv Kochavi nine months and seventeen days earlier, was at home. The Director of the AMAN, Major General Aharon Haliva, was at home. The Defense Minister, Yoav Gallant, was at home. The Prime Minister, Benjamin Netanyahu, was at home. So were most of the Israeli General Staff’s senior officers, the operational planners who had been the doctrinal architects of the post-Eisenkot–Kochavi reform decade, and the senior operators of the Sayeret Matkal Mistarvim subunit, Shaldag’s deep-strike teams, and Shayetet 13’s maritime intelligence cell. The Premier SOF community’s holiday standard rotation was — as it had been for decades — a thinned readiness footprint built on the assumption that the period between the High Holidays and Sukkot was an institutionally low-risk window. The intelligence assessment, repeated through the summer and into the early days of the autumn 2023 holiday season, had been that the period was likely to remain quiet. October 7 was the fiftieth anniversary, almost to the hour, of the Egyptian and Syrian surprise attack of October 6, 1973 — the historical rhyme that the Israeli senior officer corps had explicitly considered and explicitly dismissed.</w:t>
      </w:r>
      <w:r>
        <w:rPr>
          <w:rStyle w:val="EndnoteReference"/>
        </w:rPr>
        <w:endnoteReference w:id="21"/>
      </w:r>
    </w:p>
    <w:p>
      <w:pPr>
        <w:pStyle w:val="BodyText"/>
      </w:pPr>
      <w:r>
        <w:t xml:space="preserve">The morning of October 7, 2023, would test, in the most direct possible terms, every institutional product of the post-Lebanon-II reform agenda this chapter and its three predecessors have been describing.</w:t>
      </w:r>
    </w:p>
    <w:p>
      <w:pPr>
        <w:pStyle w:val="BodyText"/>
      </w:pPr>
      <w:r>
        <w:t xml:space="preserve">It would also, almost immediately, expose the limit case the reform agenda had foreclosed from its own field of vision: the institutional self-confidence of a community small enough that every senior commander could trace his own operational lineage through the same six or seven names, that had become certain its architecture was adequate to whatever future the political-strategic environment was going to produce. The morning of October 7, 2023, would test that certainty in a register no internal review of the previous twenty-three years had imagined.</w:t>
      </w:r>
    </w:p>
    <w:bookmarkEnd w:id="22"/>
    <w:bookmarkStart w:id="27" w:name="the-morning-of-october-7"/>
    <w:p>
      <w:pPr>
        <w:pStyle w:val="Heading2"/>
      </w:pPr>
      <w:r>
        <w:t xml:space="preserve">10.2 The Morning of October 7</w:t>
      </w:r>
    </w:p>
    <w:p>
      <w:pPr>
        <w:pStyle w:val="FirstParagraph"/>
      </w:pPr>
      <w:r>
        <w:t xml:space="preserve">At approximately 6:29 a.m. on October 7, 2023, Hamas launched the opening barrage of rockets — by the IDF’s eventual reconstruction, several thousand rounds in the first hour — from launch sites across the Gaza Strip. Simultaneously, Hamas’s Nukhba commando elements — the elite component of the Izz al-Din al-Qassam Brigades’ military wing, trained for cross-border raiding operations and equipped with drones, paragliders, motorcycles, and small-boat infiltration capabilities — initiated the multi-axis cross-border breach that would, within the next forty-five minutes, place approximately three thousand armed Hamas operators inside the Western Negev across forty-two distinct breach points along the Gaza envelope barrier. The Hamas after-action reconstruction would describe the operation as years in the planning. The Israeli reconstruction, in its initial telling and in the more detailed institutional inquiries that followed in the months and years to come, would describe a cascading institutional failure whose specific architecture this chapter cannot reconstruct in full but whose general outlines are now matters of public record.</w:t>
      </w:r>
      <w:r>
        <w:rPr>
          <w:rStyle w:val="EndnoteReference"/>
        </w:rPr>
        <w:endnoteReference w:id="23"/>
      </w:r>
    </w:p>
    <w:p>
      <w:pPr>
        <w:pStyle w:val="BodyText"/>
      </w:pPr>
      <w:r>
        <w:t xml:space="preserve">The Ynet news organization’s investigative reconstruction of the failure chain, published in the days after October 7, describes a sequence of technical and institutional decisions made over the years preceding the attack that, taken together, produced the conditions of the morning’s collapse. The IDF’s</w:t>
      </w:r>
      <w:r>
        <w:t xml:space="preserve"> </w:t>
      </w:r>
      <w:r>
        <w:t xml:space="preserve">“</w:t>
      </w:r>
      <w:r>
        <w:t xml:space="preserve">Smart and Lethal Border</w:t>
      </w:r>
      <w:r>
        <w:t xml:space="preserve">”</w:t>
      </w:r>
      <w:r>
        <w:t xml:space="preserve"> </w:t>
      </w:r>
      <w:r>
        <w:t xml:space="preserve">project, which had reoriented the Gaza envelope’s perimeter defense around a network of armed drones, remote-fire weapons stations, and the Yagua’r autonomous armed ground robot — the institutional shorthand had been bata”sh b’lo hayyalim,</w:t>
      </w:r>
      <w:r>
        <w:t xml:space="preserve"> </w:t>
      </w:r>
      <w:r>
        <w:t xml:space="preserve">“</w:t>
      </w:r>
      <w:r>
        <w:t xml:space="preserve">border security without soldiers</w:t>
      </w:r>
      <w:r>
        <w:t xml:space="preserve">”</w:t>
      </w:r>
      <w:r>
        <w:t xml:space="preserve"> </w:t>
      </w:r>
      <w:r>
        <w:t xml:space="preserve">— proved catastrophically fragile in the face of the Hamas drone-strike opening that struck the cellular antennas, the cameras, and the remote-fire systems within the operation’s first minutes. Of the three intelligence-collection observation balloons — the tzeplin platforms that had provided persistent overhead coverage of the Strip’s northern, central, and southern sectors — all three had fallen, one after the other, in the weeks preceding the attack, without IDF action to restore them. The technical staff had concluded that the cause was equipment malfunction; no one had assessed that Hamas might have engineered the falls. The replacement plan had been deferred to the week after Sukkot.</w:t>
      </w:r>
      <w:r>
        <w:rPr>
          <w:rStyle w:val="EndnoteReference"/>
        </w:rPr>
        <w:endnoteReference w:id="24"/>
      </w:r>
    </w:p>
    <w:p>
      <w:pPr>
        <w:pStyle w:val="BodyText"/>
      </w:pPr>
      <w:r>
        <w:t xml:space="preserve">The institutional architecture of the Gaza envelope’s command-and-control had been a separate vector of vulnerability. The IDF’s Gaza Division headquarters at Re’im, the two regional brigade headquarters of the Division — Katif in the south and Gefen in the north — had been collocated at Re’im in a single integrated command facility. The logic in peacetime had been efficiency. The implication in wartime was that an adversary capable of paralyzing the Re’im base, even briefly, could paralyze the entire command-and-control of the Division and its two subordinate brigades simultaneously. That, on the morning of October 7, was what occurred. The Hamas Nukhba element that targeted Re’im in the opening minutes, equipped with detailed pre-attack intelligence on the base’s layout and the locations of the cable infrastructure, the communication antennas, and the command bunker entry points, successfully isolated the Division command for hours. The Division’s operations bunker — the kham”al, sealed behind steel doors — continued to function. But without intelligence inputs and without communications, it produced no operational picture and no orders. The Division headquarters, in operational terms, ceased to exist for the critical first hours of the morning.</w:t>
      </w:r>
      <w:r>
        <w:rPr>
          <w:rStyle w:val="EndnoteReference"/>
        </w:rPr>
        <w:endnoteReference w:id="25"/>
      </w:r>
    </w:p>
    <w:p>
      <w:pPr>
        <w:pStyle w:val="BodyText"/>
      </w:pPr>
      <w:r>
        <w:t xml:space="preserve">The Hamas force that entered the Western Negev that morning numbered, by the IDF’s eventual reconstruction, approximately three thousand fighters — far in excess of the initial assessment, which had estimated 1,500 to 2,000 — distributed across the forty-two breach points and tasked with multiple, sequenced objectives: the systematic massacre of civilians in the kibbutzim and the moshavim of the envelope; the abduction of hostages — military and civilian, men, women, and children — for transport back into the Strip; and the seizure of IDF outposts, weapons stocks, and intelligence materials. The two days that followed — October 7 and 8 — would produce the Israeli civilian death toll of approximately 1,200, the abduction of 251 hostages, the destruction or severe damage of approximately twenty Israeli communities, and the worst single-day loss of Jewish life since the Holocaust. The IDF and the security services would lose 374 personnel in the first two days alone, with hundreds more wounded.</w:t>
      </w:r>
      <w:r>
        <w:rPr>
          <w:rStyle w:val="EndnoteReference"/>
        </w:rPr>
        <w:endnoteReference w:id="26"/>
      </w:r>
    </w:p>
    <w:p>
      <w:pPr>
        <w:pStyle w:val="BodyText"/>
      </w:pPr>
      <w:r>
        <w:t xml:space="preserve">What is essential to the argument of this chapter is the institutional cost the morning extracted from the SOF community specifically. The community’s roster of approximately fifteen units and subunits, on its standard Sukkot-eve rotation, was not the force that confronted the Hamas Nukhba element on the morning of October 7. The force that confronted Hamas in the first six to twelve hours of the morning was the SOF operators who happened to be in the immediate vicinity of the breaches — many of them off-duty, many of them reservists who had organized themselves through WhatsApp groups in the morning’s first chaotic minutes, many of them driving south in their personal vehicles toward the sound of the rockets. The institutional architecture this book has traced — the doctrine, the equipment, the command-and-control, the inter-unit cooperation patterns — was not, on the morning of October 7, what arrived in the envelope. What arrived was the human residue of seven decades of training: operators who knew what to do because they had done it before, even though no one had assigned them to do it, and who paid for that knowledge with their lives in numbers that the IDF’s institutional memory had not anticipated.</w:t>
      </w:r>
    </w:p>
    <w:bookmarkEnd w:id="27"/>
    <w:bookmarkStart w:id="32" w:name="X99add16aaad02db9ebea97521b973fe5e386976"/>
    <w:p>
      <w:pPr>
        <w:pStyle w:val="Heading2"/>
      </w:pPr>
      <w:r>
        <w:t xml:space="preserve">10.3 The First SOF Arrivals: Yamam, Shaldag, and Sayeret Matkal at the Envelope</w:t>
      </w:r>
    </w:p>
    <w:p>
      <w:pPr>
        <w:pStyle w:val="FirstParagraph"/>
      </w:pPr>
      <w:r>
        <w:t xml:space="preserve">The first SOF unit to arrive at the envelope in organized form on the morning of October 7 was, by every available reconstruction, Yamam — the Border Police’s Yechidat HaMishtara HaMiyuchedet, the unit that had been designated as the State of Israel’s national counterterrorism unit twenty-two months earlier. Yamam’s standing operational architecture — the unit had been designed since the 1990s for rapid-response hostage-rescue and counter-terrorism — placed it on a faster recall posture than any of the IDF SOF units that morning. By approximately 9:00 a.m., elements of Yamam were on the road south from the unit’s bases in central Israel. By approximately 10:00 a.m., the first Yamam teams were operating inside the affected communities — first at Sderot and the immediately adjacent kibbutzim, then progressively across the envelope as the day’s tactical picture clarified. Yamam operators were among the first to enter the houses where Hamas operators had taken Israeli hostages, the first to recover the bodies of the murdered civilians in the shelet’er shelters along the roads, and the first to engage the Nukhba elements that had taken positions inside the kibbutzim. The unit’s operational record for October 7 — the specific reconstruction of which units of Yamam entered which communities at which hours, the named hostage situations Yamam resolved, and the named Nukhba elements Yamam killed — would, in the months that followed, become one of the institutional reference points for what the de jure national CT unit had been designed to do.</w:t>
      </w:r>
      <w:r>
        <w:rPr>
          <w:rStyle w:val="EndnoteReference"/>
        </w:rPr>
        <w:endnoteReference w:id="28"/>
      </w:r>
    </w:p>
    <w:p>
      <w:pPr>
        <w:pStyle w:val="BodyText"/>
      </w:pPr>
      <w:r>
        <w:t xml:space="preserve">Shaldag arrived in the envelope by mid-morning. By the unit’s eventual after-action reconstruction, five Shaldag operators were killed in the first forty-eight hours of the war. The names will be addressed in §10.4, in connection with the Beni Moreno arc; for the present section, the relevant analytical point is that the unit’s loss rate in the first two days — five operators killed against an authorized strength that has never been publicly disclosed but is estimated in the low hundreds — was the highest single-engagement loss rate Shaldag had absorbed in any operation since Betser’s improvised force had been founded in 1974. The Premier-tier Air Force SOF, designed and trained for deep-strike operations against high-value targets in Lebanon, Syria, and beyond, was on October 7 fighting a defensive close-quarters battle for the kibbutzim of the Gaza envelope. The unit’s institutional shock, in the days that followed, would be specific: this was not what the unit had been designed for.</w:t>
      </w:r>
      <w:r>
        <w:rPr>
          <w:rStyle w:val="EndnoteReference"/>
        </w:rPr>
        <w:endnoteReference w:id="29"/>
      </w:r>
    </w:p>
    <w:p>
      <w:pPr>
        <w:pStyle w:val="BodyText"/>
      </w:pPr>
      <w:r>
        <w:t xml:space="preserve">Sayeret Matkal arrived in two distinct vectors. The first was the duty force — the standing operational element that the unit maintains on continuous readiness — which deployed south by late morning under the operational picture as it had developed. The second was the much larger reservist mobilization, which began in the morning’s first hours as Sayeret Matkal alumni — operators who had served their regular service, completed their reservist obligations, in many cases retired from operational reservist service entirely — converged on the unit’s home base, drew weapons and equipment, and self-organized into ad hoc teams. The KAN 11 podcast Real Time (Zman Emet) would later document, in retrospective interviews with operators who participated in the morning’s mobilization, that the unit’s reservist roster — including operators who had not been called up in years and operators who had passed the age at which reservist service is mandatory — was, by the morning’s end, present in numbers that exceeded the unit’s authorized strength. The mobilization was, in its empirical character, the signature event of what political scientist Ofir Dayan would later term the</w:t>
      </w:r>
      <w:r>
        <w:t xml:space="preserve"> </w:t>
      </w:r>
      <w:r>
        <w:t xml:space="preserve">“</w:t>
      </w:r>
      <w:r>
        <w:t xml:space="preserve">Entrepreneurial Response to Crisis</w:t>
      </w:r>
      <w:r>
        <w:t xml:space="preserve">”</w:t>
      </w:r>
      <w:r>
        <w:t xml:space="preserve"> </w:t>
      </w:r>
      <w:r>
        <w:t xml:space="preserve">— the pattern, repeating across multiple Israeli SOF units on October 7, in which the formal recall apparatus was outpaced by the unprompted self-mobilization of the units’ reservist roster.</w:t>
      </w:r>
      <w:r>
        <w:rPr>
          <w:rStyle w:val="EndnoteReference"/>
        </w:rPr>
        <w:endnoteReference w:id="30"/>
      </w:r>
    </w:p>
    <w:p>
      <w:pPr>
        <w:pStyle w:val="BodyText"/>
      </w:pPr>
      <w:r>
        <w:t xml:space="preserve">The pattern repeated across the broader SOF community. Maglan reservists self-organized in numbers exceeding the unit’s authorized roster. Egoz reservists, many of them now in their thirties and forties, returned from their civilian careers in numbers that the unit’s reservist personnel apparatus had not anticipated. Duvdevan operators, including operators in the Red Platoon and the Gray Platoon that Giora Halevy had founded in the late 1990s, mobilized from across Israel and from abroad. Shayetet 13 reservists arrived at the unit’s base at Atlit and were on operational deployment within hours. Unit 669 — the airborne SAR unit whose creation traces back to Betser’s 1973 frustration — was on continuous emergency rotation by 8:00 a.m. The Cyber Force, the Networked AMAN units, and the AMAN Special Operations Division’s Mistarvim Unit all activated their full operational footprints within the first twelve hours. By the end of October 7, the IDF SOF community had mobilized, by every available estimate, between three and four times its standard authorized strength.</w:t>
      </w:r>
      <w:r>
        <w:rPr>
          <w:rStyle w:val="EndnoteReference"/>
        </w:rPr>
        <w:endnoteReference w:id="31"/>
      </w:r>
    </w:p>
    <w:p>
      <w:pPr>
        <w:pStyle w:val="BodyText"/>
      </w:pPr>
      <w:r>
        <w:t xml:space="preserve">This is, in the institutional argument the book has been making, the empirical signature of the entrepreneurial pattern at the moment of its greatest test. The seven decades of training and operational service that the book has traced — Sadeh’s, Arnan’s, Betser’s, Eisenkot’s, Kochavi’s — had produced a community small enough that it functioned as a single extended family and large enough that, at the moment of greatest institutional stress, it could mobilize three to four times its formal strength in twelve hours without an explicit order from any central authority. The pattern was, in the most direct possible sense, what the institutional architecture had been built to produce. It was also — and this is the harder analytical point — the pattern that did not prevent the morning’s catastrophe. The mobilization arrived after the breach had occurred. The institutional reserves the IDF had built and trained and equipped across seven decades arrived to fight a battle the formal force should have been able to prevent. What October 7 tested, in the end, was not whether the SOF community could mobilize — it could, in numbers that exceeded every expectation. What October 7 tested was whether the broader IDF institutional architecture, of which the SOF community was the elite tip, had retained the capacity to provide the conventional ground forces that would have stopped the breach at the wire.</w:t>
      </w:r>
    </w:p>
    <w:bookmarkEnd w:id="32"/>
    <w:bookmarkStart w:id="35" w:name="X7b371fc096a8799335f4d0a0a0fdc00c28f3768"/>
    <w:p>
      <w:pPr>
        <w:pStyle w:val="Heading2"/>
      </w:pPr>
      <w:r>
        <w:t xml:space="preserve">10.4 Beni Moreno at Kibbutz Zikim — The Three-Generation Arc</w:t>
      </w:r>
    </w:p>
    <w:p>
      <w:pPr>
        <w:pStyle w:val="FirstParagraph"/>
      </w:pPr>
      <w:r>
        <w:t xml:space="preserve">Among the SOF and security-service operators killed in the first forty-eight hours of October 7 was Beni Moreno — son of Moshe and Tami Moreno of moshav Talmim in the Western Negev, the nephew of the late Lieutenant Colonel Emanuel Moreno, who had fallen as the last Israeli fatality of the Second Lebanon War on the night of August 19–20, 2006, and the nephew of the operator publicly identified only as</w:t>
      </w:r>
      <w:r>
        <w:t xml:space="preserve"> </w:t>
      </w:r>
      <w:r>
        <w:t xml:space="preserve">“</w:t>
      </w:r>
      <w:r>
        <w:t xml:space="preserve">ד,</w:t>
      </w:r>
      <w:r>
        <w:t xml:space="preserve">”</w:t>
      </w:r>
      <w:r>
        <w:t xml:space="preserve"> </w:t>
      </w:r>
      <w:r>
        <w:t xml:space="preserve">Emanuel’s brother and near-identical likeness, who had been gravely wounded in the Sayeret Matkal Mistarvim raid on Khan Yunis in February 2018 that I described in Chapter 9 §9.13. Beni Moreno was, by Lieutenant Colonel (res.) Giora Halevy’s account in his lectures on Emanuel Moreno’s life, a former Maglan fighter who had transitioned, in the years following his Maglan service, to operational service in the Shin Bet’s tactical operations unit. He was killed at Kibbutz Zikim on the morning of October 7, fighting the Hamas Nukhba element that had breached the kibbutz’s perimeter in the morning’s opening hour.</w:t>
      </w:r>
      <w:r>
        <w:rPr>
          <w:rStyle w:val="EndnoteReference"/>
        </w:rPr>
        <w:endnoteReference w:id="33"/>
      </w:r>
    </w:p>
    <w:p>
      <w:pPr>
        <w:pStyle w:val="BodyText"/>
      </w:pPr>
      <w:r>
        <w:t xml:space="preserve">The Moreno family’s three-generation arc — Emanuel falling in southern Lebanon in 2006, ד nearly dying in the Khan Yunis raid in 2018, Beni falling at Kibbutz Zikim in 2023 — is, as I noted in the Halevy intake material filed in the Chapter 9 working drafts, one of the cleanest narrative anchors available for the human cost of the post-2000 SOF community’s operational tempo. It is also, in the structural argument the book has been making, a vector for a point in a different register: the cumulative institutional product of the seven decades the book has traced is a community small enough that a single family’s losses can span three generations of the post-Lebanon-II reform arc. The Israeli SOF community is small enough that its institutional cost is, simultaneously, the cost of named families.</w:t>
      </w:r>
    </w:p>
    <w:p>
      <w:pPr>
        <w:pStyle w:val="BodyText"/>
      </w:pPr>
      <w:r>
        <w:t xml:space="preserve">Five operators of Shaldag were killed in the first forty-eight hours of the war. The unit’s losses — like the Moreno family’s losses, like the broader SOF community’s losses — were not anomalies in the war’s pattern. They were a representative sample of an institutional cost that, by the war’s end in its formal phases, would include approximately 1,500 Israeli military personnel killed across the seven theaters Iron Swords would eventually open, with the SOF community’s specific casualty count exceeding, in some assessments, the equivalent of two of the community’s mid-tier units. The institutional architecture that this book has traced was, on the morning of October 7 and in the months that followed, not in any sense undermanned. It was, in the most direct possible sense, present in the field, in numbers that exceeded what the seven decades’ worth of institutional planning had anticipated for the moment of greatest stress. What it could not do — what no SOF community in any military tradition is structurally able to do — was substitute for the conventional ground forces whose absence at the wire had produced the morning’s catastrophe. The cost, paid by the named operators whose names this chapter is not in a position to enumerate in full, was the price the community paid for being the institutional element that arrived first when the broader architecture had failed.</w:t>
      </w:r>
      <w:r>
        <w:rPr>
          <w:rStyle w:val="EndnoteReference"/>
        </w:rPr>
        <w:endnoteReference w:id="34"/>
      </w:r>
    </w:p>
    <w:bookmarkEnd w:id="35"/>
    <w:bookmarkStart w:id="38" w:name="Xd2754a23ffc75a7773431cc17bcbce3cc14fbe3"/>
    <w:p>
      <w:pPr>
        <w:pStyle w:val="Heading2"/>
      </w:pPr>
      <w:r>
        <w:t xml:space="preserve">10.5 The 96-Hour Mobilization and the Reservists’ Wave</w:t>
      </w:r>
    </w:p>
    <w:p>
      <w:pPr>
        <w:pStyle w:val="FirstParagraph"/>
      </w:pPr>
      <w:r>
        <w:t xml:space="preserve">By the morning of October 11, four days after the Hamas breach, the IDF had completed what every available reconstruction describes as the largest, fastest, and most operationally complex reservist mobilization in the State of Israel’s history. Approximately 360,000 reservists were called up — a mobilization rate that exceeded, in absolute numbers and as a percentage of the country’s male population in the eligible cohorts, every previous IDF mobilization including the mobilization that preceded the Yom Kippur War in October 1973. The mobilization spanned the country’s full reservist roster: combat units of every type, logistics units, intelligence units, the Air Force’s combat and combat-support squadrons, the Navy, the medical corps, the rabbinical corps, and the SOF community whose mobilization §10.3 described in operational terms.</w:t>
      </w:r>
      <w:r>
        <w:rPr>
          <w:rStyle w:val="EndnoteReference"/>
        </w:rPr>
        <w:endnoteReference w:id="36"/>
      </w:r>
    </w:p>
    <w:p>
      <w:pPr>
        <w:pStyle w:val="BodyText"/>
      </w:pPr>
      <w:r>
        <w:t xml:space="preserve">The empirical character of the mobilization is, by every available account, the second of the two institutional signatures that October 7 produced. The first — the SOF community’s spontaneous self-mobilization in the morning’s first hours, described in §10.3 — was the elite-end signature. The second — the broader Israeli civilian-reservist response to the formal call-up — was the population-end signature. Reservists returned from foreign business trips, from postgraduate study abroad, from family vacations, from settled civilian careers, and from retirement-by-default reservist status that they had no formal obligation to leave. The N12 minute-by-minute reconstruction of the morning’s hours documents reservists at Tel Aviv and Ben-Gurion in civilian clothes by mid-morning, weapons issued from the standing reservist armories by early afternoon, and operational deployment to the southern envelope by late afternoon and the evening hours. The pattern was, in the cultural register the country’s commentary class would later describe, the moment in which Israeli civil society’s social contract with the IDF — the contract that the country’s history of mandatory and reservist service had constructed across seventy-five years — was, for the first time since the Yom Kippur War’s October 1973 reservist mobilization, called upon at the contract’s full design specification.</w:t>
      </w:r>
      <w:r>
        <w:rPr>
          <w:rStyle w:val="EndnoteReference"/>
        </w:rPr>
        <w:endnoteReference w:id="37"/>
      </w:r>
    </w:p>
    <w:p>
      <w:pPr>
        <w:pStyle w:val="BodyText"/>
      </w:pPr>
      <w:r>
        <w:t xml:space="preserve">The political and institutional aftermath of the mobilization is not the present chapter’s primary concern. The Netanyahu government’s relationship to the senior officer corps, the question of whether and when an institutional inquiry into the October 7 failure would be conducted, the question of the war’s strategic objectives and the political division they would generate within Israeli society — these are subjects that the literature on the post-October-7 period will spend the coming decade reconstructing. What is essential to the argument of this chapter is the analytical point that the SOF community’s empirical character — its specific operational performance in the war’s first 96 hours, its specific casualty pattern, its specific reservist mobilization — was a representative sample of the broader Israeli mobilization the country’s social contract had produced. The SOF community arrived first because it was structurally designed to. The broader reservist force arrived in its wake because the country’s institutional history had built it to. The capacity that October 7 tested was, in the end, the cumulative product of every institutional choice the State of Israel had made about how to organize and equip its standing and reserve forces across the seventy-five years that preceded the morning’s breach.</w:t>
      </w:r>
    </w:p>
    <w:p>
      <w:pPr>
        <w:pStyle w:val="BodyText"/>
      </w:pPr>
      <w:r>
        <w:t xml:space="preserve">The war that followed — the seven-theater war that the next sections of this chapter will reconstruct — is what those forces were called upon to fight.</w:t>
      </w:r>
    </w:p>
    <w:bookmarkEnd w:id="38"/>
    <w:bookmarkStart w:id="44" w:name="Xe26f59a2d467443f9e1f55b53b6e7df4a5f20e0"/>
    <w:p>
      <w:pPr>
        <w:pStyle w:val="Heading2"/>
      </w:pPr>
      <w:r>
        <w:t xml:space="preserve">10.6 The Gaza Ground Operations, October–December 2023</w:t>
      </w:r>
    </w:p>
    <w:p>
      <w:pPr>
        <w:pStyle w:val="FirstParagraph"/>
      </w:pPr>
      <w:r>
        <w:t xml:space="preserve">The institutional decision to commit the IDF’s conventional ground forces into the Gaza Strip in division strength was reached, in the operational documentation of the period, across the three weeks that followed the 7 October breach. The decision’s institutional logic was not, as the Israeli political class would frame it in the days that followed, an emergency response to the breach itself. The breach had occurred. The Hamas operators who had crossed the wire had, by the morning of 8 October, either been killed inside the envelope, withdrawn back into the Strip with their hostages, or — in a smaller number of cases — been captured by the IDF and Shin Bet forces operating across the envelope by midday on the seventh. The institutional logic of the ground invasion was strategic rather than tactical. The Israeli political and military leadership concluded, across the three weeks of mobilization and operational planning that followed the breach, that the operational pattern Hamas had executed on 7 October constituted an existential challenge to the State of Israel’s security architecture and that the operational pattern could not be addressed by the standoff air-and-precision-strike campaign the IDF had executed against Gaza across the previous fifteen years. Hamas’s military infrastructure inside the Strip — the network of approximately five hundred kilometers of tunnels the Izz al-Din al-Qassam Brigades had built across the post-2007 institutional period, the command-and-control architecture, the manufacturing facilities, the operational reserves of weapons and personnel — would, on the institutional reading the senior officer corps reached across the three weeks of October 2023, have to be physically destroyed by ground forces operating across the full territorial scope of the Strip itself.</w:t>
      </w:r>
      <w:r>
        <w:rPr>
          <w:rStyle w:val="EndnoteReference"/>
        </w:rPr>
        <w:endnoteReference w:id="39"/>
      </w:r>
    </w:p>
    <w:p>
      <w:pPr>
        <w:pStyle w:val="BodyText"/>
      </w:pPr>
      <w:r>
        <w:t xml:space="preserve">The institutional vehicle the IDF assembled for the ground operation was, by the operational record of the post-October-7 mobilization, the largest combat formation the State of Israel had committed since the October 1973 war. Three divisions of armored and mechanized infantry — the Gaza Division (whose institutional reconstitution across the three weeks I will not reconstruct here), the 36th Armored Division, and the 162nd Armored Division — were committed to the operational opening across the night of 27–28 October 2023. The IAF’s strategic-strike campaign across the preceding three weeks had set the operational conditions: approximately ten thousand precision strikes across the Strip had destroyed Hamas’s identified above-ground infrastructure, had suppressed the rocket-launch capability that had supported the 7 October attack, and had created the operational conditions under which armored division-level operations could be conducted without the operational casualty rate the previous Gaza ground operations of 2008–2009 and 2014 had produced. The SOF community’s institutional role in the opening phase of the ground operation was, in its specific operational architecture, the role the Kochavi reforms of the previous decade had been built to assign it: target identification for the IAF’s continuing strike campaign, deep-reconnaissance against tunnel entrances and Hamas command nodes, direct-action operations against named Hamas operatives whose elimination the Shin Bet’s intelligence apparatus had institutionally prioritized, and — at the operational margins — hostage-rescue contingency planning against the locations where the Israeli intelligence community assessed Hamas was holding the 251 hostages the 7 October attack had produced.</w:t>
      </w:r>
      <w:r>
        <w:rPr>
          <w:rStyle w:val="EndnoteReference"/>
        </w:rPr>
        <w:endnoteReference w:id="40"/>
      </w:r>
    </w:p>
    <w:p>
      <w:pPr>
        <w:pStyle w:val="BodyText"/>
      </w:pPr>
      <w:r>
        <w:t xml:space="preserve">The operational pattern the SOF community executed across the closing months of 2023 was, in my institutional reading of the period, the operational pattern the post-Eisenkot–Kochavi reform decade had built it to execute. Sayeret Matkal teams operated in deep-reconnaissance configuration against Hamas’s tunnel-network nodes inside the Strip, supplying the targeting intelligence the IAF’s continuing strike campaign required. Shaldag teams operated as forward air controllers and target-marking platforms inside the Strip, integrated into the divisional-level ground operations of the 36th and 162nd. The Commando Brigade’s four mid-tier units — Maglan, Duvdevan, Egoz, and Rimon — operated as the operational maneuver element of the divisional-level operations, conducting the close-quarters combat against Hamas operators in the urban environments of Gaza City, Khan Yunis, and Rafah that the conventional infantry brigades the divisions deployed could not conduct as effectively. Shayetet 13 teams operated against the coastal infiltration routes Hamas had used on 7 October and against the maritime infrastructure the Strip’s coastline produced. Unit 669 operated at the operational tempo its standard war-time deployment required, with the unit’s helicopter-borne search-and-rescue teams executing dozens of casualty evacuations across the war’s first weeks. The Yamam, formally subordinated to the Border Police but operationally integrated into the IDF’s Gaza command-and-control across the post-October-7 institutional rearrangement, conducted the urban counter-terrorism operations the IDF’s command structure assessed required Yamam’s specific operational capabilities.</w:t>
      </w:r>
      <w:r>
        <w:rPr>
          <w:rStyle w:val="EndnoteReference"/>
        </w:rPr>
        <w:endnoteReference w:id="41"/>
      </w:r>
    </w:p>
    <w:p>
      <w:pPr>
        <w:pStyle w:val="BodyText"/>
      </w:pPr>
      <w:r>
        <w:t xml:space="preserve">The operational pattern the seven decades of institutional entrepreneurship I have traced across this book had produced was, by the institutional measure of the IDF’s senior officer corps in the closing months of 2023, the operational pattern the post-7 October war’s specific institutional requirements were assessed to require. The SOF community was, by every operational measure I have been able to consult, the institutional element of the IDF that performed the most consistently across the war’s first three months. The casualty rate the community sustained was substantial — the Shaldag five of the first forty-eight hours that the previous section reconstructed; the cumulative SOF casualty count across October, November, and December 2023 that would, by the institutional reckoning of January 2024, approach a hundred operators killed. The institutional cost was severe. The operational return on the cost — measured against the IDF’s strategic objectives of dismantling Hamas’s military infrastructure, recovering the hostages, and preventing the operational pattern of 7 October from recurring — was, by the same institutional measure, the operational return the war’s most aggressive military advocates had projected.</w:t>
      </w:r>
      <w:r>
        <w:rPr>
          <w:rStyle w:val="EndnoteReference"/>
        </w:rPr>
        <w:endnoteReference w:id="42"/>
      </w:r>
    </w:p>
    <w:p>
      <w:pPr>
        <w:pStyle w:val="BodyText"/>
      </w:pPr>
      <w:r>
        <w:t xml:space="preserve">The operational climax of the Gaza phase, in the institutional periodization the post-war historiography of the conflict will eventually settle on, was the killing of Yahya Sinwar on 16 October 2024. Sinwar — the Gaza-born Hamas operative who had been institutionally responsible for the planning and operational execution of the 7 October attack, who had been elected to the Hamas political bureau in 2017 and to the position of Hamas’s chief of the Gaza branch in 2017, who had been elevated to the broader leadership of Hamas across the war’s first year as the previous senior leadership was successively killed by Israeli strikes — was killed by IDF ground forces of the 828th Bislamach Brigade in a small house in the Tel Sultan neighborhood of Rafah on the afternoon of 16 October 2024. The killing was, by the operational record I have been able to consult, not a special-operations operation in the institutional sense the previous chapters of this book have used the term. The Israeli infantry patrol that encountered Sinwar’s small surviving cadre had not been operating on Sinwar-specific intelligence. The patrol identified Sinwar’s body through the post-engagement forensic process by which the IDF conducted its tactical operations across the war’s middle period. The institutional implication — that the operational architecture the seven decades of institutional entrepreneurship had built was not, in the end, the institutional architecture that produced the war’s most consequential single operational outcome — was an institutional implication the SOF community’s senior leadership absorbed across the months that followed in ways that the post-war institutional reckoning will continue to absorb for the decade to come.</w:t>
      </w:r>
      <w:r>
        <w:rPr>
          <w:rStyle w:val="EndnoteReference"/>
        </w:rPr>
        <w:endnoteReference w:id="43"/>
      </w:r>
    </w:p>
    <w:bookmarkEnd w:id="44"/>
    <w:bookmarkStart w:id="50" w:name="X53bed2649165601991de9b97ad2891d9bc3728d"/>
    <w:p>
      <w:pPr>
        <w:pStyle w:val="Heading2"/>
      </w:pPr>
      <w:r>
        <w:t xml:space="preserve">10.7 Operation Arnon and the Hostage Rescue Imperative, June 2024</w:t>
      </w:r>
    </w:p>
    <w:p>
      <w:pPr>
        <w:pStyle w:val="FirstParagraph"/>
      </w:pPr>
      <w:r>
        <w:t xml:space="preserve">The institutional operational pattern that, in my institutional reading of the war’s first year, supplied the clearest operational expression of the SOF community’s distinctive contribution to the war was the hostage-rescue mission. The Israeli political class had committed itself, across the war’s opening weeks, to the dual strategic objective of dismantling Hamas’s military infrastructure and recovering the 251 hostages the 7 October attack had produced. The two objectives, in the operational reality of the war’s middle period, stood in continuous institutional tension. The military operations against Hamas’s infrastructure could not avoid putting the hostages at operational risk — both because Hamas had distributed the hostages across the Strip in a deliberately dispersed pattern that placed them in proximity to the military infrastructure the IDF was attacking, and because the operational tempo of the war’s ground operations produced the conditions under which Hamas operators in the field could, on their own initiative or on orders from the Hamas leadership, kill the hostages they held to prevent their recovery. The political class’s institutional commitment to the hostages required the IDF to find an operational pattern that could recover the hostages without escalating the operational risk the broader military campaign had produced.</w:t>
      </w:r>
      <w:r>
        <w:rPr>
          <w:rStyle w:val="EndnoteReference"/>
        </w:rPr>
        <w:endnoteReference w:id="45"/>
      </w:r>
    </w:p>
    <w:p>
      <w:pPr>
        <w:pStyle w:val="BodyText"/>
      </w:pPr>
      <w:r>
        <w:t xml:space="preserve">The institutional vehicle the IDF developed for the hostage-rescue mission was, in its operational architecture, the institutional product of the integration the Eisenkot–Kochavi reform decade had built. The vehicle’s operational components were: the Shin Bet’s intelligence-collection apparatus, which had — across the war’s first year — built a substantially expanded HUMINT and SIGINT capability against Hamas inside the Strip; the AMAN’s Special Operations Division (the Mab”m), which had — across the same period — built the technical intelligence apparatus that produced the real-time targeting picture the rescue operations required; the Yamam, which had — across the post-2021 institutional elevation to de jure national CT status — built the operational doctrine and the training apparatus for the close-quarters combat that hostage-rescue operations require; and the IDF SOF community, which had — across the war’s first year — supplied the operational manpower for the ground-force component of the rescue operations the Yamam-led architecture required. The institutional vehicle the integration produced was not, in its operational architecture, a single unit. It was an operational system — what the IDF’s institutional vocabulary of the post-Eisenkot–Kochavi period would describe as a manganon, an operational mechanism — that the war’s institutional requirements had constructed.</w:t>
      </w:r>
      <w:r>
        <w:rPr>
          <w:rStyle w:val="EndnoteReference"/>
        </w:rPr>
        <w:endnoteReference w:id="46"/>
      </w:r>
    </w:p>
    <w:p>
      <w:pPr>
        <w:pStyle w:val="BodyText"/>
      </w:pPr>
      <w:r>
        <w:t xml:space="preserve">The institutional vehicle’s principal operational success was Operation Arnon of 8 June 2024. The operation was conducted, in the operational architecture the post-October-7 institutional integration had produced, against the Hamas-controlled apartment buildings in the Nuseirat refugee camp in central Gaza where the Shin Bet’s intelligence apparatus had located four of the hostages: Noa Argamani, a 26-year-old Israeli woman who had been abducted from the Nova music festival on the morning of 7 October; Almog Meir Jan, a 21-year-old Israeli man also abducted from the Nova festival; Andrey Kozlov, a 27-year-old Russian-Israeli man abducted from the festival; and Shlomi Ziv, a 40-year-old Israeli man abducted from the festival. The four hostages had been held in two separate apartments in two adjacent buildings in Nuseirat — a distinction that the operational planning had identified across the weeks of intelligence collection that preceded the operation and that required the operation to assault the two buildings simultaneously to prevent the operators holding the hostages in one building from killing them on hearing the assault on the other. The operational force consisted of a Yamam assault element, a Shin Bet element under the operational command of Inspector Arnon Zamora — the Yamam operations officer whose institutional career the unit’s post-2021 institutional elevation had organized around hostage-rescue operations — and an IDF SOF supporting element drawn from Shaldag and Sayeret Matkal that provided perimeter security and operational coordination with the broader IDF maneuver force in the surrounding Nuseirat sector.</w:t>
      </w:r>
      <w:r>
        <w:rPr>
          <w:rStyle w:val="EndnoteReference"/>
        </w:rPr>
        <w:endnoteReference w:id="47"/>
      </w:r>
    </w:p>
    <w:p>
      <w:pPr>
        <w:pStyle w:val="BodyText"/>
      </w:pPr>
      <w:r>
        <w:t xml:space="preserve">The operational sequence began at approximately 11:00 a.m. on Saturday, 8 June 2024 — a deliberate choice on the part of the operational planners to insert the assault under cover of broad daylight, in the institutional logic that a daylight assault would catch the Hamas operators holding the hostages at the operational moment they were least expecting an assault, in contrast to the night-time operational pattern the Yamam and the broader SOF community had institutionally favored. The two assault teams entered the two apartment buildings simultaneously. The Hamas operators holding the hostages opened fire from within the apartments. Inspector Zamora, leading the assault into the building where Noa Argamani was held, was shot in the entry and was evacuated to the IDF field hospital where he died of his wounds approximately four hours later. The four hostages were recovered alive. The Hamas operators holding them were killed. The broader IDF maneuver force in the surrounding Nuseirat sector engaged the Hamas operators who responded to the engagement from the surrounding buildings; the operational engagement extended across approximately three hours and produced — by the Palestinian Ministry of Health’s contested but institutionally cited count — approximately 274 Palestinian dead, including a substantial number of civilians who had taken shelter in the surrounding buildings, and approximately 700 wounded. The Israeli casualty count was Inspector Zamora alone. The operation was named, in the institutional vocabulary the IDF Spokesperson and the Yamam command settled on across the days that followed, after the fallen operations officer: Mivtza Arnon. Operation Arnon.</w:t>
      </w:r>
      <w:r>
        <w:rPr>
          <w:rStyle w:val="EndnoteReference"/>
        </w:rPr>
        <w:endnoteReference w:id="48"/>
      </w:r>
    </w:p>
    <w:p>
      <w:pPr>
        <w:pStyle w:val="BodyText"/>
      </w:pPr>
      <w:r>
        <w:t xml:space="preserve">The institutional reception of Operation Arnon in Israel was substantial. The four recovered hostages — and especially Noa Argamani, whose 7 October abduction had been captured on video by Hamas’s own operational documentation and had become, across the war’s first eight months, one of the iconic visual images of the war — supplied the operational counterpoint the Israeli political class had been waiting for since the early weeks of the war. The Yamam, which had been the de jure national CT unit since December 2021 but whose operational profile had been institutionally subordinated through the war’s first eight months to the SOF community’s broader institutional role, emerged from Arnon as the institutional face of the hostage-rescue capability the country had built and the country’s social contract with its security apparatus had demanded. Inspector Zamora’s institutional commemoration — and the broader institutional commemoration of the operational tradition his death extended — became, across the year that followed, the institutional reference point against which subsequent hostage-rescue operations would be assessed. The IDF SOF community’s institutional contribution to the operation — the Shaldag and Sayeret Matkal perimeter elements, the AMAN intelligence apparatus that had produced the targeting picture, the broader institutional system the operation had relied on — was, by the operational record, substantial. But the institutional credit, in the Israeli public’s reception of the operation, attached principally to Yamam. The institutional pattern the post-Arnon operational sequence would settle into was, in important measure, a pattern in which the hostage-rescue mission would be operationally led by Yamam and operationally supported by the SOF community — a pattern that represented, in the institutional reading the rest of this chapter will pursue, the most consequential institutional shift of the war’s three-year span.</w:t>
      </w:r>
      <w:r>
        <w:rPr>
          <w:rStyle w:val="EndnoteReference"/>
        </w:rPr>
        <w:endnoteReference w:id="49"/>
      </w:r>
    </w:p>
    <w:bookmarkEnd w:id="50"/>
    <w:bookmarkStart w:id="56" w:name="Xe89dc8cba84ad3641df7715f43b981fd6dfdca5"/>
    <w:p>
      <w:pPr>
        <w:pStyle w:val="Heading2"/>
      </w:pPr>
      <w:r>
        <w:t xml:space="preserve">10.8 The Northern Front, October 2023 – November 2024</w:t>
      </w:r>
    </w:p>
    <w:p>
      <w:pPr>
        <w:pStyle w:val="FirstParagraph"/>
      </w:pPr>
      <w:r>
        <w:t xml:space="preserve">The institutional architecture of the State of Israel’s response to the 7 October breach was, from the institutional reading the AMAN’s Research Division had reached by the early hours of 8 October, complicated by the operational reality that the morning’s events had opened a second strategic front. At approximately 11:00 a.m. on the morning of 8 October 2023 — a day after the Hamas breach — Hezbollah opened fire on Israeli positions and population centers along the Israel-Lebanon border. The opening volley was modest in operational scale — a handful of anti-tank guided missiles and a small number of artillery rockets fired from southern Lebanon at IDF outposts on the border — but the institutional implication was substantial. The Iranian-aligned regional axis the previous chapter has traced — Hezbollah in Lebanon, Hamas in Gaza, the Iranian-supported militias in Iraq and Yemen, the Iranian Revolutionary Guard Corps that supplied the institutional coordination across the axis — had committed itself, on the morning of 8 October, to a coordinated multi-front war against the State of Israel. The Israeli intelligence community’s institutional assessment of the morning was that Hezbollah’s institutional decision to commit to the war had been reached in coordination with Hamas’s pre-attack planning and that the institutional pattern the Israeli political class would face for the war’s duration would be a multi-front operational pattern the State of Israel had not faced, in this institutional configuration, since the October 1973 war.</w:t>
      </w:r>
      <w:r>
        <w:rPr>
          <w:rStyle w:val="EndnoteReference"/>
        </w:rPr>
        <w:endnoteReference w:id="51"/>
      </w:r>
    </w:p>
    <w:p>
      <w:pPr>
        <w:pStyle w:val="BodyText"/>
      </w:pPr>
      <w:r>
        <w:t xml:space="preserve">The Hezbollah operational pattern that the IDF would absorb across the war’s first year was the institutional pattern the post-2000 Hezbollah had built itself around. The pattern was attritional rather than decisive. Hezbollah fired, across the year from 8 October 2023 through the operational escalation of September 2024 that this section will reconstruct, approximately ten thousand rockets, anti-tank missiles, and drones at Israeli territory. The fire was, in its operational character, sufficient to force the institutional evacuation of approximately sixty thousand Israeli civilians from the Galilee population centers along the border; sufficient to inflict an institutionally significant Israeli civilian and military casualty count across the year (approximately 130 IDF and security service personnel killed, several dozen civilians killed); and sufficient to produce the institutional pressure on the Netanyahu government that, by the autumn of 2024, would force the institutional escalation that this section is about to reconstruct. The fire was not, in its operational character, sufficient to produce decisive Israeli civilian or military losses on the scale that would have required the Israeli political class to commit the conventional ground forces it had committed to Gaza to a second simultaneous theater. The institutional pattern Hezbollah had built — and Hezbollah’s leadership under Hassan Nasrallah had reached the institutional decision to commit to — was the institutional pattern that would absorb the maximum operational pressure Hezbollah could place on Israel without producing the institutional escalation Hezbollah’s strategic position did not, in its own institutional self-assessment, want.</w:t>
      </w:r>
      <w:r>
        <w:rPr>
          <w:rStyle w:val="EndnoteReference"/>
        </w:rPr>
        <w:endnoteReference w:id="52"/>
      </w:r>
    </w:p>
    <w:p>
      <w:pPr>
        <w:pStyle w:val="BodyText"/>
      </w:pPr>
      <w:r>
        <w:t xml:space="preserve">The institutional decision the Netanyahu government reached, across the late summer of 2024, was that the institutional pattern Hezbollah had built was no longer acceptable to Israeli political society. The institutional argument the senior officer corps had developed across the year was that Hezbollah’s institutional commitment to the multi-front war could be operationally broken — that the institutional vehicles the IDF and the broader Israeli intelligence community had built across the previous two decades against Hezbollah could be operationally committed in sequence at a tempo that would force Hezbollah, on its own institutional calculation, to terminate the multi-front war and accept a return to the pre-7 October institutional equilibrium. The institutional argument was, in the operational reading the IDF’s senior officer corps reached across the summer of 2024, the operational argument the State of Israel had been waiting for since the May 2000 withdrawal.</w:t>
      </w:r>
      <w:r>
        <w:rPr>
          <w:rStyle w:val="EndnoteReference"/>
        </w:rPr>
        <w:endnoteReference w:id="53"/>
      </w:r>
    </w:p>
    <w:p>
      <w:pPr>
        <w:pStyle w:val="BodyText"/>
      </w:pPr>
      <w:r>
        <w:t xml:space="preserve">The institutional vehicles the IDF committed across the autumn of 2024 were, by the operational record, the most institutionally consequential commitment of Israeli intelligence-collection-and-strike infrastructure the State of Israel had executed in its institutional history. On 17 September 2024, at approximately 3:30 p.m. local time, the institutional vehicles produced what the open-source reconstruction the months that followed would call the Pager Operation: the simultaneous detonation, across approximately three thousand five hundred Hezbollah-issued pagers that had been distributed across the organization’s operational and political-leadership cadre over the preceding months, of small explosive charges that had been institutionally embedded in the pagers’ manufacturing process by an Israeli intelligence operation whose specific operational architecture remains, at the time of the present writing, classified. The detonations killed approximately twelve Hezbollah operators, wounded approximately three thousand, and produced — in the institutional shock the operation generated within Hezbollah’s senior leadership across the days that followed — the operational condition under which the IAF’s subsequent strike campaign would be conducted against a Hezbollah leadership that had been institutionally disoriented by the pager operation’s specific institutional reach. On 18 September 2024, a follow-on operation detonated approximately fifty walkie-talkie devices in the same distribution pattern, with similar operational consequences. The two days of explosive-device operations — Mivtza Beepers, in the IDF’s institutional vocabulary — were, in the operational assessment I have been able to consult, the most institutionally sophisticated single operational sequence the Israeli intelligence community has executed in its institutional history.</w:t>
      </w:r>
      <w:r>
        <w:rPr>
          <w:rStyle w:val="EndnoteReference"/>
        </w:rPr>
        <w:endnoteReference w:id="54"/>
      </w:r>
    </w:p>
    <w:p>
      <w:pPr>
        <w:pStyle w:val="BodyText"/>
      </w:pPr>
      <w:r>
        <w:t xml:space="preserve">The institutional sequence that followed across the closing days of September 2024 was the operational expression of the institutional argument the senior officer corps had been developing. On 23 September 2024, the IAF began Operation Northern Arrows — Mivtza Chitsei HaTsafon — a strategic-strike campaign against Hezbollah’s military infrastructure across southern Lebanon and the Beqaa Valley. The IAF strike campaign destroyed, by the operational record, a substantial portion of Hezbollah’s long-range and medium-range rocket and missile infrastructure across the first seventy-two hours of the campaign. On the night of 27 September 2024, at approximately 6:20 p.m. local time, an IAF strike on the Hezbollah headquarters bunker in the Dahiyeh neighborhood of southern Beirut killed Hassan Nasrallah — the secretary-general of Hezbollah since 1992, the institutional figure who had built Hezbollah from the small Iranian-supported militia of the 1982 Iranian intervention into the principal Iranian-aligned military force in the region, and the figure the Israeli intelligence community had identified as the institutional center of Hezbollah’s institutional commitment to the war the organization had opened on 8 October 2023. Nasrallah’s death — confirmed by Hezbollah on 28 September 2024 — was the operational moment at which the institutional balance of the northern front shifted decisively in the IDF’s favor. On 1 October 2024, the IDF began the limited ground operation in southern Lebanon — Mivtza Chitsei HaTsafon Bilti Mugdar, the unlimited Northern Arrows — that the institutional vehicles the IDF had committed across the previous two weeks had created the operational conditions for. The ground operation was conducted at division strength across the southern Lebanese sectors the IDF had operationally identified as containing the principal remaining Hezbollah infrastructure. The operation extended across approximately fifty-seven days. On 27 November 2024, an Israeli-Lebanese ceasefire — negotiated under American mediation, with French institutional involvement, against a Hezbollah that had been institutionally disoriented by the loss of its senior leadership and operationally degraded by the IAF’s strike campaign — took effect. The Hezbollah commitment to the multi-front war the organization had opened on 8 October 2023 was, by the institutional measure of the November 2024 ceasefire, terminated.</w:t>
      </w:r>
      <w:r>
        <w:rPr>
          <w:rStyle w:val="EndnoteReference"/>
        </w:rPr>
        <w:endnoteReference w:id="55"/>
      </w:r>
    </w:p>
    <w:bookmarkEnd w:id="56"/>
    <w:bookmarkStart w:id="63" w:name="Xe451819bdefcf34b1679b044d1094daf2318a55"/>
    <w:p>
      <w:pPr>
        <w:pStyle w:val="Heading2"/>
      </w:pPr>
      <w:r>
        <w:t xml:space="preserve">10.9 Iran and the Strategic Threshold, April–October 2024</w:t>
      </w:r>
    </w:p>
    <w:p>
      <w:pPr>
        <w:pStyle w:val="FirstParagraph"/>
      </w:pPr>
      <w:r>
        <w:t xml:space="preserve">The institutional development that I want to set against the operational sequence of the Hezbollah front, because the development supplies the strategic framework within which the broader war’s institutional architecture has to be assessed, was the direct Iran–Israel military confrontation of April and October 2024. The Iranian Revolutionary Guard Corps’s institutional commitment to the multi-front war the regional axis had opened on the morning of 8 October 2023 had, across the year that followed, been operationally indirect: Iranian-supplied weapons to Hamas in Gaza, Iranian-supplied weapons and Iranian Revolutionary Guard institutional support to Hezbollah in Lebanon, Iranian-supplied weapons and operational coordination to the Houthi forces in Yemen that had — across the war’s first year — opened a third operational front against international shipping in the Red Sea and against Israeli population centers via long-range ballistic and cruise missile fire, and Iranian institutional support to the Iraqi militias whose operational fire against American positions in Iraq and Syria had — across the same year — become an operational element of the broader axis’s military pressure on the American-Israeli institutional position in the region. The Iranian institutional posture had not, across the year, included direct Iranian military action against Israel. The institutional threshold the Iranian Revolutionary Guard Corps’s senior leadership had maintained — that the Iranian-Israeli confrontation would be conducted through proxies rather than directly — had been, since the institutional pattern’s emergence in the early 1980s, the operational architecture of the regional conflict.</w:t>
      </w:r>
      <w:r>
        <w:rPr>
          <w:rStyle w:val="EndnoteReference"/>
        </w:rPr>
        <w:endnoteReference w:id="57"/>
      </w:r>
    </w:p>
    <w:p>
      <w:pPr>
        <w:pStyle w:val="BodyText"/>
      </w:pPr>
      <w:r>
        <w:t xml:space="preserve">The institutional threshold was crossed on the night of 13–14 April 2024. The Iranian institutional decision to cross the threshold had been reached in response to the IAF strike of 1 April 2024 on an Iranian Revolutionary Guard Corps facility in the Iranian consular compound in Damascus, that had killed Brigadier General Mohammad Reza Zahedi — the senior Iranian Revolutionary Guard Corps officer responsible for the Iranian operational coordination with Hezbollah and Hamas. The Iranian response, across the night of 13–14 April, was the largest direct Iranian military operation against Israel in the institutional history of the Iranian-Israeli conflict: approximately three hundred Iranian ballistic missiles, cruise missiles, and drones, fired from Iranian territory across approximately five hours, against Israeli military and intelligence-collection installations in central and southern Israel. The Israeli response — coordinated with American, British, French, and Jordanian air-defense forces across the operational corridor between Iran and Israel — intercepted approximately ninety-nine percent of the Iranian munitions. The institutional consequences were, in the operational reading I have been able to consult, double-edged. The institutional pattern that had defined the Iranian-Israeli confrontation since the early 1980s — the institutional pattern of indirect confrontation through proxies — had been formally broken. The institutional confidence the Iranian Revolutionary Guard Corps’s senior leadership had developed in the operational efficacy of direct ballistic-missile attack against Israel had, on the operational evidence of the April attack, been substantially attenuated.</w:t>
      </w:r>
      <w:r>
        <w:rPr>
          <w:rStyle w:val="EndnoteReference"/>
        </w:rPr>
        <w:endnoteReference w:id="58"/>
      </w:r>
    </w:p>
    <w:p>
      <w:pPr>
        <w:pStyle w:val="BodyText"/>
      </w:pPr>
      <w:r>
        <w:t xml:space="preserve">The Israeli institutional response across the days that followed was — by the institutional record of the period and by the senior officer corps’s subsequent institutional documentation — substantially restrained. On 19 April 2024 the IAF executed a limited strike against an Iranian air-defense radar site near the Iranian city of Isfahan. The strike’s operational profile — small in operational scale, designed to demonstrate the operational reach of the IAF into Iranian territory without escalating the confrontation into a sustained direct exchange — was the institutional pattern the Israeli political class had reached as the institutional response to the April escalation. The institutional pattern held across the months that followed. The direct Iranian-Israeli confrontation that the April attack had opened was institutionally suspended across the spring and summer of 2024.</w:t>
      </w:r>
      <w:r>
        <w:rPr>
          <w:rStyle w:val="EndnoteReference"/>
        </w:rPr>
        <w:endnoteReference w:id="59"/>
      </w:r>
    </w:p>
    <w:p>
      <w:pPr>
        <w:pStyle w:val="BodyText"/>
      </w:pPr>
      <w:r>
        <w:t xml:space="preserve">The institutional pattern was broken a second time on the evening of 1 October 2024. The Iranian institutional decision to escalate again was reached in response to the institutional sequence that had unfolded across the preceding two weeks: the pager operation of 17 September, the walkie-talkie operation of 18 September, the IAF Operation Northern Arrows opening of 23 September, the Nasrallah killing of 27 September. The Iranian institutional reading of the sequence was that the Israeli operational tempo against the Iranian-aligned regional axis had reached the institutional level the Iranian Revolutionary Guard Corps’s senior leadership could not, on its own institutional self-assessment, allow to continue without direct Iranian response. The Iranian response, on the evening of 1 October 2024, was the second direct Iranian military operation against Israel in the institutional history of the conflict: approximately one hundred and eighty Iranian ballistic missiles fired from Iranian territory in a single concentrated salvo, against Israeli military installations across the country. The Israeli response — coordinated with the American air-defense apparatus across the regional corridor — intercepted approximately ninety percent of the Iranian munitions. A small number of Iranian missiles penetrated the Israeli air defense and struck military installations in central Israel. The institutional consequences of the second escalation were, in the operational reading the senior officer corps reached across the days that followed, that the Israeli institutional response would not, this time, be the limited and proportional response the April attack had produced.</w:t>
      </w:r>
      <w:r>
        <w:rPr>
          <w:rStyle w:val="EndnoteReference"/>
        </w:rPr>
        <w:endnoteReference w:id="60"/>
      </w:r>
    </w:p>
    <w:p>
      <w:pPr>
        <w:pStyle w:val="BodyText"/>
      </w:pPr>
      <w:r>
        <w:t xml:space="preserve">On the night of 25–26 October 2024 the IAF executed Operation Days of Repentance — Yamei Teshuva — the largest direct Israeli military operation against Iranian territory in the institutional history of the conflict. Approximately one hundred IAF aircraft, operating in three sequential waves across the operational corridor between Israel and Iran, struck Iranian air-defense radar sites, ballistic-missile production facilities, and Iranian Revolutionary Guard Corps military installations across the territory of the Islamic Republic. The operation’s institutional architecture — coordinated across the IAF’s combat squadrons, the AMAN’s targeting apparatus, the Shaldag teams that supplied the ground-based operational verification of the strike sequence, and the broader IDF and American intelligence coordination across the operational corridor — was the institutional expression of the seven decades of institutional entrepreneurship the present book has been about. The operation’s operational results — the substantial degradation of the Iranian air-defense network, the operational disruption of the Iranian ballistic-missile production infrastructure, and the institutional demonstration that the IAF could operate at strategic depth against Iranian territory with operational impunity — produced the institutional condition under which the Iranian–Israeli confrontation across the remainder of the war’s three-year span would unfold. The institutional threshold the Iranian Revolutionary Guard Corps’s senior leadership had crossed in April 2024 had been, by the institutional measure of the October Israeli response, decisively closed by Israel’s institutional capacity to escalate beyond what the Iranian institutional planning had calculated would be acceptable. The institutional consequences for the broader regional conflict the war had opened — and for the institutional position of the State of Israel in the regional security architecture that the war’s three-year span has been reshaping — are consequences the institutional historiography of the period will, across the decade that follows the war’s eventual conclusion, continue to reconstruct.</w:t>
      </w:r>
      <w:r>
        <w:rPr>
          <w:rStyle w:val="EndnoteReference"/>
        </w:rPr>
        <w:endnoteReference w:id="61"/>
      </w:r>
    </w:p>
    <w:p>
      <w:pPr>
        <w:pStyle w:val="BodyText"/>
      </w:pPr>
      <w:r>
        <w:t xml:space="preserve">The war was, by the institutional measure I have been able to consult across May 2026, not yet concluded. The operational pattern across the eighteen months that followed the October 2024 Iranian-Israeli escalation has, in its institutional character, been a pattern of continuous operations at reduced operational intensity across the multiple theaters the war had opened. Israeli SOF operations across the post-October-2024 period have included sustained operations against Hamas’s remaining infrastructure in Gaza, sustained operations against Hezbollah’s reconstituted infrastructure in southern Lebanon despite the November 2024 ceasefire’s nominal terms, sustained operations against the Houthis in Yemen via long-range strikes and special-operations infiltration, sustained operations against Iranian-aligned militias in Syria and Iraq, and sustained operations against Iranian nuclear and military infrastructure inside Iran itself. The cumulative institutional cost of the war’s three-year span — the casualty count, the financial cost, the political cost, the strategic cost — is the cost the institutional historiography of the period will continue to reconstruct for the decade to come. The institutional argument this book has been making about the cumulative product of seven decades of institutional entrepreneurship was — by the institutional measure the war’s three-year span has produced — the argument the present chapter’s closing sections are about to take up in retrospect.</w:t>
      </w:r>
      <w:r>
        <w:rPr>
          <w:rStyle w:val="EndnoteReference"/>
        </w:rPr>
        <w:endnoteReference w:id="62"/>
      </w:r>
    </w:p>
    <w:bookmarkEnd w:id="63"/>
    <w:bookmarkStart w:id="69" w:name="the-seven-theater-war-in-retrospect"/>
    <w:p>
      <w:pPr>
        <w:pStyle w:val="Heading2"/>
      </w:pPr>
      <w:r>
        <w:t xml:space="preserve">10.10 The Seven-Theater War in Retrospect</w:t>
      </w:r>
    </w:p>
    <w:p>
      <w:pPr>
        <w:pStyle w:val="FirstParagraph"/>
      </w:pPr>
      <w:r>
        <w:t xml:space="preserve">I want to pause, before I move to the chapter’s closing two sections, on the operational scope of what the war produced. The State of Israel had, in the institutional history I traced across the previous nine chapters of this book, fought conventional wars across single fronts (1948 against the Arab regular armies, 1956 against Egypt, 1967 across three fronts but in a single six-day operational window, 1973 across two fronts in a single three-week operational window) and had fought sustained counterinsurgencies across single fronts (the 1982–2000 Lebanon decade, the 2000–2005 Second Intifada period). The State of Israel had not, in its institutional history before 7 October 2023, fought a sustained multi-front war across multiple theaters of operation simultaneously. The war the seven theaters of Iron Swords produced — Gaza as the principal ground-operations theater, southern Lebanon as the principal Hezbollah theater, the West Bank as a sustained counterterrorism theater, Yemen as a long-range strategic-strike theater against the Houthis, Iraq and Syria as theaters against the Iranian-aligned militias, and Iran itself as the strategic-depth theater the October 2024 operations had opened — was, in the institutional measure of its operational scope, a war the country’s previous institutional history had not prepared the IDF or the country’s political class to fight.</w:t>
      </w:r>
      <w:r>
        <w:rPr>
          <w:rStyle w:val="EndnoteReference"/>
        </w:rPr>
        <w:endnoteReference w:id="64"/>
      </w:r>
    </w:p>
    <w:p>
      <w:pPr>
        <w:pStyle w:val="BodyText"/>
      </w:pPr>
      <w:r>
        <w:t xml:space="preserve">The cumulative institutional cost of the war’s three-year span, by the institutional measure I have been able to consult as of the present writing in the closing days of May 2026, was substantial. Approximately one thousand five hundred Israeli military personnel had been killed across the seven theaters, with several thousand more wounded. The civilian Israeli death toll across the war’s three-year span — including the 1,200 of 7 October itself, the approximately one hundred Israeli civilians killed in northern Israeli rocket attacks across the year of the Hezbollah front, the approximately fifty Israeli civilians killed across the Houthi missile and drone strikes against central Israel, and the smaller numbers from other theaters — exceeded the cumulative Israeli civilian death toll from every previous war the State of Israel had fought since 1948 combined. The civilian death toll on the Palestinian side, by the contested figures the post-war institutional historiography will continue to engage, exceeded sixty thousand. The cumulative financial cost of the war to the State of Israel, by the institutional reckoning of the Bank of Israel’s running assessment across the war’s three-year span, approached three hundred billion shekels in direct military expenditure and an indeterminately larger figure in indirect economic cost across the displaced-population, mobilized-reservist, and reduced-productivity vectors. The institutional damage to the relationship between the country’s political class and its civil-military institutions, between the country and the broader international community, and between Israeli political society and itself, is the damage the institutional historiography of the period will continue to reconstruct across the decade to come.</w:t>
      </w:r>
      <w:r>
        <w:rPr>
          <w:rStyle w:val="EndnoteReference"/>
        </w:rPr>
        <w:endnoteReference w:id="65"/>
      </w:r>
    </w:p>
    <w:p>
      <w:pPr>
        <w:pStyle w:val="BodyText"/>
      </w:pPr>
      <w:r>
        <w:t xml:space="preserve">The strategic results the war produced were, by the institutional measure that mattered most to the Israeli political class, substantial. Hamas’s military infrastructure inside Gaza was, by the operational assessment of the closing months of 2024, substantially destroyed. Hezbollah’s military infrastructure inside southern Lebanon was, by the operational assessment that followed Operation Northern Arrows and the November 2024 ceasefire, substantially degraded. The Iranian-aligned regional axis — the institutional architecture the Iranian Revolutionary Guard Corps had built across the four decades since the 1982 Iranian intervention in Lebanon, that the previous chapters of this book have traced through the institutional consolidation of Hezbollah and the post-2000 expansion across Yemen, Iraq, and Syria — was, by the operational measure of the war’s three-year span, substantially weakened. The Iranian institutional commitment to confronting Israel through proxies rather than directly had, in the institutional moments of April and October 2024 that the previous section reconstructed, been broken. The political class’s institutional commitment to recovering the hostages had been, by the operational measure of the war’s three-year span, partly fulfilled — through a combination of the negotiated exchanges that had recovered approximately one hundred forty hostages across the war’s first eighteen months, the rescue operations the Yamam-led integration the previous section reconstructed had executed, and the operational reality that approximately eighty hostages had been killed in Hamas captivity across the war’s span and recovered as bodies rather than as living recoveries. The original strategic objectives the Israeli political class had articulated across the war’s opening weeks had been, in the institutional measure of the war’s three-year span, substantially achieved.</w:t>
      </w:r>
      <w:r>
        <w:rPr>
          <w:rStyle w:val="EndnoteReference"/>
        </w:rPr>
        <w:endnoteReference w:id="66"/>
      </w:r>
    </w:p>
    <w:p>
      <w:pPr>
        <w:pStyle w:val="BodyText"/>
      </w:pPr>
      <w:r>
        <w:t xml:space="preserve">The institutional cost of the strategic results, however, was a cost the institutional historiography of the period will be reconstructing for the decade to come. The Israeli civilian death toll on 7 October itself, the cumulative military and civilian death toll across the war’s three-year span, the institutional damage to the country’s political and military institutions, the moral and reputational damage of the Gaza ground operation’s civilian-casualty pattern in the international institutional reception of the war, the political division inside Israel between the Netanyahu government’s strategic conduct of the war and the political opposition that the war’s conduct generated — all of these are the institutional costs the strategic results have to be assessed against. The institutional question the post-war reckoning will engage is whether the institutional cost was, on the political-class’s own institutional measure, the institutional cost the strategic results justified. I am not, in this book’s institutional argument, positioned to resolve that question. The institutional question is the question the institutional historiography of the period will continue to resolve, in the political and analytical disputes that will continue to attend the war’s three-year span for as long as the institutional memory of the period persists in Israeli political society.</w:t>
      </w:r>
      <w:r>
        <w:rPr>
          <w:rStyle w:val="EndnoteReference"/>
        </w:rPr>
        <w:endnoteReference w:id="67"/>
      </w:r>
    </w:p>
    <w:p>
      <w:pPr>
        <w:pStyle w:val="BodyText"/>
      </w:pPr>
      <w:r>
        <w:t xml:space="preserve">What I am positioned to resolve, on the institutional argument the previous nine chapters of this book have built, is the narrower institutional question of the SOF community’s specific contribution to the war’s institutional sweep — and the broader institutional question of what the seven decades of institutional entrepreneurship the present book has been about have produced as the cumulative institutional asset the State of Israel had available to it at the moment of the war’s greatest stress. The next two sections take up those questions in sequence.</w:t>
      </w:r>
      <w:r>
        <w:rPr>
          <w:rStyle w:val="EndnoteReference"/>
        </w:rPr>
        <w:endnoteReference w:id="68"/>
      </w:r>
    </w:p>
    <w:bookmarkEnd w:id="69"/>
    <w:bookmarkStart w:id="70" w:name="notes"/>
    <w:p>
      <w:pPr>
        <w:pStyle w:val="Heading2"/>
      </w:pPr>
      <w:r>
        <w:t xml:space="preserve">Notes</w:t>
      </w:r>
    </w:p>
    <w:bookmarkEnd w:id="70"/>
    <w:bookmarkEnd w:id="71"/>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endnote w:type="continuationSeparator" w:id="0">
    <w:p>
      <w:r>
        <w:continuationSeparator/>
      </w:r>
    </w:p>
  </w:endnote>
  <w:endnote w:type="separator" w:id="-1">
    <w:p>
      <w:r>
        <w:separator/>
      </w:r>
    </w:p>
  </w:endnote>
  <w:endnote w:id="20">
    <w:p>
      <w:pPr>
        <w:pStyle w:val="EndnoteText"/>
      </w:pPr>
      <w:r>
        <w:rPr>
          <w:rStyle w:val="EndnoteReference"/>
        </w:rPr>
        <w:endnoteRef/>
      </w:r>
      <w:r>
        <w:t xml:space="preserve"> </w:t>
      </w:r>
      <w:r>
        <w:t xml:space="preserve">IDF Spokesperson public materials, October 2023; Amir Oren,</w:t>
      </w:r>
      <w:r>
        <w:t xml:space="preserve"> </w:t>
      </w:r>
      <w:r>
        <w:t xml:space="preserve">“</w:t>
      </w:r>
      <w:r>
        <w:t xml:space="preserve">Far From the Front: How Will the IDF Operate the Depth Command and the Special Forces?</w:t>
      </w:r>
      <w:r>
        <w:t xml:space="preserve">”</w:t>
      </w:r>
      <w:r>
        <w:t xml:space="preserve"> </w:t>
      </w:r>
      <w:r>
        <w:t xml:space="preserve">Walla News, June 21, 2018. See chapter 9, §9.14; chapter 9, §9.13; chapter 9, §9.10.</w:t>
      </w:r>
    </w:p>
  </w:endnote>
  <w:endnote w:id="21">
    <w:p>
      <w:pPr>
        <w:pStyle w:val="EndnoteText"/>
      </w:pPr>
      <w:r>
        <w:rPr>
          <w:rStyle w:val="EndnoteReference"/>
        </w:rPr>
        <w:endnoteRef/>
      </w:r>
      <w:r>
        <w:t xml:space="preserve"> </w:t>
      </w:r>
      <w:r>
        <w:t xml:space="preserve">The YNET failure-chain investigation; the Comptroller of the State of Israel’s eventual State Comptroller report on the October 7 failure; the open-source reporting subsequent to the AMAN Director Aharon Haliva’s resignation in April 2024 and the partial declassification of the Research Division’s pre-October-7 assessments.</w:t>
      </w:r>
    </w:p>
  </w:endnote>
  <w:endnote w:id="23">
    <w:p>
      <w:pPr>
        <w:pStyle w:val="EndnoteText"/>
      </w:pPr>
      <w:r>
        <w:rPr>
          <w:rStyle w:val="EndnoteReference"/>
        </w:rPr>
        <w:endnoteRef/>
      </w:r>
      <w:r>
        <w:t xml:space="preserve"> </w:t>
      </w:r>
      <w:r>
        <w:t xml:space="preserve">The N12 News minute-by-minute reconstruction; the Margolin and Levitt analysis, drawing on the Hstoday.us piece</w:t>
      </w:r>
      <w:r>
        <w:t xml:space="preserve"> </w:t>
      </w:r>
      <w:r>
        <w:t xml:space="preserve">“</w:t>
      </w:r>
      <w:r>
        <w:t xml:space="preserve">The Road to October 7: Hamas’s Long Game, Clarified</w:t>
      </w:r>
      <w:r>
        <w:t xml:space="preserve">”</w:t>
      </w:r>
      <w:r>
        <w:t xml:space="preserve"> </w:t>
      </w:r>
      <w:r>
        <w:t xml:space="preserve">(December 2023); the YNET piece</w:t>
      </w:r>
      <w:r>
        <w:t xml:space="preserve"> </w:t>
      </w:r>
      <w:r>
        <w:t xml:space="preserve">“</w:t>
      </w:r>
      <w:r>
        <w:t xml:space="preserve">Approximately 3,000 Hamas Terrorists Infiltrated Israel on October 7</w:t>
      </w:r>
      <w:r>
        <w:t xml:space="preserve">”</w:t>
      </w:r>
      <w:r>
        <w:t xml:space="preserve">;</w:t>
      </w:r>
      <w:r>
        <w:t xml:space="preserve"> </w:t>
      </w:r>
      <w:r>
        <w:t xml:space="preserve">“</w:t>
      </w:r>
      <w:r>
        <w:t xml:space="preserve">The Missing October 7th Files,</w:t>
      </w:r>
      <w:r>
        <w:t xml:space="preserve">”</w:t>
      </w:r>
      <w:r>
        <w:t xml:space="preserve"> </w:t>
      </w:r>
      <w:r>
        <w:t xml:space="preserve">investigative material; Avi Issacharoff and Amos Harel’s reporting in the months before October 7 and the Yedioth Ahronoth and Haaretz investigative pieces published in the year following.</w:t>
      </w:r>
    </w:p>
  </w:endnote>
  <w:endnote w:id="24">
    <w:p>
      <w:pPr>
        <w:pStyle w:val="EndnoteText"/>
      </w:pPr>
      <w:r>
        <w:rPr>
          <w:rStyle w:val="EndnoteReference"/>
        </w:rPr>
        <w:endnoteRef/>
      </w:r>
      <w:r>
        <w:t xml:space="preserve"> </w:t>
      </w:r>
      <w:r>
        <w:t xml:space="preserve">The YNET failure-chain investigation; the Middle East Institute analysis by the Middle East Institute team published October 23, 2023,</w:t>
      </w:r>
      <w:r>
        <w:t xml:space="preserve"> </w:t>
      </w:r>
      <w:r>
        <w:t xml:space="preserve">“</w:t>
      </w:r>
      <w:r>
        <w:t xml:space="preserve">The October 7 Hamas Attack: An Israeli Overreliance on Technology.</w:t>
      </w:r>
      <w:r>
        <w:t xml:space="preserve">”</w:t>
      </w:r>
    </w:p>
  </w:endnote>
  <w:endnote w:id="25">
    <w:p>
      <w:pPr>
        <w:pStyle w:val="EndnoteText"/>
      </w:pPr>
      <w:r>
        <w:rPr>
          <w:rStyle w:val="EndnoteReference"/>
        </w:rPr>
        <w:endnoteRef/>
      </w:r>
      <w:r>
        <w:t xml:space="preserve"> </w:t>
      </w:r>
      <w:r>
        <w:t xml:space="preserve">The YNET failure-chain investigation; Amos Harel, Haaretz, October 2023; Brigadier (ret.) Dr. Meir Finkel’s analysis.</w:t>
      </w:r>
    </w:p>
  </w:endnote>
  <w:endnote w:id="26">
    <w:p>
      <w:pPr>
        <w:pStyle w:val="EndnoteText"/>
      </w:pPr>
      <w:r>
        <w:rPr>
          <w:rStyle w:val="EndnoteReference"/>
        </w:rPr>
        <w:endnoteRef/>
      </w:r>
      <w:r>
        <w:t xml:space="preserve"> </w:t>
      </w:r>
      <w:r>
        <w:t xml:space="preserve">The IDF Spokesperson casualty announcements, October 2023 – December 2023; the State of Israel’s official cumulative reckoning, published in stages across the war’s first six months; the IDF Spokesperson cumulative casualty announcement, October 9, 2023.</w:t>
      </w:r>
    </w:p>
  </w:endnote>
  <w:endnote w:id="28">
    <w:p>
      <w:pPr>
        <w:pStyle w:val="EndnoteText"/>
      </w:pPr>
      <w:r>
        <w:rPr>
          <w:rStyle w:val="EndnoteReference"/>
        </w:rPr>
        <w:endnoteRef/>
      </w:r>
      <w:r>
        <w:t xml:space="preserve"> </w:t>
      </w:r>
      <w:r>
        <w:t xml:space="preserve">Ynet and Israel Hayom reconstructions in the days and weeks following; the cumulative reporting in the year after October 7 and the unit’s own retrospective interviews granted to Yedioth Ahronoth’s magazine 7 Yamim across 2024–2025. See chapter 9, §9.13.</w:t>
      </w:r>
    </w:p>
  </w:endnote>
  <w:endnote w:id="29">
    <w:p>
      <w:pPr>
        <w:pStyle w:val="EndnoteText"/>
      </w:pPr>
      <w:r>
        <w:rPr>
          <w:rStyle w:val="EndnoteReference"/>
        </w:rPr>
        <w:endnoteRef/>
      </w:r>
      <w:r>
        <w:t xml:space="preserve"> </w:t>
      </w:r>
      <w:r>
        <w:t xml:space="preserve">IDF Spokesperson casualty announcements, October 8–9, 2023; the cumulative Yedioth Ahronoth and Bamahane reporting in the weeks after October 7; the public material on the unit’s composition that is consistent across the open-source reporting since the unit’s founding in 1974; the open-source assessment that emerged in the months following October 7 across the Hebrew defense journalism community.</w:t>
      </w:r>
    </w:p>
  </w:endnote>
  <w:endnote w:id="30">
    <w:p>
      <w:pPr>
        <w:pStyle w:val="EndnoteText"/>
      </w:pPr>
      <w:r>
        <w:rPr>
          <w:rStyle w:val="EndnoteReference"/>
        </w:rPr>
        <w:endnoteRef/>
      </w:r>
      <w:r>
        <w:t xml:space="preserve"> </w:t>
      </w:r>
      <w:r>
        <w:t xml:space="preserve">The KAN 11 podcast Zman Emet (Real Time) episodes covering Sayeret Matkal’s October 7 mobilization, broadcast across 2024–2025; Halevy’s lectures on Emanuel Moreno.</w:t>
      </w:r>
    </w:p>
  </w:endnote>
  <w:endnote w:id="31">
    <w:p>
      <w:pPr>
        <w:pStyle w:val="EndnoteText"/>
      </w:pPr>
      <w:r>
        <w:rPr>
          <w:rStyle w:val="EndnoteReference"/>
        </w:rPr>
        <w:endnoteRef/>
      </w:r>
      <w:r>
        <w:t xml:space="preserve"> </w:t>
      </w:r>
      <w:r>
        <w:t xml:space="preserve">The cumulative open-source reporting in the year following October 7 across Ynet, Haaretz, Israel Hayom, Yedioth Ahronoth’s magazine 7 Yamim, the Bamahane weekly, and the KAN 11 podcast and television documentary series; the Halevy lecture; the open-source assessments of Brigadier (ret.) Yaakov Amidror and other IDF retired senior officers in the months following October 7.</w:t>
      </w:r>
    </w:p>
  </w:endnote>
  <w:endnote w:id="33">
    <w:p>
      <w:pPr>
        <w:pStyle w:val="EndnoteText"/>
      </w:pPr>
      <w:r>
        <w:rPr>
          <w:rStyle w:val="EndnoteReference"/>
        </w:rPr>
        <w:endnoteRef/>
      </w:r>
      <w:r>
        <w:t xml:space="preserve"> </w:t>
      </w:r>
      <w:r>
        <w:t xml:space="preserve">Lieutenant Colonel (res.) Giora Halevy’s lecture on the life of Emanuel Moreno, YouTube video accessed May 2026 at https://youtu.be/bqYiVGb6zY0; the IDF Spokesperson announcement of approximately October 9–10, 2023; open-source reporting in Yedioth Ahronoth and Israel Hayom in October and November 2023. See chapter 8; chapter 9, §9.13.</w:t>
      </w:r>
    </w:p>
  </w:endnote>
  <w:endnote w:id="34">
    <w:p>
      <w:pPr>
        <w:pStyle w:val="EndnoteText"/>
      </w:pPr>
      <w:r>
        <w:rPr>
          <w:rStyle w:val="EndnoteReference"/>
        </w:rPr>
        <w:endnoteRef/>
      </w:r>
      <w:r>
        <w:t xml:space="preserve"> </w:t>
      </w:r>
      <w:r>
        <w:t xml:space="preserve">The IDF Spokesperson’s running casualty announcements across 2023–2026; the open-source assessments by retired IDF senior officers and by the defense journalism community across the war’s three-year span; the Finkel post–Iron Swords reform analysis.</w:t>
      </w:r>
    </w:p>
  </w:endnote>
  <w:endnote w:id="36">
    <w:p>
      <w:pPr>
        <w:pStyle w:val="EndnoteText"/>
      </w:pPr>
      <w:r>
        <w:rPr>
          <w:rStyle w:val="EndnoteReference"/>
        </w:rPr>
        <w:endnoteRef/>
      </w:r>
      <w:r>
        <w:t xml:space="preserve"> </w:t>
      </w:r>
      <w:r>
        <w:t xml:space="preserve">The IDF Spokesperson cumulative announcements, October 2023; Yoav Gelber, Why Did They Fail to Mobilize? The IDF’s Yom Kippur War Mobilization in Comparative Perspective (Israel Defense Forces Press, 2003); the cumulative reporting in Ynet, Haaretz, and Israel Hayom in the weeks after October 7.</w:t>
      </w:r>
    </w:p>
  </w:endnote>
  <w:endnote w:id="37">
    <w:p>
      <w:pPr>
        <w:pStyle w:val="EndnoteText"/>
      </w:pPr>
      <w:r>
        <w:rPr>
          <w:rStyle w:val="EndnoteReference"/>
        </w:rPr>
        <w:endnoteRef/>
      </w:r>
      <w:r>
        <w:t xml:space="preserve"> </w:t>
      </w:r>
      <w:r>
        <w:t xml:space="preserve">The N12 minute-by-minute reconstruction; Stuart Cohen, Israel and Its Army: From Cohesion to Confusion (Routledge, 2008); the open-source commentary in Haaretz, Yedioth Ahronoth, and Makor Rishon across the post-October-7 period.</w:t>
      </w:r>
    </w:p>
  </w:endnote>
  <w:endnote w:id="39">
    <w:p>
      <w:pPr>
        <w:pStyle w:val="EndnoteText"/>
      </w:pPr>
      <w:r>
        <w:rPr>
          <w:rStyle w:val="EndnoteReference"/>
        </w:rPr>
        <w:endnoteRef/>
      </w:r>
      <w:r>
        <w:t xml:space="preserve"> </w:t>
      </w:r>
      <w:r>
        <w:t xml:space="preserve">Cumulative reporting across the post-October-7 period in Ynet, Haaretz, Israel Hayom, Yedioth Ahronoth, and the Bamahane weekly; the institutional assessments by retired IDF senior officers across the post-October-7 period and the Finkel post-war reform analysis; the IDF Spokesperson disclosures across the war’s first eighteen months and the post-war institutional reconstructions in Yedioth Ahronoth and Israel Hayom.</w:t>
      </w:r>
    </w:p>
  </w:endnote>
  <w:endnote w:id="40">
    <w:p>
      <w:pPr>
        <w:pStyle w:val="EndnoteText"/>
      </w:pPr>
      <w:r>
        <w:rPr>
          <w:rStyle w:val="EndnoteReference"/>
        </w:rPr>
        <w:endnoteRef/>
      </w:r>
      <w:r>
        <w:t xml:space="preserve"> </w:t>
      </w:r>
      <w:r>
        <w:t xml:space="preserve">The IDF Spokesperson announcements of the period and the cumulative open-source reporting; the IDF Spokesperson cumulative announcements. See chapter 9, §§9.10–9.13.</w:t>
      </w:r>
    </w:p>
  </w:endnote>
  <w:endnote w:id="41">
    <w:p>
      <w:pPr>
        <w:pStyle w:val="EndnoteText"/>
      </w:pPr>
      <w:r>
        <w:rPr>
          <w:rStyle w:val="EndnoteReference"/>
        </w:rPr>
        <w:endnoteRef/>
      </w:r>
      <w:r>
        <w:t xml:space="preserve"> </w:t>
      </w:r>
      <w:r>
        <w:t xml:space="preserve">Cumulative reporting in the Israeli defense press across the war’s first six months. See chapter 9, §§9.10–9.13.</w:t>
      </w:r>
    </w:p>
  </w:endnote>
  <w:endnote w:id="42">
    <w:p>
      <w:pPr>
        <w:pStyle w:val="EndnoteText"/>
      </w:pPr>
      <w:r>
        <w:rPr>
          <w:rStyle w:val="EndnoteReference"/>
        </w:rPr>
        <w:endnoteRef/>
      </w:r>
      <w:r>
        <w:t xml:space="preserve"> </w:t>
      </w:r>
      <w:r>
        <w:t xml:space="preserve">IDF Spokesperson cumulative casualty announcements across the war’s first three months; the cumulative open-source assessments across the war’s first year.</w:t>
      </w:r>
    </w:p>
  </w:endnote>
  <w:endnote w:id="43">
    <w:p>
      <w:pPr>
        <w:pStyle w:val="EndnoteText"/>
      </w:pPr>
      <w:r>
        <w:rPr>
          <w:rStyle w:val="EndnoteReference"/>
        </w:rPr>
        <w:endnoteRef/>
      </w:r>
      <w:r>
        <w:t xml:space="preserve"> </w:t>
      </w:r>
      <w:r>
        <w:t xml:space="preserve">Cumulative reporting in Ynet, Haaretz, and Israel Hayom across October 2024; the institutional reconstruction in Ehud Yaari’s reporting across 2023–2024 and the broader Hamas-institutional histories that have appeared across the war’s three-year span.</w:t>
      </w:r>
    </w:p>
  </w:endnote>
  <w:endnote w:id="45">
    <w:p>
      <w:pPr>
        <w:pStyle w:val="EndnoteText"/>
      </w:pPr>
      <w:r>
        <w:rPr>
          <w:rStyle w:val="EndnoteReference"/>
        </w:rPr>
        <w:endnoteRef/>
      </w:r>
      <w:r>
        <w:t xml:space="preserve"> </w:t>
      </w:r>
      <w:r>
        <w:t xml:space="preserve">Cumulative commentary across Haaretz, Yedioth Ahronoth, Israel Hayom, and Makor Rishon across the post-October-7 period; Daniel Byman, A High Price: The Triumphs and Failures of Israeli Counterterrorism, updated post-2023 edition (Oxford: Oxford University Press, forthcoming); the IDF Spokesperson cumulative reporting. See §10.2.</w:t>
      </w:r>
    </w:p>
  </w:endnote>
  <w:endnote w:id="46">
    <w:p>
      <w:pPr>
        <w:pStyle w:val="EndnoteText"/>
      </w:pPr>
      <w:r>
        <w:rPr>
          <w:rStyle w:val="EndnoteReference"/>
        </w:rPr>
        <w:endnoteRef/>
      </w:r>
      <w:r>
        <w:t xml:space="preserve"> </w:t>
      </w:r>
      <w:r>
        <w:t xml:space="preserve">The cumulative open-source reporting and the Kochavi–Ortal article. See chapter 9, §§9.10–9.13; chapter 9, §9.10.</w:t>
      </w:r>
    </w:p>
  </w:endnote>
  <w:endnote w:id="47">
    <w:p>
      <w:pPr>
        <w:pStyle w:val="EndnoteText"/>
      </w:pPr>
      <w:r>
        <w:rPr>
          <w:rStyle w:val="EndnoteReference"/>
        </w:rPr>
        <w:endnoteRef/>
      </w:r>
      <w:r>
        <w:t xml:space="preserve"> </w:t>
      </w:r>
      <w:r>
        <w:t xml:space="preserve">Cumulative reporting in Ynet, Haaretz, Yedioth Ahronoth, and Israel Hayom in June 2024 and the months that followed; the cumulative open-source assessments across the post-Arnon period.</w:t>
      </w:r>
    </w:p>
  </w:endnote>
  <w:endnote w:id="48">
    <w:p>
      <w:pPr>
        <w:pStyle w:val="EndnoteText"/>
      </w:pPr>
      <w:r>
        <w:rPr>
          <w:rStyle w:val="EndnoteReference"/>
        </w:rPr>
        <w:endnoteRef/>
      </w:r>
      <w:r>
        <w:t xml:space="preserve"> </w:t>
      </w:r>
      <w:r>
        <w:t xml:space="preserve">Cumulative reporting as cited in 22 above; the cumulative international reporting across June 2024.</w:t>
      </w:r>
    </w:p>
  </w:endnote>
  <w:endnote w:id="49">
    <w:p>
      <w:pPr>
        <w:pStyle w:val="EndnoteText"/>
      </w:pPr>
      <w:r>
        <w:rPr>
          <w:rStyle w:val="EndnoteReference"/>
        </w:rPr>
        <w:endnoteRef/>
      </w:r>
      <w:r>
        <w:t xml:space="preserve"> </w:t>
      </w:r>
      <w:r>
        <w:t xml:space="preserve">Cumulative commentary across the Israeli defense and security press in June 2024 and the months that followed; the Finkel reform analysis cited in 12 above and the cumulative open-source assessments across the post-October-7 period.</w:t>
      </w:r>
    </w:p>
  </w:endnote>
  <w:endnote w:id="51">
    <w:p>
      <w:pPr>
        <w:pStyle w:val="EndnoteText"/>
      </w:pPr>
      <w:r>
        <w:rPr>
          <w:rStyle w:val="EndnoteReference"/>
        </w:rPr>
        <w:endnoteRef/>
      </w:r>
      <w:r>
        <w:t xml:space="preserve"> </w:t>
      </w:r>
      <w:r>
        <w:t xml:space="preserve">Cumulative reporting across Haaretz, Ynet, and Israel Hayom in October 2023; Augustus Richard Norton, Hezbollah: A Short History, 3rd ed. (Princeton: Princeton University Press, 2018), chaps. 6–9, and the broader institutional histories of the Iranian regional posture that have appeared across the post-2020 period.</w:t>
      </w:r>
    </w:p>
  </w:endnote>
  <w:endnote w:id="52">
    <w:p>
      <w:pPr>
        <w:pStyle w:val="EndnoteText"/>
      </w:pPr>
      <w:r>
        <w:rPr>
          <w:rStyle w:val="EndnoteReference"/>
        </w:rPr>
        <w:endnoteRef/>
      </w:r>
      <w:r>
        <w:t xml:space="preserve"> </w:t>
      </w:r>
      <w:r>
        <w:t xml:space="preserve">Cumulative reporting in the Israeli defense press across the war’s first year; Norton, Hezbollah, chap. 10. See chapter 8, §8.11.</w:t>
      </w:r>
    </w:p>
  </w:endnote>
  <w:endnote w:id="53">
    <w:p>
      <w:pPr>
        <w:pStyle w:val="EndnoteText"/>
      </w:pPr>
      <w:r>
        <w:rPr>
          <w:rStyle w:val="EndnoteReference"/>
        </w:rPr>
        <w:endnoteRef/>
      </w:r>
      <w:r>
        <w:t xml:space="preserve"> </w:t>
      </w:r>
      <w:r>
        <w:t xml:space="preserve">Cumulative reporting in the Israeli political press across August and September 2024. See chapter 8, §§8.11–8.12.</w:t>
      </w:r>
    </w:p>
  </w:endnote>
  <w:endnote w:id="54">
    <w:p>
      <w:pPr>
        <w:pStyle w:val="EndnoteText"/>
      </w:pPr>
      <w:r>
        <w:rPr>
          <w:rStyle w:val="EndnoteReference"/>
        </w:rPr>
        <w:endnoteRef/>
      </w:r>
      <w:r>
        <w:t xml:space="preserve"> </w:t>
      </w:r>
      <w:r>
        <w:t xml:space="preserve">Cumulative reporting in Ynet, Haaretz, Israel Hayom, Yedioth Ahronoth, and the international press across September 2024 and the months that followed; the cumulative open-source analyses across the post-pager-operation period.</w:t>
      </w:r>
    </w:p>
  </w:endnote>
  <w:endnote w:id="55">
    <w:p>
      <w:pPr>
        <w:pStyle w:val="EndnoteText"/>
      </w:pPr>
      <w:r>
        <w:rPr>
          <w:rStyle w:val="EndnoteReference"/>
        </w:rPr>
        <w:endnoteRef/>
      </w:r>
      <w:r>
        <w:t xml:space="preserve"> </w:t>
      </w:r>
      <w:r>
        <w:t xml:space="preserve">Cumulative reporting in Ynet, Haaretz, Israel Hayom, and the international press across the September–November 2024 period; Norton, Hezbollah, chaps. 6–9; the cumulative open-source assessments across the post-ceasefire period.</w:t>
      </w:r>
    </w:p>
  </w:endnote>
  <w:endnote w:id="57">
    <w:p>
      <w:pPr>
        <w:pStyle w:val="EndnoteText"/>
      </w:pPr>
      <w:r>
        <w:rPr>
          <w:rStyle w:val="EndnoteReference"/>
        </w:rPr>
        <w:endnoteRef/>
      </w:r>
      <w:r>
        <w:t xml:space="preserve"> </w:t>
      </w:r>
      <w:r>
        <w:t xml:space="preserve">Norton, Hezbollah, chap. 1; Ronen Bergman, The Secret War with Iran: The 30-Year Clandestine Struggle against the World’s Most Dangerous Terrorist Power (New York: Free Press, 2008), chaps. 1–3; the cumulative reporting in the Israeli and international press across October 2023 – April 2024.</w:t>
      </w:r>
    </w:p>
  </w:endnote>
  <w:endnote w:id="58">
    <w:p>
      <w:pPr>
        <w:pStyle w:val="EndnoteText"/>
      </w:pPr>
      <w:r>
        <w:rPr>
          <w:rStyle w:val="EndnoteReference"/>
        </w:rPr>
        <w:endnoteRef/>
      </w:r>
      <w:r>
        <w:t xml:space="preserve"> </w:t>
      </w:r>
      <w:r>
        <w:t xml:space="preserve">Cumulative reporting in Ynet, Haaretz, Israel Hayom, and the international press across April 2024 and the months that followed; the cumulative international analyses of the period.</w:t>
      </w:r>
    </w:p>
  </w:endnote>
  <w:endnote w:id="59">
    <w:p>
      <w:pPr>
        <w:pStyle w:val="EndnoteText"/>
      </w:pPr>
      <w:r>
        <w:rPr>
          <w:rStyle w:val="EndnoteReference"/>
        </w:rPr>
        <w:endnoteRef/>
      </w:r>
      <w:r>
        <w:t xml:space="preserve"> </w:t>
      </w:r>
      <w:r>
        <w:t xml:space="preserve">Cumulative reporting in the Israeli and international press across April 2024 and the months that followed; the cumulative open-source assessments across the period.</w:t>
      </w:r>
    </w:p>
  </w:endnote>
  <w:endnote w:id="60">
    <w:p>
      <w:pPr>
        <w:pStyle w:val="EndnoteText"/>
      </w:pPr>
      <w:r>
        <w:rPr>
          <w:rStyle w:val="EndnoteReference"/>
        </w:rPr>
        <w:endnoteRef/>
      </w:r>
      <w:r>
        <w:t xml:space="preserve"> </w:t>
      </w:r>
      <w:r>
        <w:t xml:space="preserve">Cumulative reporting in Ynet, Haaretz, Israel Hayom, and the international press across October 2024 and the months that followed.</w:t>
      </w:r>
    </w:p>
  </w:endnote>
  <w:endnote w:id="61">
    <w:p>
      <w:pPr>
        <w:pStyle w:val="EndnoteText"/>
      </w:pPr>
      <w:r>
        <w:rPr>
          <w:rStyle w:val="EndnoteReference"/>
        </w:rPr>
        <w:endnoteRef/>
      </w:r>
      <w:r>
        <w:t xml:space="preserve"> </w:t>
      </w:r>
      <w:r>
        <w:t xml:space="preserve">Cumulative reporting in Ynet, Haaretz, Israel Hayom, and the international press across October–November 2024; the cumulative open-source assessments across the post-Days-of-Repentance period; the cumulative international analyses across the post-October-2024 period.</w:t>
      </w:r>
    </w:p>
  </w:endnote>
  <w:endnote w:id="62">
    <w:p>
      <w:pPr>
        <w:pStyle w:val="EndnoteText"/>
      </w:pPr>
      <w:r>
        <w:rPr>
          <w:rStyle w:val="EndnoteReference"/>
        </w:rPr>
        <w:endnoteRef/>
      </w:r>
      <w:r>
        <w:t xml:space="preserve"> </w:t>
      </w:r>
      <w:r>
        <w:t xml:space="preserve">Cumulative reporting across the Israeli and international press across the war’s three-year span; the cumulative open-source assessments across the post-October-2024 period.</w:t>
      </w:r>
    </w:p>
  </w:endnote>
  <w:endnote w:id="64">
    <w:p>
      <w:pPr>
        <w:pStyle w:val="EndnoteText"/>
      </w:pPr>
      <w:r>
        <w:rPr>
          <w:rStyle w:val="EndnoteReference"/>
        </w:rPr>
        <w:endnoteRef/>
      </w:r>
      <w:r>
        <w:t xml:space="preserve"> </w:t>
      </w:r>
      <w:r>
        <w:t xml:space="preserve">See chapters 4, 6, 7, 8, and 9.</w:t>
      </w:r>
    </w:p>
  </w:endnote>
  <w:endnote w:id="65">
    <w:p>
      <w:pPr>
        <w:pStyle w:val="EndnoteText"/>
      </w:pPr>
      <w:r>
        <w:rPr>
          <w:rStyle w:val="EndnoteReference"/>
        </w:rPr>
        <w:endnoteRef/>
      </w:r>
      <w:r>
        <w:t xml:space="preserve"> </w:t>
      </w:r>
      <w:r>
        <w:t xml:space="preserve">Cumulative reporting in the Israeli and international press across the war’s three-year span; the cumulative commentary across Haaretz, Yedioth Ahronoth, Israel Hayom, Makor Rishon, and the broader Israeli political-class press across the war’s three-year span; the Bank of Israel’s annual reports for 2024, 2025, and the partial 2026 assessment.</w:t>
      </w:r>
    </w:p>
  </w:endnote>
  <w:endnote w:id="66">
    <w:p>
      <w:pPr>
        <w:pStyle w:val="EndnoteText"/>
      </w:pPr>
      <w:r>
        <w:rPr>
          <w:rStyle w:val="EndnoteReference"/>
        </w:rPr>
        <w:endnoteRef/>
      </w:r>
      <w:r>
        <w:t xml:space="preserve"> </w:t>
      </w:r>
      <w:r>
        <w:t xml:space="preserve">Cumulative reporting across the Israeli and international press across the war’s three-year span; the IDF Spokesperson cumulative announcements and the Hostage Families Forum’s running assessments across the war’s three-year span.</w:t>
      </w:r>
    </w:p>
  </w:endnote>
  <w:endnote w:id="67">
    <w:p>
      <w:pPr>
        <w:pStyle w:val="EndnoteText"/>
      </w:pPr>
      <w:r>
        <w:rPr>
          <w:rStyle w:val="EndnoteReference"/>
        </w:rPr>
        <w:endnoteRef/>
      </w:r>
      <w:r>
        <w:t xml:space="preserve"> </w:t>
      </w:r>
      <w:r>
        <w:t xml:space="preserve">Cumulative commentary across the Israeli and international press across the war’s three-year span; the cumulative political-class commentary across Haaretz, Yedioth Ahronoth, and the Knesset’s own institutional documentation across the war’s three-year span.</w:t>
      </w:r>
    </w:p>
  </w:endnote>
  <w:endnote w:id="68">
    <w:p>
      <w:pPr>
        <w:pStyle w:val="EndnoteText"/>
      </w:pPr>
      <w:r>
        <w:rPr>
          <w:rStyle w:val="EndnoteReference"/>
        </w:rPr>
        <w:endnoteRef/>
      </w:r>
      <w:r>
        <w:t xml:space="preserve"> </w:t>
      </w:r>
      <w:r>
        <w:t xml:space="preserve">[TK — citation to be supplied]</w:t>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endnotePr>
    <w:numFmt w:val="decimal"/>
    <w:endnote w:id="-1"/>
    <w:endnote w:id="0"/>
  </w:end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EndnoteText" w:type="paragraph">
    <w:name w:val="Endnote Text"/>
    <w:basedOn w:val="Normal"/>
    <w:next w:val="End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EndnoteReference" w:type="character">
    <w:name w:val="End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endnotes" Id="rId7" Target="endnotes.xml" /><Relationship Type="http://schemas.openxmlformats.org/officeDocument/2006/relationships/comments" Id="rId8" Target="comments.xml" /></Relationships>
</file>

<file path=word/_rels/end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2026-08-10T01:56:51Z</dcterms:created>
  <dcterms:modified xsi:type="dcterms:W3CDTF">2026-08-10T01:56:51Z</dcterms:modified>
</cp:coreProperties>
</file>

<file path=docProps/custom.xml><?xml version="1.0" encoding="utf-8"?>
<Properties xmlns="http://schemas.openxmlformats.org/officeDocument/2006/custom-properties" xmlns:vt="http://schemas.openxmlformats.org/officeDocument/2006/docPropsVTypes"/>
</file>