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hapter-11-the-institutional-reckoning"/>
    <w:p>
      <w:pPr>
        <w:pStyle w:val="Heading1"/>
      </w:pPr>
      <w:r>
        <w:t xml:space="preserve">Chapter 11 — The Institutional Reckoning</w:t>
      </w:r>
    </w:p>
    <w:p>
      <w:pPr>
        <w:pStyle w:val="FirstParagraph"/>
      </w:pPr>
      <w:r>
        <w:rPr>
          <w:iCs/>
          <w:i/>
        </w:rPr>
        <w:t xml:space="preserve">The Fourth Entrepreneurial Moment and the Limits of the Entrepreneurial Frame</w:t>
      </w:r>
    </w:p>
    <w:bookmarkStart w:id="27" w:name="the-institutional-reckoning"/>
    <w:p>
      <w:pPr>
        <w:pStyle w:val="Heading2"/>
      </w:pPr>
      <w:r>
        <w:t xml:space="preserve">11.1 The Institutional Reckoning</w:t>
      </w:r>
    </w:p>
    <w:p>
      <w:pPr>
        <w:pStyle w:val="FirstParagraph"/>
      </w:pPr>
      <w:r>
        <w:t xml:space="preserve">The institutional reckoning that the State of Israel’s senior officer corps and its political class will continue to conduct across the decade that follows the war’s eventual conclusion is, in its institutional architecture, the most consequential institutional reckoning the country has conducted since the Agranat Commission’s reckoning with the institutional failure of October 1973. The reckoning’s institutional architecture, at the time of the present writing, includes multiple parallel institutional vehicles. The IDF’s internal institutional inquiries — conducted across the divisional and brigade-level commands whose institutional performance on 7 October has been the subject of internal review across the war’s three-year span — have produced, in the cumulative institutional documentation, the most extensive institutional self-assessment the IDF has conducted since the Yom Kippur War’s post-war debriefings. The State Comptroller’s institutional review of the political and senior-military decisions across the period preceding 7 October, conducted by Comptroller Matanyahu Englman under institutional pressure from the political opposition, has produced its own institutional documentation across the war’s three-year span. The political class’s own institutional reckoning — through the Knesset Foreign Affairs and Defense Committee, through the parliamentary opposition’s continuing pressure for an independent state commission of inquiry, and through the broader political-class debate the war’s three-year span has generated — has been, across the same period, the institutional reckoning the Netanyahu government has resisted at every institutional turn.</w:t>
      </w:r>
      <w:r>
        <w:rPr>
          <w:rStyle w:val="EndnoteReference"/>
        </w:rPr>
        <w:endnoteReference w:id="20"/>
      </w:r>
    </w:p>
    <w:p>
      <w:pPr>
        <w:pStyle w:val="BodyText"/>
      </w:pPr>
      <w:r>
        <w:t xml:space="preserve">The institutional resignations the reckoning has produced across the war’s three-year span have been substantial. Major General Aharon Haliva, the Director of the AMAN at the time of the 7 October breach, resigned in April 2024 — the first senior IDF officer to resign in institutional acknowledgment of personal responsibility for the institutional failure. Lieutenant General Herzi Halevi, the Chief of the General Staff at the time of the breach, announced his resignation in January 2025 with effect from March 2025, in the institutional acknowledgment that the IDF’s senior commander could not — on the institutional reading he had reached across the war’s first eighteen months — continue in the position. Major General Yaron Finkelman, the GOC of the Southern Command on the morning of the breach, resigned across the same period. The institutional sequence of resignations has been, by the institutional measure I have been able to consult, the most extensive senior-officer-corps institutional turnover the IDF has executed in the institutional aftermath of any of its previous wars.</w:t>
      </w:r>
      <w:r>
        <w:rPr>
          <w:rStyle w:val="EndnoteReference"/>
        </w:rPr>
        <w:endnoteReference w:id="21"/>
      </w:r>
    </w:p>
    <w:p>
      <w:pPr>
        <w:pStyle w:val="BodyText"/>
      </w:pPr>
      <w:r>
        <w:t xml:space="preserve">What the institutional reckoning has not yet produced — and what the political-class debate has been, across the war’s three-year span, the principal institutional contest within Israeli political society — is the institutional acknowledgment of political responsibility for the conditions the breach exposed. Prime Minister Netanyahu has, across the war’s three-year span, refused to acknowledge personal responsibility for the institutional decisions of the period preceding 7 October. The Netanyahu government’s resistance to the establishment of an independent state commission of inquiry on the institutional model the Agranat Commission of 1973 established has been, by the institutional measure of the period, the institutional decision that has defined the post-7-October political environment more than any other single institutional choice. Whether the State of Israel will, across the years that follow the present writing, conduct the kind of institutional reckoning the 1973 institutional precedent established as the canonical Israeli institutional response to military catastrophe — is the institutional question that the post-war Israeli political history will continue to engage for the decade to come.</w:t>
      </w:r>
      <w:r>
        <w:rPr>
          <w:rStyle w:val="EndnoteReference"/>
        </w:rPr>
        <w:endnoteReference w:id="22"/>
      </w:r>
    </w:p>
    <w:p>
      <w:pPr>
        <w:pStyle w:val="BodyText"/>
      </w:pPr>
      <w:r>
        <w:t xml:space="preserve">I do not propose to resolve that political question in the present book. What I propose to resolve is the narrower institutional question of what the war’s institutional reckoning has revealed about the SOF community specifically and about the institutional architecture this book has been about. The reckoning, in my reading of the institutional documentation across the war’s three-year span, has revealed three things.</w:t>
      </w:r>
    </w:p>
    <w:p>
      <w:pPr>
        <w:pStyle w:val="BodyText"/>
      </w:pPr>
      <w:r>
        <w:t xml:space="preserve">It has revealed, first, that the SOF community’s institutional resilience — its capacity to mobilize at three to four times its authorized strength within twelve hours of the morning’s breach, its capacity to absorb sustained casualty rates across the war’s seven theaters without losing operational coherence, its capacity to integrate across units in the operational sequences the Yamam-led hostage-rescue mission and the Iran strikes required — was the institutional resilience the seven decades of institutional entrepreneurship had built it to be. The institutional cost of the resilience was paid in operators killed and operators wounded across the war’s three-year span. The institutional reception of the resilience, in the Israeli public’s institutional consciousness across the war’s span, has been the institutional reception the community’s history of operational performance deserved.</w:t>
      </w:r>
      <w:r>
        <w:rPr>
          <w:rStyle w:val="EndnoteReference"/>
        </w:rPr>
        <w:endnoteReference w:id="23"/>
      </w:r>
    </w:p>
    <w:p>
      <w:pPr>
        <w:pStyle w:val="BodyText"/>
      </w:pPr>
      <w:r>
        <w:t xml:space="preserve">It has revealed, second, that the broader IDF’s institutional architecture — the conventional ground forces, the institutional command-and-control of the Gaza Division, the institutional intelligence cycle that produced the pre-7-October assessment, the institutional political-military relationship between the senior officer corps and the Netanyahu government — was institutionally inadequate to the operational requirements 7 October exposed. The institutional inadequacy was not, in any single institutional vector, the cause of the breach. The breach was institutionally over-determined: the intelligence-assessment failure, the operational deployment of forces, the command-and-control architecture, the technological dependencies, the political-strategic environment that the years preceding 7 October had constructed — all of these contributed to the operational conditions of the morning. The institutional inadequacy was the institutional inadequacy of the broader architecture of which the SOF community had been the elite tip. The SOF community could not, by itself, substitute for the broader architecture. No SOF community in any military tradition is structurally able to substitute for a broader conventional architecture whose institutional health has deteriorated. October 7 demonstrated the proposition with operational clarity.</w:t>
      </w:r>
      <w:r>
        <w:rPr>
          <w:rStyle w:val="EndnoteReference"/>
        </w:rPr>
        <w:endnoteReference w:id="24"/>
      </w:r>
    </w:p>
    <w:p>
      <w:pPr>
        <w:pStyle w:val="BodyText"/>
      </w:pPr>
      <w:r>
        <w:t xml:space="preserve">It has revealed, third, that the institutional architecture the post-Eisenkot–Kochavi reform decade had built — the integrated operational system the present book has been about, the manganon the Kochavi–Ortal article had codified, the Premier Three under their parent services, the Commando Brigade under its own command, the cyber and intelligence integration that Chapter 9 reconstructed — was the institutional architecture the war’s seven theaters were operationally fought within. The operational sequences this chapter has reconstructed across §§10.6 through 10.9 — the Gaza ground operations, Operation Arnon, the Northern Arrows and Nasrallah killing sequence, the October 2024 Iran strike — were, in their institutional architecture, the operational expression of the integrated system the reform decade had built. The system did the work it was built to do. The strategic results the war produced — Hamas substantially destroyed, Hezbollah substantially degraded, the regional axis substantially weakened, the Iranian threshold institutionally broken — were results the integrated system had been the institutional vehicle for. The seven decades of institutional entrepreneurship the present book has been about had, in the institutional measure of the war’s three-year span, produced an integrated operational system that was operationally adequate to the strategic objectives the political class had articulated.</w:t>
      </w:r>
      <w:r>
        <w:rPr>
          <w:rStyle w:val="EndnoteReference"/>
        </w:rPr>
        <w:endnoteReference w:id="25"/>
      </w:r>
    </w:p>
    <w:p>
      <w:pPr>
        <w:pStyle w:val="BodyText"/>
      </w:pPr>
      <w:r>
        <w:t xml:space="preserve">The institutional reckoning the post-war Israeli political history will continue to engage will not, on this reading, principally be a reckoning with the institutional architecture the SOF community had built. It will be a reckoning with the broader institutional architecture — the conventional ground forces, the intelligence-assessment apparatus, the political-military relationship, the strategic-political environment — within which the SOF community had been the elite operational tip. The institutional reckoning the present book has been positioned to engage is a different reckoning — the reckoning with the seven-decade arc of institutional entrepreneurship that produced the SOF community’s institutional architecture, that has been the present book’s principal subject, and that the closing section of the chapter is about to take up in retrospect.</w:t>
      </w:r>
      <w:r>
        <w:rPr>
          <w:rStyle w:val="EndnoteReference"/>
        </w:rPr>
        <w:endnoteReference w:id="26"/>
      </w:r>
    </w:p>
    <w:bookmarkEnd w:id="27"/>
    <w:bookmarkStart w:id="33" w:name="the-seven-decade-arc"/>
    <w:p>
      <w:pPr>
        <w:pStyle w:val="Heading2"/>
      </w:pPr>
      <w:r>
        <w:t xml:space="preserve">11.2 The Seven-Decade Arc</w:t>
      </w:r>
    </w:p>
    <w:p>
      <w:pPr>
        <w:pStyle w:val="FirstParagraph"/>
      </w:pPr>
      <w:r>
        <w:t xml:space="preserve">I started this book at the funeral of Yitzhak Sadeh in the cemetery at Givat Brenner on the evening of 21 August 1952. I want to close it by returning, in institutional retrospect, to the four entrepreneurial figures the book has tracked across the seventy-four years that separated Sadeh’s funeral from the institutional moment of the present writing in May 2026.</w:t>
      </w:r>
    </w:p>
    <w:p>
      <w:pPr>
        <w:pStyle w:val="BodyText"/>
      </w:pPr>
      <w:r>
        <w:t xml:space="preserve">Sadeh, in the institutional argument I have made across Chapters 1 through 4, was the entrepreneur who built the institutional logic of irregular warfare for the pre-state Jewish military tradition. The institutional vehicles he founded — the Nodedet of 1936, the FOSH companies of 1937–1939, the Palmach of May 1941 — were the institutional vehicles within which the Yishuv’s small military force absorbed the doctrinal package the British SOF establishment was building in parallel against the Axis powers across the Mediterranean theater. The institutional vehicles did not survive Sadeh’s institutional dispersal across the 1948–1952 period and the institutional dissolution Ben-Gurion ordered in November 1948. The doctrinal package the institutional vehicles had carried did survive — in the private operational memory of the dispersed Palmach veterans, in the operational tradition the IDF’s first decade attempted unsuccessfully to constitute as institutional vehicles, in the institutional template that would supply the operational foundation when the institutional moment for reconstitution finally arrived in the post-Sinai reckoning of 1957.</w:t>
      </w:r>
      <w:r>
        <w:rPr>
          <w:rStyle w:val="EndnoteReference"/>
        </w:rPr>
        <w:endnoteReference w:id="28"/>
      </w:r>
    </w:p>
    <w:p>
      <w:pPr>
        <w:pStyle w:val="BodyText"/>
      </w:pPr>
      <w:r>
        <w:t xml:space="preserve">Arnan, in the institutional argument I have made across Chapter 5 and the related sections of subsequent chapters, was the entrepreneur who built the post-1957 institutional reconstitution. The institutional vehicle he founded — Sayeret Matkal, the General Staff Reconnaissance Unit — was the institutional vehicle within which the Palmach’s wartime SOF doctrine was, after a fifteen-year institutional dormancy, reconstituted as a permanent dedicated formation within the IDF’s General Staff architecture. The institutional vehicle was, in its operational character, the institutional expression of David Stirling’s Special Air Service template — the template Cowles’s 1958 biography had codified for the post-war SOF community of every Western military and that Arnan had absorbed across his Safed apartment readings of the late 1950s. The institutional vehicle survived its founder’s tenure. The doctrinal package the institutional vehicle had been founded around — the strategic-depth reconnaissance against the surrounding Arab military deployments that the post-Tzartzar Israeli intelligence community had ceased to be able to conduct — drifted across the post-1964 Tamari succession into the broader institutional pattern of cross-border reprisal and counterterrorism the war’s longer institutional arc would settle into. The institutional vehicle, by the institutional measure of the present writing, has persisted for sixty-nine years and is the senior surviving institutional vehicle the book has tracked. The doctrinal package it had been founded around has been, across the post-1964 institutional history, partially preserved and partially supplanted.</w:t>
      </w:r>
      <w:r>
        <w:rPr>
          <w:rStyle w:val="EndnoteReference"/>
        </w:rPr>
        <w:endnoteReference w:id="29"/>
      </w:r>
    </w:p>
    <w:p>
      <w:pPr>
        <w:pStyle w:val="BodyText"/>
      </w:pPr>
      <w:r>
        <w:t xml:space="preserve">Betser, in the institutional argument I have made across Chapter 7 and the related sections of subsequent chapters, was the entrepreneur who built the post-Yom Kippur–War institutional reform. The institutional vehicle he founded — Shaldag, the IAF’s organic SOF unit — was the institutional vehicle within which the IDF’s response to the 1973 SAM crisis was operationally consolidated. The institutional vehicle was, in its operational character, the institutional expression of the integrated air-ground operational template that Betser had developed across his post-1974 institutional argument and that the IAF had absorbed across the 1980s institutional consolidation. The institutional vehicle’s operational maturation came in the Beqaa Valley operation of 9 June 1982, where the integrated template Betser had built supplied the operational architecture of the most operationally successful Israeli combined-arms operation of the post-1973 period. The institutional vehicle persisted across the post-1982 period, was institutionally integrated into the IAF’s command structure across the 1983 Air Force absorption, and has — by the institutional measure of the present writing — persisted for fifty-two years as the institutional vehicle Betser had founded. Its operational profile across the war’s three-year span has been the operational profile the integrated template had been built to execute.</w:t>
      </w:r>
      <w:r>
        <w:rPr>
          <w:rStyle w:val="EndnoteReference"/>
        </w:rPr>
        <w:endnoteReference w:id="30"/>
      </w:r>
    </w:p>
    <w:p>
      <w:pPr>
        <w:pStyle w:val="BodyText"/>
      </w:pPr>
      <w:r>
        <w:t xml:space="preserve">The fourth entrepreneurial figure — and here the institutional argument the book has been making becomes substantially more complicated — was, in my reading of the institutional history I have traced, not a single entrepreneur in the sense Sadeh, Arnan, and Betser were single entrepreneurs. The fourth entrepreneur was the institutional dyad of Gadi Eisenkot and Aviv Kochavi, working in operational succession across the period 2015 to 2021 as IDF Chiefs of the General Staff, who built the institutional integration that the post-Lebanon-II reform decade had been building toward. Eisenkot’s contribution — the consolidation of the Commando Brigade in July 2015 that brought the mid-tier units (Maglan, Duvdevan, Egoz, Rimon) under a single institutional command — was the institutional reform that produced the operational architecture across which the post-2015 SOF community would operate. Kochavi’s contribution — the Ma’aseh AMAN reform of 2011–2014 that, even before his Chief of Staff tenure, had reshaped the institutional intelligence cycle the SOF community operated within — was the institutional reform that produced the cognitive architecture across which the integrated system the present book has tracked would function. The two reforms operated, in the institutional history of the post-2015 period, as a single integrated institutional intervention. The institutional vehicle the dyad produced was, on the institutional measure of the present writing, the integrated SOF community that arrived in the Gaza envelope on the morning of 7 October 2023.</w:t>
      </w:r>
      <w:r>
        <w:rPr>
          <w:rStyle w:val="EndnoteReference"/>
        </w:rPr>
        <w:endnoteReference w:id="31"/>
      </w:r>
    </w:p>
    <w:p>
      <w:pPr>
        <w:pStyle w:val="BodyText"/>
      </w:pPr>
      <w:r>
        <w:t xml:space="preserve">I have been arguing, across the present book, that the institutional pattern these four entrepreneurial moments expressed — Sadeh, Arnan, Betser, Eisenkot–Kochavi — is the institutional pattern through which the Israeli SOF community has been built. The argument is real. The institutional vehicles the four entrepreneurial moments produced were the institutional vehicles within which the doctrinal package the wartime British SOF establishment had transmitted to the Yishuv in the 1940s was, across seventy years of institutional entrepreneurship, carried into the integrated operational system the post-Eisenkot–Kochavi decade produced. The pattern is the pattern. The doctrinal package was the doctrinal package. The institutional vehicles were the institutional vehicles.</w:t>
      </w:r>
    </w:p>
    <w:p>
      <w:pPr>
        <w:pStyle w:val="BodyText"/>
      </w:pPr>
      <w:r>
        <w:t xml:space="preserve">What the present book has also been arguing, however — and what the war’s three-year span has clarified for me as the analytical position the book has to close on — is that the entrepreneurial frame, by itself, is not sufficient as an institutional explanation of what the seven decades of institutional history have produced. The entrepreneurial moments are necessary conditions for the institutional history. They are not sufficient conditions. The entrepreneurial moments occur within institutional environments — political, strategic, doctrinal, organizational — that the entrepreneurial figures themselves can shape only at the margins. Sadeh built the Palmach because Wavell’s Cairo establishment created the institutional environment within which the Yishuv’s small military force could be authorized to constitute a strike force. Arnan built Sayeret Matkal because the post-Rotem institutional environment of 1960 created the operational condition under which the General Staff could be persuaded to authorize a small dedicated SOF formation. Betser built Shaldag because the post-Yom Kippur institutional environment of 1974 created the operational requirement for an integrated air-ground SOF capability. Eisenkot and Kochavi built the integrated system because the post-Lebanon-II institutional environment of the late 2000s created the operational requirement for the institutional integration that the Ma’aseh AMAN reform and the Commando Brigade consolidation produced.</w:t>
      </w:r>
    </w:p>
    <w:p>
      <w:pPr>
        <w:pStyle w:val="BodyText"/>
      </w:pPr>
      <w:r>
        <w:t xml:space="preserve">The entrepreneurial frame can explain the institutional vehicles the four moments produced. It cannot, by itself, explain the broader institutional environments within which the moments occurred. The broader institutional environments were the product of the political-strategic conditions of the periods I have reconstructed — and the political-strategic conditions were the product of the much broader historical forces that the institutional history of the State of Israel has been continuously engaged with across its eight decades. The Cold War. The decolonization of the British Empire. The post-1967 territorial expansion. The Camp David peace process. The end of the Cold War. The post-Cold War regional restructuring. The American-led wars in Iraq and Afghanistan. The Arab uprisings of 2010–2011. The Iranian nuclear program. The Iranian–Saudi regional rivalry. The Abraham Accords. The Hamas operational planning that culminated on 7 October 2023. The institutional historiography of the State of Israel will continue to engage these broader forces for the decade and the century to come.</w:t>
      </w:r>
    </w:p>
    <w:p>
      <w:pPr>
        <w:pStyle w:val="BodyText"/>
      </w:pPr>
      <w:r>
        <w:t xml:space="preserve">The institutional argument I have made in the present book — that the institutional pattern of entrepreneurial moments operating within broader political-strategic environments is the pattern through which the Israeli SOF community has been built — is, on the institutional reading I have reached across the writing of the book, the analytical position the institutional history supports. The pattern is the pattern. The entrepreneurial figures are the entrepreneurial figures. The institutional vehicles are the institutional vehicles. The doctrinal package the institutional vehicles have carried across seven decades is the doctrinal package the wartime British SOF establishment transmitted to the Yishuv in the 1940s. The State of Israel’s institutional position in the regional security architecture as of the present writing in the closing days of May 2026 is the institutional position the seven decades of institutional entrepreneurship have produced. The capacity that October 7 tested was the capacity the seven decades had built. The capacity proved, in the institutional measure of the war’s three-year span, adequate to the strategic objectives the political class had articulated.</w:t>
      </w:r>
    </w:p>
    <w:p>
      <w:pPr>
        <w:pStyle w:val="BodyText"/>
      </w:pPr>
      <w:r>
        <w:t xml:space="preserve">What it could not do — what no institutional architecture, however adequately built, is structurally able to do — was substitute for the broader political and strategic judgment of the country’s political class. The institutional architecture is a tool. It is, in the most direct possible sense, a tool the political class operates. Whether the political class operates the tool wisely is a question the present book is not positioned to resolve. It is the question the institutional historiography of the post-7-October period will engage for the decade to come, in the political debates the war’s three-year span has set in motion within Israeli political society and that will continue, for as long as the institutional memory of the period persists, to define the country’s political life.</w:t>
      </w:r>
    </w:p>
    <w:p>
      <w:pPr>
        <w:pStyle w:val="BodyText"/>
      </w:pPr>
      <w:r>
        <w:t xml:space="preserve">I started the book at Sadeh’s funeral. I will close it at the moment of the present writing: with the war still ongoing across multiple theaters, with the institutional reckoning still in its opening stages, with the political class’s institutional disposition still in dispute. The capacity the seven decades have built is the capacity the country has available. The institutional question that remains — the question the present book has been about, the question the institutional history of the State of Israel will continue to engage — is the question of what the country chooses to do with what the seven decades have produced.</w:t>
      </w:r>
      <w:r>
        <w:rPr>
          <w:rStyle w:val="EndnoteReference"/>
        </w:rPr>
        <w:endnoteReference w:id="32"/>
      </w:r>
    </w:p>
    <w:bookmarkEnd w:id="33"/>
    <w:bookmarkStart w:id="34" w:name="notes"/>
    <w:p>
      <w:pPr>
        <w:pStyle w:val="Heading2"/>
      </w:pPr>
      <w:r>
        <w:t xml:space="preserve">Notes</w:t>
      </w:r>
    </w:p>
    <w:bookmarkEnd w:id="34"/>
    <w:bookmarkEnd w:id="35"/>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Cumulative reporting and commentary across the Israeli press across the war’s three-year span; the State Comptroller’s preliminary report on the institutional decisions of the period preceding 7 October, published in stages across 2024 and 2025; the cumulative political commentary across Haaretz and Yedioth Ahronoth across the war’s three-year span.</w:t>
      </w:r>
    </w:p>
  </w:endnote>
  <w:endnote w:id="21">
    <w:p>
      <w:pPr>
        <w:pStyle w:val="EndnoteText"/>
      </w:pPr>
      <w:r>
        <w:rPr>
          <w:rStyle w:val="EndnoteReference"/>
        </w:rPr>
        <w:endnoteRef/>
      </w:r>
      <w:r>
        <w:t xml:space="preserve"> </w:t>
      </w:r>
      <w:r>
        <w:t xml:space="preserve">Cumulative reporting in the Israeli press across 2024 and 2025; the institutional documentation of the 1973–1974 period and the comparative analyses across the post-7-October period.</w:t>
      </w:r>
    </w:p>
  </w:endnote>
  <w:endnote w:id="22">
    <w:p>
      <w:pPr>
        <w:pStyle w:val="EndnoteText"/>
      </w:pPr>
      <w:r>
        <w:rPr>
          <w:rStyle w:val="EndnoteReference"/>
        </w:rPr>
        <w:endnoteRef/>
      </w:r>
      <w:r>
        <w:t xml:space="preserve"> </w:t>
      </w:r>
      <w:r>
        <w:t xml:space="preserve">Cumulative political commentary across the Israeli press across the war’s three-year span.</w:t>
      </w:r>
    </w:p>
  </w:endnote>
  <w:endnote w:id="23">
    <w:p>
      <w:pPr>
        <w:pStyle w:val="EndnoteText"/>
      </w:pPr>
      <w:r>
        <w:rPr>
          <w:rStyle w:val="EndnoteReference"/>
        </w:rPr>
        <w:endnoteRef/>
      </w:r>
      <w:r>
        <w:t xml:space="preserve"> </w:t>
      </w:r>
      <w:r>
        <w:t xml:space="preserve">The cumulative IDF Spokesperson casualty announcements; the cumulative commentary in Yedioth Ahronoth’s magazine 7 Yamim, the Bamahane weekly, and the broader Israeli defense press across the war’s three-year span. See §§10.3 and 10.5.</w:t>
      </w:r>
    </w:p>
  </w:endnote>
  <w:endnote w:id="24">
    <w:p>
      <w:pPr>
        <w:pStyle w:val="EndnoteText"/>
      </w:pPr>
      <w:r>
        <w:rPr>
          <w:rStyle w:val="EndnoteReference"/>
        </w:rPr>
        <w:endnoteRef/>
      </w:r>
      <w:r>
        <w:t xml:space="preserve"> </w:t>
      </w:r>
      <w:r>
        <w:t xml:space="preserve">Brigadier (ret.) Dr. Meir Finkel’s post-Iron-Swords reform analysis, and the broader institutional analyses across the post-7-October period in Haaretz, Yedioth Ahronoth, Israel Hayom, and the IDF’s own institutional inquiry documentation; Eliot Cohen and John Gooch, Military Misfortunes: The Anatomy of Failure in War (New York: Free Press, 1990).</w:t>
      </w:r>
    </w:p>
  </w:endnote>
  <w:endnote w:id="25">
    <w:p>
      <w:pPr>
        <w:pStyle w:val="EndnoteText"/>
      </w:pPr>
      <w:r>
        <w:rPr>
          <w:rStyle w:val="EndnoteReference"/>
        </w:rPr>
        <w:endnoteRef/>
      </w:r>
      <w:r>
        <w:t xml:space="preserve"> </w:t>
      </w:r>
      <w:r>
        <w:t xml:space="preserve">See §§10.6 through 10.9; chapter 9, §§9.10–9.13.</w:t>
      </w:r>
    </w:p>
  </w:endnote>
  <w:endnote w:id="26">
    <w:p>
      <w:pPr>
        <w:pStyle w:val="EndnoteText"/>
      </w:pPr>
      <w:r>
        <w:rPr>
          <w:rStyle w:val="EndnoteReference"/>
        </w:rPr>
        <w:endnoteRef/>
      </w:r>
      <w:r>
        <w:t xml:space="preserve"> </w:t>
      </w:r>
      <w:r>
        <w:t xml:space="preserve">[TK — citation to be supplied]</w:t>
      </w:r>
    </w:p>
  </w:endnote>
  <w:endnote w:id="28">
    <w:p>
      <w:pPr>
        <w:pStyle w:val="EndnoteText"/>
      </w:pPr>
      <w:r>
        <w:rPr>
          <w:rStyle w:val="EndnoteReference"/>
        </w:rPr>
        <w:endnoteRef/>
      </w:r>
      <w:r>
        <w:t xml:space="preserve"> </w:t>
      </w:r>
      <w:r>
        <w:t xml:space="preserve">See chapters 1 through 4; the Prologue to chapter 5; chapter 4, §§4.7–4.8; chapter 5, §§5.1–5.4.</w:t>
      </w:r>
    </w:p>
  </w:endnote>
  <w:endnote w:id="29">
    <w:p>
      <w:pPr>
        <w:pStyle w:val="EndnoteText"/>
      </w:pPr>
      <w:r>
        <w:rPr>
          <w:rStyle w:val="EndnoteReference"/>
        </w:rPr>
        <w:endnoteRef/>
      </w:r>
      <w:r>
        <w:t xml:space="preserve"> </w:t>
      </w:r>
      <w:r>
        <w:t xml:space="preserve">The institutional documentation across the post-1957 period. See chapter 5; chapter 5, §§5.9 through 5.12; chapters 6 and 7.</w:t>
      </w:r>
    </w:p>
  </w:endnote>
  <w:endnote w:id="30">
    <w:p>
      <w:pPr>
        <w:pStyle w:val="EndnoteText"/>
      </w:pPr>
      <w:r>
        <w:rPr>
          <w:rStyle w:val="EndnoteReference"/>
        </w:rPr>
        <w:endnoteRef/>
      </w:r>
      <w:r>
        <w:t xml:space="preserve"> </w:t>
      </w:r>
      <w:r>
        <w:t xml:space="preserve">See chapter 7; chapter 8, §8.1; chapter 7, §§7.11 through 7.14.</w:t>
      </w:r>
    </w:p>
  </w:endnote>
  <w:endnote w:id="31">
    <w:p>
      <w:pPr>
        <w:pStyle w:val="EndnoteText"/>
      </w:pPr>
      <w:r>
        <w:rPr>
          <w:rStyle w:val="EndnoteReference"/>
        </w:rPr>
        <w:endnoteRef/>
      </w:r>
      <w:r>
        <w:t xml:space="preserve"> </w:t>
      </w:r>
      <w:r>
        <w:t xml:space="preserve">The institutional documentation across the post-2015 period. See chapter 9, §§9.10 through 9.13.</w:t>
      </w:r>
    </w:p>
  </w:endnote>
  <w:endnote w:id="32">
    <w:p>
      <w:pPr>
        <w:pStyle w:val="EndnoteText"/>
      </w:pPr>
      <w:r>
        <w:rPr>
          <w:rStyle w:val="EndnoteReference"/>
        </w:rPr>
        <w:endnoteRef/>
      </w:r>
      <w:r>
        <w:t xml:space="preserve"> </w:t>
      </w:r>
      <w:r>
        <w:t xml:space="preserve">Paul Pierson, Politics in Time: History, Institutions, and Social Analysis (Princeton: Princeton University Press, 2004); Kathleen Thelen, How Institutions Evolve: The Political Economy of Skills in Germany, Britain, the United States, and Japan (Cambridge: Cambridge University Press, 2004); Giovanni Capoccia and R. Daniel Kelemen,</w:t>
      </w:r>
      <w:r>
        <w:t xml:space="preserve"> </w:t>
      </w:r>
      <w:r>
        <w:t xml:space="preserve">“</w:t>
      </w:r>
      <w:r>
        <w:t xml:space="preserve">The Study of Critical Junctures: Theory, Narrative, and Counterfactuals in Historical Institutionalism,</w:t>
      </w:r>
      <w:r>
        <w:t xml:space="preserve">”</w:t>
      </w:r>
      <w:r>
        <w:t xml:space="preserve"> </w:t>
      </w:r>
      <w:r>
        <w:t xml:space="preserve">World Politics 59, no. 3 (April 2007): 341–69; and the broader historical-institutionalist literature on the institutional patterns the present book has been engaging across the seven-decade arc.</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2026-08-10T01:56:51Z</dcterms:created>
  <dcterms:modified xsi:type="dcterms:W3CDTF">2026-08-10T01:56:51Z</dcterms:modified>
</cp:coreProperties>
</file>

<file path=docProps/custom.xml><?xml version="1.0" encoding="utf-8"?>
<Properties xmlns="http://schemas.openxmlformats.org/officeDocument/2006/custom-properties" xmlns:vt="http://schemas.openxmlformats.org/officeDocument/2006/docPropsVTypes"/>
</file>