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11BC4" w14:textId="77777777" w:rsidR="00DA44D0" w:rsidRPr="00DA44D0" w:rsidRDefault="00DA44D0" w:rsidP="00DA44D0">
      <w:pPr>
        <w:tabs>
          <w:tab w:val="num" w:pos="720"/>
        </w:tabs>
        <w:spacing w:before="100" w:beforeAutospacing="1" w:after="100" w:afterAutospacing="1"/>
        <w:ind w:left="720" w:hanging="360"/>
        <w:rPr>
          <w:b/>
          <w:bCs/>
        </w:rPr>
      </w:pPr>
      <w:r w:rsidRPr="00DA44D0">
        <w:rPr>
          <w:b/>
          <w:bCs/>
        </w:rPr>
        <w:t>Introduction: we will introduce factual elements of the settlements’ project: </w:t>
      </w:r>
    </w:p>
    <w:p w14:paraId="6D92FC47" w14:textId="77777777" w:rsidR="00DA44D0" w:rsidRPr="00DA44D0" w:rsidRDefault="00DA44D0" w:rsidP="003C1AEC">
      <w:pPr>
        <w:pStyle w:val="ListParagraph"/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</w:pPr>
      <w:r w:rsidRPr="00DA44D0">
        <w:t>The project is successful in terms of 3 major metrics: population size, political legitimacy and geographical dispersion:</w:t>
      </w:r>
    </w:p>
    <w:p w14:paraId="3AE513F9" w14:textId="335815CB" w:rsidR="00DA44D0" w:rsidRPr="00DA44D0" w:rsidRDefault="00DA44D0" w:rsidP="003C1AEC">
      <w:pPr>
        <w:pStyle w:val="ListParagraph"/>
        <w:numPr>
          <w:ilvl w:val="1"/>
          <w:numId w:val="10"/>
        </w:numPr>
        <w:tabs>
          <w:tab w:val="num" w:pos="720"/>
        </w:tabs>
        <w:spacing w:before="100" w:beforeAutospacing="1" w:after="100" w:afterAutospacing="1"/>
      </w:pPr>
      <w:r w:rsidRPr="00DA44D0">
        <w:t>Increase in population, regardless of the political context (ruling party, composition of the coalition).</w:t>
      </w:r>
    </w:p>
    <w:p w14:paraId="013C0BC1" w14:textId="77EC39FF" w:rsidR="00DA44D0" w:rsidRPr="00DA44D0" w:rsidRDefault="00DA44D0" w:rsidP="003C1AEC">
      <w:pPr>
        <w:pStyle w:val="ListParagraph"/>
        <w:numPr>
          <w:ilvl w:val="1"/>
          <w:numId w:val="10"/>
        </w:numPr>
        <w:tabs>
          <w:tab w:val="num" w:pos="720"/>
        </w:tabs>
        <w:spacing w:before="100" w:beforeAutospacing="1" w:after="100" w:afterAutospacing="1"/>
      </w:pPr>
      <w:r w:rsidRPr="00DA44D0">
        <w:t>The increase is mainly a result of the increase of specific communities of settlers (Ultra-Orthodox, etc.).</w:t>
      </w:r>
    </w:p>
    <w:p w14:paraId="19FC89A8" w14:textId="60940952" w:rsidR="00687617" w:rsidRDefault="00DA44D0" w:rsidP="003C1AEC">
      <w:pPr>
        <w:pStyle w:val="ListParagraph"/>
        <w:numPr>
          <w:ilvl w:val="1"/>
          <w:numId w:val="10"/>
        </w:numPr>
        <w:tabs>
          <w:tab w:val="num" w:pos="720"/>
        </w:tabs>
        <w:spacing w:before="100" w:beforeAutospacing="1" w:after="100" w:afterAutospacing="1"/>
      </w:pPr>
      <w:r w:rsidRPr="00DA44D0">
        <w:t>Geographical dispersion.</w:t>
      </w:r>
    </w:p>
    <w:p w14:paraId="45F1B001" w14:textId="77777777" w:rsidR="003C1AEC" w:rsidRDefault="00687617" w:rsidP="003C1AEC">
      <w:pPr>
        <w:pStyle w:val="ListParagraph"/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</w:pPr>
      <w:r w:rsidRPr="00687617">
        <w:t>While each one of these explanations is partially correct, there are further political dynamics which tied all these factors and allow their effective exploitation by the Settlers’ movement. </w:t>
      </w:r>
    </w:p>
    <w:p w14:paraId="63E5DB9E" w14:textId="77777777" w:rsidR="003C1AEC" w:rsidRPr="003C1AEC" w:rsidRDefault="00687617" w:rsidP="003C1AEC">
      <w:pPr>
        <w:pStyle w:val="ListParagraph"/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</w:pPr>
      <w:r w:rsidRPr="003C1AEC">
        <w:rPr>
          <w:b/>
          <w:bCs/>
        </w:rPr>
        <w:t xml:space="preserve">The maximization of the potential of effective branding and framing </w:t>
      </w:r>
      <w:r w:rsidRPr="00687617">
        <w:t xml:space="preserve">(Zionist ethos of territorial expansion via illegal mechanisms, security, </w:t>
      </w:r>
      <w:proofErr w:type="gramStart"/>
      <w:r w:rsidRPr="00687617">
        <w:t>Jerusalem,  primordial</w:t>
      </w:r>
      <w:proofErr w:type="gramEnd"/>
      <w:r w:rsidRPr="00687617">
        <w:t xml:space="preserve"> conflict)</w:t>
      </w:r>
      <w:r w:rsidRPr="003C1AEC">
        <w:rPr>
          <w:b/>
          <w:bCs/>
        </w:rPr>
        <w:t xml:space="preserve"> combined with the formulation of policy networks, facilitate the success of the project. Specific examples will be provided.</w:t>
      </w:r>
    </w:p>
    <w:p w14:paraId="1E34BEB4" w14:textId="7CE12218" w:rsidR="00687617" w:rsidRPr="00687617" w:rsidRDefault="00687617" w:rsidP="003C1AEC">
      <w:pPr>
        <w:pStyle w:val="ListParagraph"/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</w:pPr>
      <w:r w:rsidRPr="00687617">
        <w:t>Conclusions.  </w:t>
      </w:r>
    </w:p>
    <w:p w14:paraId="071AD3F8" w14:textId="77777777" w:rsidR="00320C9C" w:rsidRDefault="00687617" w:rsidP="003C1AEC">
      <w:pPr>
        <w:ind w:left="36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0F73FB99" wp14:editId="0E7D4078">
            <wp:extent cx="3995225" cy="2574388"/>
            <wp:effectExtent l="0" t="0" r="18415" b="1651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DD27F8B" w14:textId="003EDFC2" w:rsidR="00687617" w:rsidRDefault="00687617" w:rsidP="00320C9C">
      <w:pPr>
        <w:ind w:left="360"/>
      </w:pPr>
      <w:r>
        <w:rPr>
          <w:noProof/>
        </w:rPr>
        <w:lastRenderedPageBreak/>
        <w:drawing>
          <wp:inline distT="0" distB="0" distL="0" distR="0" wp14:anchorId="499E919A" wp14:editId="071AABC6">
            <wp:extent cx="4994031" cy="3017520"/>
            <wp:effectExtent l="0" t="0" r="10160" b="1778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79BABD9" w14:textId="70DAEE80" w:rsidR="00DA44D0" w:rsidRPr="00DA44D0" w:rsidRDefault="00DA44D0" w:rsidP="00DA44D0">
      <w:pPr>
        <w:tabs>
          <w:tab w:val="num" w:pos="720"/>
        </w:tabs>
        <w:spacing w:before="100" w:beforeAutospacing="1" w:after="100" w:afterAutospacing="1"/>
        <w:ind w:left="720" w:hanging="360"/>
      </w:pPr>
      <w:r w:rsidRPr="00DA44D0">
        <w:t xml:space="preserve">  </w:t>
      </w:r>
    </w:p>
    <w:p w14:paraId="1D300C4B" w14:textId="77777777" w:rsidR="00DA44D0" w:rsidRDefault="00DA44D0" w:rsidP="00C06387">
      <w:pPr>
        <w:tabs>
          <w:tab w:val="num" w:pos="720"/>
        </w:tabs>
        <w:spacing w:before="100" w:beforeAutospacing="1" w:after="100" w:afterAutospacing="1"/>
        <w:ind w:left="720" w:hanging="360"/>
      </w:pPr>
    </w:p>
    <w:p w14:paraId="0B7C46A5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‘Territorial Zionism’ a measure to set facts on the ground and provide a layer of defense for the heartland during the formative decades of the Jewish immigration to Palestine (1880-1948) For example </w:t>
      </w:r>
      <w:r w:rsidRPr="00C06387">
        <w:rPr>
          <w:rFonts w:eastAsia="Times New Roman" w:cstheme="minorHAnsi"/>
          <w:b/>
          <w:bCs/>
        </w:rPr>
        <w:t>Tower and Stockade</w:t>
      </w:r>
      <w:r w:rsidRPr="00C06387">
        <w:rPr>
          <w:rFonts w:eastAsia="Times New Roman" w:cstheme="minorHAnsi"/>
        </w:rPr>
        <w:t xml:space="preserve"> and </w:t>
      </w:r>
      <w:r w:rsidRPr="00C06387">
        <w:rPr>
          <w:rFonts w:eastAsia="Times New Roman" w:cstheme="minorHAnsi"/>
          <w:b/>
          <w:bCs/>
        </w:rPr>
        <w:t>Plan D</w:t>
      </w:r>
      <w:r w:rsidRPr="00C06387">
        <w:rPr>
          <w:rFonts w:eastAsia="Times New Roman" w:cstheme="minorHAnsi"/>
        </w:rPr>
        <w:t>.</w:t>
      </w:r>
    </w:p>
    <w:p w14:paraId="39AED69F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The first two decades of Israel as a sovereign state (1948-1967) </w:t>
      </w:r>
      <w:r w:rsidRPr="00C06387">
        <w:rPr>
          <w:rFonts w:eastAsia="Times New Roman" w:cstheme="minorHAnsi"/>
          <w:b/>
          <w:bCs/>
        </w:rPr>
        <w:t>Development Towns</w:t>
      </w:r>
      <w:r w:rsidRPr="00C06387">
        <w:rPr>
          <w:rFonts w:eastAsia="Times New Roman" w:cstheme="minorHAnsi"/>
        </w:rPr>
        <w:t>.</w:t>
      </w:r>
    </w:p>
    <w:p w14:paraId="036C71D3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We will then move to the critical juncture of 1967. </w:t>
      </w:r>
    </w:p>
    <w:p w14:paraId="725759E1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We will maintain that between 1967 and 1977, the Labor party applied its old notion of ‘Territorial Zionism’, mostly through the framework of the </w:t>
      </w:r>
      <w:proofErr w:type="spellStart"/>
      <w:r w:rsidRPr="00C06387">
        <w:rPr>
          <w:rFonts w:eastAsia="Times New Roman" w:cstheme="minorHAnsi"/>
        </w:rPr>
        <w:t>Allon</w:t>
      </w:r>
      <w:proofErr w:type="spellEnd"/>
      <w:r w:rsidRPr="00C06387">
        <w:rPr>
          <w:rFonts w:eastAsia="Times New Roman" w:cstheme="minorHAnsi"/>
        </w:rPr>
        <w:t xml:space="preserve"> Plan - </w:t>
      </w:r>
      <w:proofErr w:type="spellStart"/>
      <w:r w:rsidRPr="00C06387">
        <w:rPr>
          <w:rFonts w:eastAsia="Times New Roman" w:cstheme="minorHAnsi"/>
        </w:rPr>
        <w:t>settlments</w:t>
      </w:r>
      <w:proofErr w:type="spellEnd"/>
      <w:r w:rsidRPr="00C06387">
        <w:rPr>
          <w:rFonts w:eastAsia="Times New Roman" w:cstheme="minorHAnsi"/>
        </w:rPr>
        <w:t xml:space="preserve"> in periphery</w:t>
      </w:r>
    </w:p>
    <w:p w14:paraId="1C200FB7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By the mid 1970s The Zionist Religious political camp had set Israel’s territorial policies on a new path. We will argue that despite the changing ideological pretext, settling patterns in the post-1967 era represent continuity rather than change. </w:t>
      </w:r>
    </w:p>
    <w:p w14:paraId="1507A671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Finally, by comparing six clusters of settlements (see table) we will underscore and explain the successes and failures of the Territorial Zionist effort over the last half century.  </w:t>
      </w:r>
    </w:p>
    <w:p w14:paraId="6188F10D" w14:textId="3C71573E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It is important to remind ourselves that despite our focus on the West Bank and Jerusalem, </w:t>
      </w:r>
      <w:r w:rsidR="003C1AEC" w:rsidRPr="00C06387">
        <w:rPr>
          <w:rFonts w:eastAsia="Times New Roman" w:cstheme="minorHAnsi"/>
        </w:rPr>
        <w:t>Israel</w:t>
      </w:r>
      <w:r w:rsidRPr="00C06387">
        <w:rPr>
          <w:rFonts w:eastAsia="Times New Roman" w:cstheme="minorHAnsi"/>
        </w:rPr>
        <w:t xml:space="preserve"> had actually </w:t>
      </w:r>
      <w:r w:rsidR="003C1AEC" w:rsidRPr="00C06387">
        <w:rPr>
          <w:rFonts w:eastAsia="Times New Roman" w:cstheme="minorHAnsi"/>
        </w:rPr>
        <w:t>followed</w:t>
      </w:r>
      <w:r w:rsidRPr="00C06387">
        <w:rPr>
          <w:rFonts w:eastAsia="Times New Roman" w:cstheme="minorHAnsi"/>
        </w:rPr>
        <w:t xml:space="preserve"> the logic of </w:t>
      </w:r>
      <w:proofErr w:type="spellStart"/>
      <w:r w:rsidRPr="00C06387">
        <w:rPr>
          <w:rFonts w:eastAsia="Times New Roman" w:cstheme="minorHAnsi"/>
        </w:rPr>
        <w:t>Allon</w:t>
      </w:r>
      <w:r w:rsidR="003C1AEC">
        <w:rPr>
          <w:rFonts w:eastAsia="Times New Roman" w:cstheme="minorHAnsi"/>
        </w:rPr>
        <w:t>’</w:t>
      </w:r>
      <w:r w:rsidRPr="00C06387">
        <w:rPr>
          <w:rFonts w:eastAsia="Times New Roman" w:cstheme="minorHAnsi"/>
        </w:rPr>
        <w:t>s</w:t>
      </w:r>
      <w:proofErr w:type="spellEnd"/>
      <w:r w:rsidRPr="00C06387">
        <w:rPr>
          <w:rFonts w:eastAsia="Times New Roman" w:cstheme="minorHAnsi"/>
        </w:rPr>
        <w:t xml:space="preserve"> plan and begun its settling efforts in the Golan Heights, Jordan Valley, Sinai Peninsula and Gaza Strip. </w:t>
      </w:r>
    </w:p>
    <w:p w14:paraId="5D945BCF" w14:textId="77777777" w:rsidR="00C06387" w:rsidRPr="00C06387" w:rsidRDefault="00C06387" w:rsidP="00C0638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Lastly, by zooming in on the territorial-theological nexus in Jerusalem, I will expand my argument. I will show that rather than influencing Israel’s territorial outlook, Jewish theology has been transforming as a result of territorial changes.</w:t>
      </w:r>
    </w:p>
    <w:p w14:paraId="1F92F71B" w14:textId="77777777" w:rsidR="00C06387" w:rsidRPr="00C06387" w:rsidRDefault="00C06387" w:rsidP="00C06387">
      <w:pPr>
        <w:rPr>
          <w:rFonts w:eastAsia="Times New Roman" w:cstheme="minorHAnsi"/>
        </w:rPr>
      </w:pPr>
    </w:p>
    <w:p w14:paraId="641E97A8" w14:textId="77777777" w:rsidR="00C06387" w:rsidRPr="00C06387" w:rsidRDefault="00C06387" w:rsidP="00C06387">
      <w:pPr>
        <w:rPr>
          <w:rFonts w:eastAsia="Times New Roman" w:cstheme="minorHAnsi"/>
        </w:rPr>
      </w:pPr>
      <w:r w:rsidRPr="00C06387">
        <w:rPr>
          <w:rFonts w:eastAsia="Times New Roman" w:cstheme="minorHAnsi"/>
        </w:rPr>
        <w:t>Table of population. 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5961"/>
      </w:tblGrid>
      <w:tr w:rsidR="00C06387" w:rsidRPr="00C06387" w14:paraId="5D547682" w14:textId="77777777" w:rsidTr="00C06387">
        <w:trPr>
          <w:tblCellSpacing w:w="15" w:type="dxa"/>
        </w:trPr>
        <w:tc>
          <w:tcPr>
            <w:tcW w:w="3870" w:type="dxa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CE180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lastRenderedPageBreak/>
              <w:t>Area</w:t>
            </w:r>
          </w:p>
        </w:tc>
        <w:tc>
          <w:tcPr>
            <w:tcW w:w="7050" w:type="dxa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39A54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Population</w:t>
            </w:r>
          </w:p>
        </w:tc>
      </w:tr>
      <w:tr w:rsidR="00C06387" w:rsidRPr="00C06387" w14:paraId="61DB85EB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34BF2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Gaza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539E9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8600</w:t>
            </w:r>
          </w:p>
        </w:tc>
      </w:tr>
      <w:tr w:rsidR="00C06387" w:rsidRPr="00C06387" w14:paraId="3955E693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D8653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Sinai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704F4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5000</w:t>
            </w:r>
          </w:p>
        </w:tc>
      </w:tr>
      <w:tr w:rsidR="00C06387" w:rsidRPr="00C06387" w14:paraId="123D81E8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B5864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Jordan Valley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AB6A4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5500</w:t>
            </w:r>
          </w:p>
        </w:tc>
      </w:tr>
      <w:tr w:rsidR="00C06387" w:rsidRPr="00C06387" w14:paraId="10A1C2F1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D49F7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Golan Heights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FB7AC5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20000</w:t>
            </w:r>
          </w:p>
        </w:tc>
      </w:tr>
      <w:tr w:rsidR="00C06387" w:rsidRPr="00C06387" w14:paraId="06AEABF9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C05644" w14:textId="30315D74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West Bank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A49D0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421400</w:t>
            </w:r>
          </w:p>
        </w:tc>
      </w:tr>
      <w:tr w:rsidR="00C06387" w:rsidRPr="00C06387" w14:paraId="6E6E2C7D" w14:textId="77777777" w:rsidTr="00C06387">
        <w:trPr>
          <w:tblCellSpacing w:w="15" w:type="dxa"/>
        </w:trPr>
        <w:tc>
          <w:tcPr>
            <w:tcW w:w="3870" w:type="dxa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082939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East Jerusalem</w:t>
            </w:r>
          </w:p>
        </w:tc>
        <w:tc>
          <w:tcPr>
            <w:tcW w:w="7050" w:type="dxa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271A2" w14:textId="77777777" w:rsidR="00C06387" w:rsidRPr="00C06387" w:rsidRDefault="00C06387" w:rsidP="00C06387">
            <w:pPr>
              <w:rPr>
                <w:rFonts w:eastAsia="Times New Roman" w:cstheme="minorHAnsi"/>
              </w:rPr>
            </w:pPr>
            <w:r w:rsidRPr="00C06387">
              <w:rPr>
                <w:rFonts w:eastAsia="Times New Roman" w:cstheme="minorHAnsi"/>
              </w:rPr>
              <w:t>375000</w:t>
            </w:r>
          </w:p>
        </w:tc>
      </w:tr>
    </w:tbl>
    <w:p w14:paraId="13ADB30B" w14:textId="77777777" w:rsidR="00C06387" w:rsidRPr="00C06387" w:rsidRDefault="00C06387" w:rsidP="00C06387">
      <w:pPr>
        <w:rPr>
          <w:rFonts w:ascii="Times New Roman" w:eastAsia="Times New Roman" w:hAnsi="Times New Roman" w:cs="Times New Roman"/>
        </w:rPr>
      </w:pPr>
    </w:p>
    <w:p w14:paraId="09BA7BC0" w14:textId="43EA64A9" w:rsidR="00C06387" w:rsidRPr="00C06387" w:rsidRDefault="00C06387" w:rsidP="00C063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Is the </w:t>
      </w:r>
      <w:r w:rsidR="003C1AEC" w:rsidRPr="003C1AEC">
        <w:rPr>
          <w:rFonts w:eastAsia="Times New Roman" w:cstheme="minorHAnsi"/>
        </w:rPr>
        <w:t>two-state</w:t>
      </w:r>
      <w:r w:rsidRPr="00C06387">
        <w:rPr>
          <w:rFonts w:eastAsia="Times New Roman" w:cstheme="minorHAnsi"/>
        </w:rPr>
        <w:t xml:space="preserve"> solution still viable?</w:t>
      </w:r>
    </w:p>
    <w:p w14:paraId="522A248E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Was it ever viable?</w:t>
      </w:r>
    </w:p>
    <w:p w14:paraId="35C93114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  <w:b/>
          <w:bCs/>
        </w:rPr>
        <w:t>Map of Israel and the territories that it occupied in 1967. </w:t>
      </w:r>
    </w:p>
    <w:p w14:paraId="026CAFC6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Maps of settlements in the Golan Heights. </w:t>
      </w:r>
    </w:p>
    <w:p w14:paraId="1E9FFACD" w14:textId="56E638A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Jordan </w:t>
      </w:r>
      <w:r w:rsidR="005F4377" w:rsidRPr="00C06387">
        <w:rPr>
          <w:rFonts w:eastAsia="Times New Roman" w:cstheme="minorHAnsi"/>
        </w:rPr>
        <w:t>Valley</w:t>
      </w:r>
      <w:r w:rsidRPr="00C06387">
        <w:rPr>
          <w:rFonts w:eastAsia="Times New Roman" w:cstheme="minorHAnsi"/>
        </w:rPr>
        <w:t>. </w:t>
      </w:r>
    </w:p>
    <w:p w14:paraId="7A6542F8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Sinai and Gaza. </w:t>
      </w:r>
    </w:p>
    <w:p w14:paraId="6140435D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This has been the path that led to nowhere since 1993. </w:t>
      </w:r>
    </w:p>
    <w:p w14:paraId="7965330E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Why are we sticking to a path that has not yielded the expected results?</w:t>
      </w:r>
    </w:p>
    <w:p w14:paraId="3A648BFC" w14:textId="788979BE" w:rsidR="00C06387" w:rsidRPr="00C06387" w:rsidRDefault="003C1AEC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Have</w:t>
      </w:r>
      <w:r w:rsidR="00C06387" w:rsidRPr="00C06387">
        <w:rPr>
          <w:rFonts w:eastAsia="Times New Roman" w:cstheme="minorHAnsi"/>
        </w:rPr>
        <w:t xml:space="preserve"> the geographic, demographic and political situations been frozen? </w:t>
      </w:r>
    </w:p>
    <w:p w14:paraId="3E5B0B9A" w14:textId="038A53D3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expansion of the settlements</w:t>
      </w:r>
      <w:r w:rsidR="003C1AEC">
        <w:rPr>
          <w:rFonts w:eastAsia="Times New Roman" w:cstheme="minorHAnsi"/>
        </w:rPr>
        <w:t>.</w:t>
      </w:r>
    </w:p>
    <w:p w14:paraId="45D8F09B" w14:textId="5CED410D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outposts</w:t>
      </w:r>
      <w:r w:rsidR="003C1AEC">
        <w:rPr>
          <w:rFonts w:eastAsia="Times New Roman" w:cstheme="minorHAnsi"/>
        </w:rPr>
        <w:t>.</w:t>
      </w:r>
    </w:p>
    <w:p w14:paraId="2E934619" w14:textId="77777777" w:rsidR="00C06387" w:rsidRPr="00C06387" w:rsidRDefault="00C06387" w:rsidP="00C0638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withdrawal from Gaza.  </w:t>
      </w:r>
    </w:p>
    <w:p w14:paraId="6A45DDDD" w14:textId="63BE9620" w:rsidR="00C06387" w:rsidRPr="00C06387" w:rsidRDefault="00C06387" w:rsidP="003C1A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Hamas takeover of Gaza. </w:t>
      </w:r>
    </w:p>
    <w:p w14:paraId="155D659E" w14:textId="77777777" w:rsidR="00C06387" w:rsidRPr="00C06387" w:rsidRDefault="00C06387" w:rsidP="00C0638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Is it possible that we hold on to the solution due to lack of imagination or inability to admit defeat?</w:t>
      </w:r>
    </w:p>
    <w:p w14:paraId="3B101B51" w14:textId="61D8B101" w:rsidR="00C06387" w:rsidRPr="00C06387" w:rsidRDefault="00C06387" w:rsidP="00C0638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 Could it be a </w:t>
      </w:r>
      <w:r w:rsidR="003C1AEC" w:rsidRPr="00C06387">
        <w:rPr>
          <w:rFonts w:eastAsia="Times New Roman" w:cstheme="minorHAnsi"/>
        </w:rPr>
        <w:t>zero-sum</w:t>
      </w:r>
      <w:r w:rsidRPr="00C06387">
        <w:rPr>
          <w:rFonts w:eastAsia="Times New Roman" w:cstheme="minorHAnsi"/>
        </w:rPr>
        <w:t xml:space="preserve"> game between national, religious movements that fight over an indivisible territory for </w:t>
      </w:r>
      <w:r w:rsidR="00596DAA" w:rsidRPr="00C06387">
        <w:rPr>
          <w:rFonts w:eastAsia="Times New Roman" w:cstheme="minorHAnsi"/>
        </w:rPr>
        <w:t>150 years</w:t>
      </w:r>
      <w:r w:rsidRPr="00C06387">
        <w:rPr>
          <w:rFonts w:eastAsia="Times New Roman" w:cstheme="minorHAnsi"/>
        </w:rPr>
        <w:t>?</w:t>
      </w:r>
    </w:p>
    <w:p w14:paraId="73F4BFC0" w14:textId="77777777" w:rsidR="00C06387" w:rsidRPr="00C06387" w:rsidRDefault="00C06387" w:rsidP="00C0638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Demographics since 1880</w:t>
      </w:r>
    </w:p>
    <w:p w14:paraId="0F6D13FA" w14:textId="77777777" w:rsidR="00C06387" w:rsidRPr="00C06387" w:rsidRDefault="00C06387" w:rsidP="00C0638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Spread of Israeli settlements until 1967. Territory as part of the national security perspective. </w:t>
      </w:r>
    </w:p>
    <w:p w14:paraId="66A40E99" w14:textId="77777777" w:rsidR="00C06387" w:rsidRPr="00C06387" w:rsidRDefault="00C06387" w:rsidP="00C0638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The </w:t>
      </w:r>
      <w:proofErr w:type="spellStart"/>
      <w:r w:rsidRPr="00C06387">
        <w:rPr>
          <w:rFonts w:eastAsia="Times New Roman" w:cstheme="minorHAnsi"/>
        </w:rPr>
        <w:t>Allon</w:t>
      </w:r>
      <w:proofErr w:type="spellEnd"/>
      <w:r w:rsidRPr="00C06387">
        <w:rPr>
          <w:rFonts w:eastAsia="Times New Roman" w:cstheme="minorHAnsi"/>
        </w:rPr>
        <w:t xml:space="preserve"> plan. </w:t>
      </w:r>
    </w:p>
    <w:p w14:paraId="6F38597B" w14:textId="33971DCC" w:rsidR="00C06387" w:rsidRPr="00C06387" w:rsidRDefault="00C06387" w:rsidP="00596D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The rise of Gush </w:t>
      </w:r>
      <w:proofErr w:type="spellStart"/>
      <w:r w:rsidRPr="00C06387">
        <w:rPr>
          <w:rFonts w:eastAsia="Times New Roman" w:cstheme="minorHAnsi"/>
        </w:rPr>
        <w:t>Emunim</w:t>
      </w:r>
      <w:proofErr w:type="spellEnd"/>
      <w:r w:rsidRPr="00C06387">
        <w:rPr>
          <w:rFonts w:eastAsia="Times New Roman" w:cstheme="minorHAnsi"/>
        </w:rPr>
        <w:t xml:space="preserve">   </w:t>
      </w:r>
    </w:p>
    <w:p w14:paraId="5FCDAAC9" w14:textId="77777777" w:rsidR="00C06387" w:rsidRPr="00C06387" w:rsidRDefault="00C06387" w:rsidP="00C0638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main argument. </w:t>
      </w:r>
    </w:p>
    <w:p w14:paraId="701DB875" w14:textId="77777777" w:rsidR="00C06387" w:rsidRPr="00C06387" w:rsidRDefault="00C06387" w:rsidP="00C06387">
      <w:pPr>
        <w:rPr>
          <w:rFonts w:eastAsia="Times New Roman" w:cstheme="minorHAnsi"/>
        </w:rPr>
      </w:pPr>
      <w:r w:rsidRPr="00C06387">
        <w:rPr>
          <w:rFonts w:eastAsia="Times New Roman" w:cstheme="minorHAnsi"/>
        </w:rPr>
        <w:t>Highly complex situation. </w:t>
      </w:r>
    </w:p>
    <w:p w14:paraId="3F3A5FBC" w14:textId="77777777" w:rsidR="00C06387" w:rsidRPr="00C06387" w:rsidRDefault="00C06387" w:rsidP="00C06387">
      <w:pPr>
        <w:rPr>
          <w:rFonts w:eastAsia="Times New Roman" w:cstheme="minorHAnsi"/>
        </w:rPr>
      </w:pPr>
      <w:r w:rsidRPr="00C06387">
        <w:rPr>
          <w:rFonts w:eastAsia="Times New Roman" w:cstheme="minorHAnsi"/>
        </w:rPr>
        <w:t>For example: </w:t>
      </w:r>
    </w:p>
    <w:p w14:paraId="3D777342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lastRenderedPageBreak/>
        <w:t>properties exchanged hand over the years and most notably in the war of 1948. </w:t>
      </w:r>
    </w:p>
    <w:p w14:paraId="2A8D7B27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legal system has changed frequently: Ottoman, British, Jordanian, Israeli. </w:t>
      </w:r>
    </w:p>
    <w:p w14:paraId="10BA4849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Israeli leadership had not anticipated the extent of the occupation in the West Bank. It had no plan. </w:t>
      </w:r>
    </w:p>
    <w:p w14:paraId="5573C613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land was occupied from Jordan. Not from the Palestinians. The least hawkish leaders wanted to use it as a bargaining chip. However, even they were adamant about Gush Etzion and Jerusalem. </w:t>
      </w:r>
    </w:p>
    <w:p w14:paraId="5582B186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>The War of Attrition and the insistence of the Arab leaders not to negotiate with Israel, provided the hawks with more justifications. </w:t>
      </w:r>
    </w:p>
    <w:p w14:paraId="11E14DBB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C06387">
        <w:rPr>
          <w:rFonts w:eastAsia="Times New Roman" w:cstheme="minorHAnsi"/>
        </w:rPr>
        <w:t xml:space="preserve">Nonetheless, in the first decade, with the exclusion of East Jerusalem, Gush Etzion and </w:t>
      </w:r>
      <w:proofErr w:type="spellStart"/>
      <w:r w:rsidRPr="00C06387">
        <w:rPr>
          <w:rFonts w:eastAsia="Times New Roman" w:cstheme="minorHAnsi"/>
        </w:rPr>
        <w:t>Kiryat</w:t>
      </w:r>
      <w:proofErr w:type="spellEnd"/>
      <w:r w:rsidRPr="00C06387">
        <w:rPr>
          <w:rFonts w:eastAsia="Times New Roman" w:cstheme="minorHAnsi"/>
        </w:rPr>
        <w:t xml:space="preserve"> </w:t>
      </w:r>
      <w:proofErr w:type="spellStart"/>
      <w:r w:rsidRPr="00C06387">
        <w:rPr>
          <w:rFonts w:eastAsia="Times New Roman" w:cstheme="minorHAnsi"/>
        </w:rPr>
        <w:t>Arba</w:t>
      </w:r>
      <w:proofErr w:type="spellEnd"/>
      <w:r w:rsidRPr="00C06387">
        <w:rPr>
          <w:rFonts w:eastAsia="Times New Roman" w:cstheme="minorHAnsi"/>
        </w:rPr>
        <w:t>, the settling project was minimal. </w:t>
      </w:r>
    </w:p>
    <w:p w14:paraId="0B6FAF91" w14:textId="77777777" w:rsidR="00C06387" w:rsidRPr="00C06387" w:rsidRDefault="00C06387" w:rsidP="00C0638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</w:p>
    <w:p w14:paraId="56AEFCBB" w14:textId="77777777" w:rsidR="00C06387" w:rsidRPr="00C06387" w:rsidRDefault="00C06387" w:rsidP="00596DAA">
      <w:pPr>
        <w:bidi/>
        <w:rPr>
          <w:rFonts w:asciiTheme="minorBidi" w:eastAsia="Times New Roman" w:hAnsiTheme="minorBidi"/>
        </w:rPr>
      </w:pPr>
    </w:p>
    <w:p w14:paraId="12226E79" w14:textId="475EE6B6" w:rsidR="00C06387" w:rsidRPr="00C06387" w:rsidRDefault="00C06387" w:rsidP="00596DAA">
      <w:pPr>
        <w:bidi/>
        <w:rPr>
          <w:rFonts w:asciiTheme="minorBidi" w:eastAsia="Times New Roman" w:hAnsiTheme="minorBidi"/>
        </w:rPr>
      </w:pPr>
      <w:r w:rsidRPr="00C06387">
        <w:rPr>
          <w:rFonts w:asciiTheme="minorBidi" w:eastAsia="Times New Roman" w:hAnsiTheme="minorBidi"/>
          <w:rtl/>
          <w:lang w:bidi="he-IL"/>
        </w:rPr>
        <w:t>בסוף 2016 היו רשומים כתושבים בהתנחלויות כ-421,400 תושבים. מספר זה אינו כולל כ-20,000 יהודים המתגוררים ברמת הגולן וכן כ-375,000 יהודים המתגוררים במזרח ירושלים. אחוז הגידול באוכלוסייה בהתנחלויות בשנת 2007 היה 5.2%. אחוז גידול זה גבוה פי שניים מזה של כלל האוכלוסייה הישראלית</w:t>
      </w:r>
    </w:p>
    <w:p w14:paraId="4DF4D7F2" w14:textId="37D6668F" w:rsidR="00C06387" w:rsidRPr="00C06387" w:rsidRDefault="00C06387" w:rsidP="00C06387">
      <w:pPr>
        <w:rPr>
          <w:rFonts w:ascii="Times New Roman" w:eastAsia="Times New Roman" w:hAnsi="Times New Roman" w:cs="Times New Roman"/>
        </w:rPr>
      </w:pP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"https://paper-attachments.dropbox.com/s_2761E43A119029E8F70BF1EEBA9D46E5C3A5B6D9FC0538CE85D5D51C2D5444DB_1492517213166_Settlers+map.png"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FBC648" wp14:editId="1D78A172">
            <wp:extent cx="5888355" cy="8229600"/>
            <wp:effectExtent l="0" t="0" r="4445" b="0"/>
            <wp:docPr id="9" name="Picture 9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"https://paper-attachments.dropbox.com/s_2761E43A119029E8F70BF1EEBA9D46E5C3A5B6D9FC0538CE85D5D51C2D5444DB_1492517213309_Jerusalem+Divided2.JPG"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6F29344" wp14:editId="236B07C9">
            <wp:extent cx="5943600" cy="6307455"/>
            <wp:effectExtent l="0" t="0" r="0" b="4445"/>
            <wp:docPr id="8" name="Picture 8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"https://paper-attachments.dropbox.com/s_2761E43A119029E8F70BF1EEBA9D46E5C3A5B6D9FC0538CE85D5D51C2D5444DB_1492517213298_Jerusalem+Divided.JPG"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08931D" wp14:editId="589D1C05">
            <wp:extent cx="5943600" cy="5269865"/>
            <wp:effectExtent l="0" t="0" r="0" b="635"/>
            <wp:docPr id="7" name="Picture 7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</w:p>
    <w:p w14:paraId="450D3D66" w14:textId="09E3A4DB" w:rsidR="00C06387" w:rsidRPr="00C06387" w:rsidRDefault="00C06387" w:rsidP="00C06387">
      <w:pPr>
        <w:rPr>
          <w:rFonts w:ascii="Times New Roman" w:eastAsia="Times New Roman" w:hAnsi="Times New Roman" w:cs="Times New Roman"/>
        </w:rPr>
      </w:pP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"https://paper-attachments.dropbox.com/s_2761E43A119029E8F70BF1EEBA9D46E5C3A5B6D9FC0538CE85D5D51C2D5444DB_1492517213319_East+Jerusalem.JPG"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B00793A" wp14:editId="26D30E98">
            <wp:extent cx="5943600" cy="5546090"/>
            <wp:effectExtent l="0" t="0" r="0" b="3810"/>
            <wp:docPr id="6" name="Picture 6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"https://paper-attachments.dropbox.com/s_2761E43A119029E8F70BF1EEBA9D46E5C3A5B6D9FC0538CE85D5D51C2D5444DB_1492517213420_Jerusalem+ring.JPG"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37A107" wp14:editId="34CAF0FC">
            <wp:extent cx="5943600" cy="3158490"/>
            <wp:effectExtent l="0" t="0" r="0" b="3810"/>
            <wp:docPr id="5" name="Picture 5" descr="A picture containing c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"https://paper-attachments.dropbox.com/s_2761E43A119029E8F70BF1EEBA9D46E5C3A5B6D9FC0538CE85D5D51C2D5444DB_1492517213407_Jerusalem-EBOLT.JPG"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297D28" wp14:editId="5A13C76A">
            <wp:extent cx="5943600" cy="5151120"/>
            <wp:effectExtent l="0" t="0" r="0" b="5080"/>
            <wp:docPr id="4" name="Picture 4" descr="A picture containing grass, 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</w:p>
    <w:p w14:paraId="27F94DC5" w14:textId="5A84BE86" w:rsidR="00C06387" w:rsidRPr="00C06387" w:rsidRDefault="00C06387" w:rsidP="00C06387">
      <w:pPr>
        <w:rPr>
          <w:rFonts w:ascii="Times New Roman" w:eastAsia="Times New Roman" w:hAnsi="Times New Roman" w:cs="Times New Roman"/>
        </w:rPr>
      </w:pP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"https://paper-attachments.dropbox.com/s_2761E43A119029E8F70BF1EEBA9D46E5C3A5B6D9FC0538CE85D5D51C2D5444DB_1492517213507_Jerusalem-DBOLT.JPG"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BB34BCA" wp14:editId="135C6469">
            <wp:extent cx="5943600" cy="3695700"/>
            <wp:effectExtent l="0" t="0" r="0" b="0"/>
            <wp:docPr id="3" name="Picture 3" descr="A close up of a r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  <w:r w:rsidRPr="00C06387">
        <w:rPr>
          <w:rFonts w:ascii="Times New Roman" w:eastAsia="Times New Roman" w:hAnsi="Times New Roman" w:cs="Times New Roman"/>
        </w:rPr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"https://paper-attachments.dropbox.com/s_2761E43A119029E8F70BF1EEBA9D46E5C3A5B6D9FC0538CE85D5D51C2D5444DB_1492517213523_Jerusalem-C.JPG"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86F3935" wp14:editId="7BE97BEA">
            <wp:extent cx="5943600" cy="3963035"/>
            <wp:effectExtent l="0" t="0" r="0" b="0"/>
            <wp:docPr id="2" name="Picture 2" descr="A close up of a r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</w:p>
    <w:p w14:paraId="22293EA2" w14:textId="0FD54579" w:rsidR="00C06387" w:rsidRPr="00C06387" w:rsidRDefault="00C06387" w:rsidP="00C06387">
      <w:pPr>
        <w:rPr>
          <w:rFonts w:ascii="Times New Roman" w:eastAsia="Times New Roman" w:hAnsi="Times New Roman" w:cs="Times New Roman"/>
        </w:rPr>
      </w:pPr>
      <w:r w:rsidRPr="00C06387">
        <w:rPr>
          <w:rFonts w:ascii="Times New Roman" w:eastAsia="Times New Roman" w:hAnsi="Times New Roman" w:cs="Times New Roman"/>
        </w:rPr>
        <w:lastRenderedPageBreak/>
        <w:fldChar w:fldCharType="begin"/>
      </w:r>
      <w:r w:rsidRPr="00C06387">
        <w:rPr>
          <w:rFonts w:ascii="Times New Roman" w:eastAsia="Times New Roman" w:hAnsi="Times New Roman" w:cs="Times New Roman"/>
        </w:rPr>
        <w:instrText xml:space="preserve"> INCLUDEPICTURE "https://paper-attachments.dropbox.com/s_2761E43A119029E8F70BF1EEBA9D46E5C3A5B6D9FC0538CE85D5D51C2D5444DB_1492517213430_Jerusalem-A.JPG" \* MERGEFORMATINET </w:instrText>
      </w:r>
      <w:r w:rsidRPr="00C06387">
        <w:rPr>
          <w:rFonts w:ascii="Times New Roman" w:eastAsia="Times New Roman" w:hAnsi="Times New Roman" w:cs="Times New Roman"/>
        </w:rPr>
        <w:fldChar w:fldCharType="separate"/>
      </w:r>
      <w:r w:rsidRPr="00C0638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F28243" wp14:editId="3F85ECAB">
            <wp:extent cx="5943600" cy="4311650"/>
            <wp:effectExtent l="0" t="0" r="0" b="635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387">
        <w:rPr>
          <w:rFonts w:ascii="Times New Roman" w:eastAsia="Times New Roman" w:hAnsi="Times New Roman" w:cs="Times New Roman"/>
        </w:rPr>
        <w:fldChar w:fldCharType="end"/>
      </w:r>
    </w:p>
    <w:p w14:paraId="7F126A3C" w14:textId="23EA02DD" w:rsidR="00B018E4" w:rsidRPr="00C06387" w:rsidRDefault="00B018E4">
      <w:pPr>
        <w:rPr>
          <w:caps/>
        </w:rPr>
      </w:pPr>
    </w:p>
    <w:sectPr w:rsidR="00B018E4" w:rsidRPr="00C06387" w:rsidSect="00D26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241B"/>
    <w:multiLevelType w:val="multilevel"/>
    <w:tmpl w:val="AF060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75F38"/>
    <w:multiLevelType w:val="multilevel"/>
    <w:tmpl w:val="74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3F58"/>
    <w:multiLevelType w:val="hybridMultilevel"/>
    <w:tmpl w:val="AA90C9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07216A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487147"/>
    <w:multiLevelType w:val="multilevel"/>
    <w:tmpl w:val="1DC2E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5318"/>
    <w:multiLevelType w:val="multilevel"/>
    <w:tmpl w:val="E8FA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429C4"/>
    <w:multiLevelType w:val="multilevel"/>
    <w:tmpl w:val="0FA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E28DF"/>
    <w:multiLevelType w:val="multilevel"/>
    <w:tmpl w:val="64325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75986"/>
    <w:multiLevelType w:val="multilevel"/>
    <w:tmpl w:val="77B2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7023E"/>
    <w:multiLevelType w:val="multilevel"/>
    <w:tmpl w:val="6AD4A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A4AC2"/>
    <w:multiLevelType w:val="multilevel"/>
    <w:tmpl w:val="84D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8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3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87"/>
    <w:rsid w:val="0005269E"/>
    <w:rsid w:val="00224DDA"/>
    <w:rsid w:val="002D1C51"/>
    <w:rsid w:val="00320C9C"/>
    <w:rsid w:val="003C1AEC"/>
    <w:rsid w:val="00433F0C"/>
    <w:rsid w:val="004C1092"/>
    <w:rsid w:val="005649B6"/>
    <w:rsid w:val="00596DAA"/>
    <w:rsid w:val="005E1E00"/>
    <w:rsid w:val="005E2F36"/>
    <w:rsid w:val="005F4377"/>
    <w:rsid w:val="00687617"/>
    <w:rsid w:val="00763134"/>
    <w:rsid w:val="007D6DAA"/>
    <w:rsid w:val="007E6AA9"/>
    <w:rsid w:val="00824B59"/>
    <w:rsid w:val="008750E8"/>
    <w:rsid w:val="00894FA4"/>
    <w:rsid w:val="008B4ED5"/>
    <w:rsid w:val="009904FA"/>
    <w:rsid w:val="009A00AC"/>
    <w:rsid w:val="00A02799"/>
    <w:rsid w:val="00AA4311"/>
    <w:rsid w:val="00B018E4"/>
    <w:rsid w:val="00B35DAC"/>
    <w:rsid w:val="00BA5886"/>
    <w:rsid w:val="00BF6FBF"/>
    <w:rsid w:val="00C06387"/>
    <w:rsid w:val="00CD4C68"/>
    <w:rsid w:val="00CE689D"/>
    <w:rsid w:val="00CF6E42"/>
    <w:rsid w:val="00D26382"/>
    <w:rsid w:val="00D3640D"/>
    <w:rsid w:val="00D66A96"/>
    <w:rsid w:val="00DA44D0"/>
    <w:rsid w:val="00DD44F3"/>
    <w:rsid w:val="00E02C46"/>
    <w:rsid w:val="00ED2484"/>
    <w:rsid w:val="00EE5ACD"/>
    <w:rsid w:val="00F06287"/>
    <w:rsid w:val="00F10779"/>
    <w:rsid w:val="00F24451"/>
    <w:rsid w:val="00F75481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0EC43"/>
  <w14:defaultImageDpi w14:val="32767"/>
  <w15:chartTrackingRefBased/>
  <w15:docId w15:val="{0B034844-1277-4741-A3A1-E4D886A6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6E42"/>
    <w:pPr>
      <w:keepNext/>
      <w:keepLines/>
      <w:widowControl w:val="0"/>
      <w:autoSpaceDE w:val="0"/>
      <w:autoSpaceDN w:val="0"/>
      <w:adjustRightInd w:val="0"/>
      <w:spacing w:before="360" w:after="12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DA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DAA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87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2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5.jpeg"/><Relationship Id="rId5" Type="http://schemas.openxmlformats.org/officeDocument/2006/relationships/chart" Target="charts/chart1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ap2976\Dropbox\West%20Bank%20-%20Time%20Seri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ap2976\Dropbox\West%20Bank%20-%20Time%20Seri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Settlers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Sheet1!$B$2:$B$46</c:f>
              <c:numCache>
                <c:formatCode>0</c:formatCode>
                <c:ptCount val="45"/>
                <c:pt idx="0">
                  <c:v>4000</c:v>
                </c:pt>
                <c:pt idx="1">
                  <c:v>3800</c:v>
                </c:pt>
                <c:pt idx="2">
                  <c:v>14284</c:v>
                </c:pt>
                <c:pt idx="3">
                  <c:v>21002</c:v>
                </c:pt>
                <c:pt idx="4">
                  <c:v>29221.5</c:v>
                </c:pt>
                <c:pt idx="5">
                  <c:v>37441</c:v>
                </c:pt>
                <c:pt idx="6">
                  <c:v>44073</c:v>
                </c:pt>
                <c:pt idx="7">
                  <c:v>50474</c:v>
                </c:pt>
                <c:pt idx="8">
                  <c:v>55772</c:v>
                </c:pt>
                <c:pt idx="9">
                  <c:v>61985</c:v>
                </c:pt>
                <c:pt idx="10">
                  <c:v>70844</c:v>
                </c:pt>
                <c:pt idx="11">
                  <c:v>82865</c:v>
                </c:pt>
                <c:pt idx="12">
                  <c:v>94834</c:v>
                </c:pt>
                <c:pt idx="13">
                  <c:v>110066</c:v>
                </c:pt>
                <c:pt idx="14">
                  <c:v>124005</c:v>
                </c:pt>
                <c:pt idx="15">
                  <c:v>137466</c:v>
                </c:pt>
                <c:pt idx="16">
                  <c:v>139453</c:v>
                </c:pt>
                <c:pt idx="17">
                  <c:v>152277</c:v>
                </c:pt>
                <c:pt idx="18">
                  <c:v>165540</c:v>
                </c:pt>
                <c:pt idx="19">
                  <c:v>174405</c:v>
                </c:pt>
                <c:pt idx="20">
                  <c:v>191125</c:v>
                </c:pt>
                <c:pt idx="21">
                  <c:v>201674</c:v>
                </c:pt>
                <c:pt idx="22">
                  <c:v>212218</c:v>
                </c:pt>
                <c:pt idx="23">
                  <c:v>221898</c:v>
                </c:pt>
                <c:pt idx="24">
                  <c:v>233471</c:v>
                </c:pt>
                <c:pt idx="25">
                  <c:v>247230</c:v>
                </c:pt>
                <c:pt idx="26">
                  <c:v>261537</c:v>
                </c:pt>
                <c:pt idx="27">
                  <c:v>276045</c:v>
                </c:pt>
                <c:pt idx="28">
                  <c:v>290311</c:v>
                </c:pt>
                <c:pt idx="29">
                  <c:v>297386</c:v>
                </c:pt>
                <c:pt idx="30">
                  <c:v>310990</c:v>
                </c:pt>
                <c:pt idx="31">
                  <c:v>325452</c:v>
                </c:pt>
                <c:pt idx="32">
                  <c:v>341418</c:v>
                </c:pt>
                <c:pt idx="33">
                  <c:v>355983</c:v>
                </c:pt>
                <c:pt idx="34">
                  <c:v>369977</c:v>
                </c:pt>
                <c:pt idx="35">
                  <c:v>385283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22-E54B-8581-5682CC186E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Forecast(Settlers)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Sheet1!$A$2:$A$46</c:f>
              <c:numCache>
                <c:formatCode>0</c:formatCode>
                <c:ptCount val="45"/>
                <c:pt idx="0">
                  <c:v>1980</c:v>
                </c:pt>
                <c:pt idx="1">
                  <c:v>1981</c:v>
                </c:pt>
                <c:pt idx="2">
                  <c:v>1982</c:v>
                </c:pt>
                <c:pt idx="3">
                  <c:v>1983</c:v>
                </c:pt>
                <c:pt idx="4">
                  <c:v>1984</c:v>
                </c:pt>
                <c:pt idx="5">
                  <c:v>1985</c:v>
                </c:pt>
                <c:pt idx="6">
                  <c:v>1986</c:v>
                </c:pt>
                <c:pt idx="7">
                  <c:v>1987</c:v>
                </c:pt>
                <c:pt idx="8">
                  <c:v>1988</c:v>
                </c:pt>
                <c:pt idx="9">
                  <c:v>1989</c:v>
                </c:pt>
                <c:pt idx="10">
                  <c:v>1990</c:v>
                </c:pt>
                <c:pt idx="11">
                  <c:v>1991</c:v>
                </c:pt>
                <c:pt idx="12">
                  <c:v>1992</c:v>
                </c:pt>
                <c:pt idx="13">
                  <c:v>1993</c:v>
                </c:pt>
                <c:pt idx="14">
                  <c:v>1994</c:v>
                </c:pt>
                <c:pt idx="15">
                  <c:v>1995</c:v>
                </c:pt>
                <c:pt idx="16">
                  <c:v>1996</c:v>
                </c:pt>
                <c:pt idx="17">
                  <c:v>1997</c:v>
                </c:pt>
                <c:pt idx="18">
                  <c:v>1998</c:v>
                </c:pt>
                <c:pt idx="19">
                  <c:v>1999</c:v>
                </c:pt>
                <c:pt idx="20">
                  <c:v>2000</c:v>
                </c:pt>
                <c:pt idx="21">
                  <c:v>2001</c:v>
                </c:pt>
                <c:pt idx="22">
                  <c:v>2002</c:v>
                </c:pt>
                <c:pt idx="23">
                  <c:v>2003</c:v>
                </c:pt>
                <c:pt idx="24">
                  <c:v>2004</c:v>
                </c:pt>
                <c:pt idx="25">
                  <c:v>2005</c:v>
                </c:pt>
                <c:pt idx="26">
                  <c:v>2006</c:v>
                </c:pt>
                <c:pt idx="27">
                  <c:v>2007</c:v>
                </c:pt>
                <c:pt idx="28">
                  <c:v>2008</c:v>
                </c:pt>
                <c:pt idx="29">
                  <c:v>2009</c:v>
                </c:pt>
                <c:pt idx="30">
                  <c:v>2010</c:v>
                </c:pt>
                <c:pt idx="31">
                  <c:v>2011</c:v>
                </c:pt>
                <c:pt idx="32">
                  <c:v>2012</c:v>
                </c:pt>
                <c:pt idx="33">
                  <c:v>2013</c:v>
                </c:pt>
                <c:pt idx="34">
                  <c:v>2014</c:v>
                </c:pt>
                <c:pt idx="35">
                  <c:v>2015</c:v>
                </c:pt>
                <c:pt idx="36">
                  <c:v>2016</c:v>
                </c:pt>
                <c:pt idx="37">
                  <c:v>2017</c:v>
                </c:pt>
                <c:pt idx="38">
                  <c:v>2018</c:v>
                </c:pt>
                <c:pt idx="39">
                  <c:v>2019</c:v>
                </c:pt>
                <c:pt idx="40">
                  <c:v>2020</c:v>
                </c:pt>
                <c:pt idx="41">
                  <c:v>2021</c:v>
                </c:pt>
                <c:pt idx="42">
                  <c:v>2022</c:v>
                </c:pt>
                <c:pt idx="43">
                  <c:v>2023</c:v>
                </c:pt>
                <c:pt idx="44">
                  <c:v>2024</c:v>
                </c:pt>
              </c:numCache>
            </c:numRef>
          </c:cat>
          <c:val>
            <c:numRef>
              <c:f>Sheet1!$C$2:$C$46</c:f>
              <c:numCache>
                <c:formatCode>General</c:formatCode>
                <c:ptCount val="45"/>
                <c:pt idx="35" formatCode="0">
                  <c:v>385283</c:v>
                </c:pt>
                <c:pt idx="36" formatCode="0">
                  <c:v>399807.50465110812</c:v>
                </c:pt>
                <c:pt idx="37" formatCode="0">
                  <c:v>414498.01814049861</c:v>
                </c:pt>
                <c:pt idx="38" formatCode="0">
                  <c:v>429188.5316298891</c:v>
                </c:pt>
                <c:pt idx="39" formatCode="0">
                  <c:v>443879.04511927959</c:v>
                </c:pt>
                <c:pt idx="40" formatCode="0">
                  <c:v>458569.55860867008</c:v>
                </c:pt>
                <c:pt idx="41" formatCode="0">
                  <c:v>473260.07209806057</c:v>
                </c:pt>
                <c:pt idx="42" formatCode="0">
                  <c:v>487950.58558745106</c:v>
                </c:pt>
                <c:pt idx="43" formatCode="0">
                  <c:v>502641.09907684155</c:v>
                </c:pt>
                <c:pt idx="44" formatCode="0">
                  <c:v>517331.61256623204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22-E54B-8581-5682CC186E4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Lower Confidence Bound(Settlers)</c:v>
                </c:pt>
              </c:strCache>
            </c:strRef>
          </c:tx>
          <c:spPr>
            <a:ln w="19050" cap="rnd">
              <a:solidFill>
                <a:schemeClr val="dk1">
                  <a:tint val="75000"/>
                </a:schemeClr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Sheet1!$A$2:$A$46</c:f>
              <c:numCache>
                <c:formatCode>0</c:formatCode>
                <c:ptCount val="45"/>
                <c:pt idx="0">
                  <c:v>1980</c:v>
                </c:pt>
                <c:pt idx="1">
                  <c:v>1981</c:v>
                </c:pt>
                <c:pt idx="2">
                  <c:v>1982</c:v>
                </c:pt>
                <c:pt idx="3">
                  <c:v>1983</c:v>
                </c:pt>
                <c:pt idx="4">
                  <c:v>1984</c:v>
                </c:pt>
                <c:pt idx="5">
                  <c:v>1985</c:v>
                </c:pt>
                <c:pt idx="6">
                  <c:v>1986</c:v>
                </c:pt>
                <c:pt idx="7">
                  <c:v>1987</c:v>
                </c:pt>
                <c:pt idx="8">
                  <c:v>1988</c:v>
                </c:pt>
                <c:pt idx="9">
                  <c:v>1989</c:v>
                </c:pt>
                <c:pt idx="10">
                  <c:v>1990</c:v>
                </c:pt>
                <c:pt idx="11">
                  <c:v>1991</c:v>
                </c:pt>
                <c:pt idx="12">
                  <c:v>1992</c:v>
                </c:pt>
                <c:pt idx="13">
                  <c:v>1993</c:v>
                </c:pt>
                <c:pt idx="14">
                  <c:v>1994</c:v>
                </c:pt>
                <c:pt idx="15">
                  <c:v>1995</c:v>
                </c:pt>
                <c:pt idx="16">
                  <c:v>1996</c:v>
                </c:pt>
                <c:pt idx="17">
                  <c:v>1997</c:v>
                </c:pt>
                <c:pt idx="18">
                  <c:v>1998</c:v>
                </c:pt>
                <c:pt idx="19">
                  <c:v>1999</c:v>
                </c:pt>
                <c:pt idx="20">
                  <c:v>2000</c:v>
                </c:pt>
                <c:pt idx="21">
                  <c:v>2001</c:v>
                </c:pt>
                <c:pt idx="22">
                  <c:v>2002</c:v>
                </c:pt>
                <c:pt idx="23">
                  <c:v>2003</c:v>
                </c:pt>
                <c:pt idx="24">
                  <c:v>2004</c:v>
                </c:pt>
                <c:pt idx="25">
                  <c:v>2005</c:v>
                </c:pt>
                <c:pt idx="26">
                  <c:v>2006</c:v>
                </c:pt>
                <c:pt idx="27">
                  <c:v>2007</c:v>
                </c:pt>
                <c:pt idx="28">
                  <c:v>2008</c:v>
                </c:pt>
                <c:pt idx="29">
                  <c:v>2009</c:v>
                </c:pt>
                <c:pt idx="30">
                  <c:v>2010</c:v>
                </c:pt>
                <c:pt idx="31">
                  <c:v>2011</c:v>
                </c:pt>
                <c:pt idx="32">
                  <c:v>2012</c:v>
                </c:pt>
                <c:pt idx="33">
                  <c:v>2013</c:v>
                </c:pt>
                <c:pt idx="34">
                  <c:v>2014</c:v>
                </c:pt>
                <c:pt idx="35">
                  <c:v>2015</c:v>
                </c:pt>
                <c:pt idx="36">
                  <c:v>2016</c:v>
                </c:pt>
                <c:pt idx="37">
                  <c:v>2017</c:v>
                </c:pt>
                <c:pt idx="38">
                  <c:v>2018</c:v>
                </c:pt>
                <c:pt idx="39">
                  <c:v>2019</c:v>
                </c:pt>
                <c:pt idx="40">
                  <c:v>2020</c:v>
                </c:pt>
                <c:pt idx="41">
                  <c:v>2021</c:v>
                </c:pt>
                <c:pt idx="42">
                  <c:v>2022</c:v>
                </c:pt>
                <c:pt idx="43">
                  <c:v>2023</c:v>
                </c:pt>
                <c:pt idx="44">
                  <c:v>2024</c:v>
                </c:pt>
              </c:numCache>
            </c:numRef>
          </c:cat>
          <c:val>
            <c:numRef>
              <c:f>Sheet1!$D$2:$D$46</c:f>
              <c:numCache>
                <c:formatCode>General</c:formatCode>
                <c:ptCount val="45"/>
                <c:pt idx="35" formatCode="0">
                  <c:v>385283</c:v>
                </c:pt>
                <c:pt idx="36" formatCode="0">
                  <c:v>391930.14107327495</c:v>
                </c:pt>
                <c:pt idx="37" formatCode="0">
                  <c:v>400303.45268295443</c:v>
                </c:pt>
                <c:pt idx="38" formatCode="0">
                  <c:v>406493.37687666155</c:v>
                </c:pt>
                <c:pt idx="39" formatCode="0">
                  <c:v>411131.07772036857</c:v>
                </c:pt>
                <c:pt idx="40" formatCode="0">
                  <c:v>414487.96294132236</c:v>
                </c:pt>
                <c:pt idx="41" formatCode="0">
                  <c:v>416718.34766096395</c:v>
                </c:pt>
                <c:pt idx="42" formatCode="0">
                  <c:v>417926.36566625023</c:v>
                </c:pt>
                <c:pt idx="43" formatCode="0">
                  <c:v>418189.42753669166</c:v>
                </c:pt>
                <c:pt idx="44" formatCode="0">
                  <c:v>417568.5413275818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122-E54B-8581-5682CC186E4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Upper Confidence Bound(Settlers)</c:v>
                </c:pt>
              </c:strCache>
            </c:strRef>
          </c:tx>
          <c:spPr>
            <a:ln w="19050" cap="rnd">
              <a:solidFill>
                <a:schemeClr val="dk1">
                  <a:tint val="98500"/>
                </a:schemeClr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Sheet1!$A$2:$A$46</c:f>
              <c:numCache>
                <c:formatCode>0</c:formatCode>
                <c:ptCount val="45"/>
                <c:pt idx="0">
                  <c:v>1980</c:v>
                </c:pt>
                <c:pt idx="1">
                  <c:v>1981</c:v>
                </c:pt>
                <c:pt idx="2">
                  <c:v>1982</c:v>
                </c:pt>
                <c:pt idx="3">
                  <c:v>1983</c:v>
                </c:pt>
                <c:pt idx="4">
                  <c:v>1984</c:v>
                </c:pt>
                <c:pt idx="5">
                  <c:v>1985</c:v>
                </c:pt>
                <c:pt idx="6">
                  <c:v>1986</c:v>
                </c:pt>
                <c:pt idx="7">
                  <c:v>1987</c:v>
                </c:pt>
                <c:pt idx="8">
                  <c:v>1988</c:v>
                </c:pt>
                <c:pt idx="9">
                  <c:v>1989</c:v>
                </c:pt>
                <c:pt idx="10">
                  <c:v>1990</c:v>
                </c:pt>
                <c:pt idx="11">
                  <c:v>1991</c:v>
                </c:pt>
                <c:pt idx="12">
                  <c:v>1992</c:v>
                </c:pt>
                <c:pt idx="13">
                  <c:v>1993</c:v>
                </c:pt>
                <c:pt idx="14">
                  <c:v>1994</c:v>
                </c:pt>
                <c:pt idx="15">
                  <c:v>1995</c:v>
                </c:pt>
                <c:pt idx="16">
                  <c:v>1996</c:v>
                </c:pt>
                <c:pt idx="17">
                  <c:v>1997</c:v>
                </c:pt>
                <c:pt idx="18">
                  <c:v>1998</c:v>
                </c:pt>
                <c:pt idx="19">
                  <c:v>1999</c:v>
                </c:pt>
                <c:pt idx="20">
                  <c:v>2000</c:v>
                </c:pt>
                <c:pt idx="21">
                  <c:v>2001</c:v>
                </c:pt>
                <c:pt idx="22">
                  <c:v>2002</c:v>
                </c:pt>
                <c:pt idx="23">
                  <c:v>2003</c:v>
                </c:pt>
                <c:pt idx="24">
                  <c:v>2004</c:v>
                </c:pt>
                <c:pt idx="25">
                  <c:v>2005</c:v>
                </c:pt>
                <c:pt idx="26">
                  <c:v>2006</c:v>
                </c:pt>
                <c:pt idx="27">
                  <c:v>2007</c:v>
                </c:pt>
                <c:pt idx="28">
                  <c:v>2008</c:v>
                </c:pt>
                <c:pt idx="29">
                  <c:v>2009</c:v>
                </c:pt>
                <c:pt idx="30">
                  <c:v>2010</c:v>
                </c:pt>
                <c:pt idx="31">
                  <c:v>2011</c:v>
                </c:pt>
                <c:pt idx="32">
                  <c:v>2012</c:v>
                </c:pt>
                <c:pt idx="33">
                  <c:v>2013</c:v>
                </c:pt>
                <c:pt idx="34">
                  <c:v>2014</c:v>
                </c:pt>
                <c:pt idx="35">
                  <c:v>2015</c:v>
                </c:pt>
                <c:pt idx="36">
                  <c:v>2016</c:v>
                </c:pt>
                <c:pt idx="37">
                  <c:v>2017</c:v>
                </c:pt>
                <c:pt idx="38">
                  <c:v>2018</c:v>
                </c:pt>
                <c:pt idx="39">
                  <c:v>2019</c:v>
                </c:pt>
                <c:pt idx="40">
                  <c:v>2020</c:v>
                </c:pt>
                <c:pt idx="41">
                  <c:v>2021</c:v>
                </c:pt>
                <c:pt idx="42">
                  <c:v>2022</c:v>
                </c:pt>
                <c:pt idx="43">
                  <c:v>2023</c:v>
                </c:pt>
                <c:pt idx="44">
                  <c:v>2024</c:v>
                </c:pt>
              </c:numCache>
            </c:numRef>
          </c:cat>
          <c:val>
            <c:numRef>
              <c:f>Sheet1!$E$2:$E$46</c:f>
              <c:numCache>
                <c:formatCode>General</c:formatCode>
                <c:ptCount val="45"/>
                <c:pt idx="35" formatCode="0">
                  <c:v>385283</c:v>
                </c:pt>
                <c:pt idx="36" formatCode="0">
                  <c:v>407684.86822894128</c:v>
                </c:pt>
                <c:pt idx="37" formatCode="0">
                  <c:v>428692.58359804278</c:v>
                </c:pt>
                <c:pt idx="38" formatCode="0">
                  <c:v>451883.68638311664</c:v>
                </c:pt>
                <c:pt idx="39" formatCode="0">
                  <c:v>476627.0125181906</c:v>
                </c:pt>
                <c:pt idx="40" formatCode="0">
                  <c:v>502651.1542760178</c:v>
                </c:pt>
                <c:pt idx="41" formatCode="0">
                  <c:v>529801.79653515713</c:v>
                </c:pt>
                <c:pt idx="42" formatCode="0">
                  <c:v>557974.80550865189</c:v>
                </c:pt>
                <c:pt idx="43" formatCode="0">
                  <c:v>587092.77061699145</c:v>
                </c:pt>
                <c:pt idx="44" formatCode="0">
                  <c:v>617094.68380488234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122-E54B-8581-5682CC186E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9867391"/>
        <c:axId val="1889868639"/>
      </c:lineChart>
      <c:catAx>
        <c:axId val="1889867391"/>
        <c:scaling>
          <c:orientation val="minMax"/>
        </c:scaling>
        <c:delete val="0"/>
        <c:axPos val="b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18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9868639"/>
        <c:crosses val="autoZero"/>
        <c:auto val="1"/>
        <c:lblAlgn val="ctr"/>
        <c:lblOffset val="100"/>
        <c:noMultiLvlLbl val="0"/>
      </c:catAx>
      <c:valAx>
        <c:axId val="1889868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9867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SETTLERS IN THE WEST BANK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803950625195247"/>
          <c:y val="0.11182162835706143"/>
          <c:w val="0.83670108377856633"/>
          <c:h val="0.7275119966064849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trendline>
            <c:spPr>
              <a:ln w="19050" cap="rnd">
                <a:solidFill>
                  <a:schemeClr val="dk1">
                    <a:tint val="885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dk1">
                    <a:tint val="885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dk1">
                    <a:tint val="885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dk1">
                    <a:tint val="88500"/>
                  </a:schemeClr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3.6241098677517805E-2"/>
                  <c:y val="-0.12865664519207826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y = 11380x - 31501</a:t>
                    </a:r>
                    <a:br>
                      <a:rPr lang="en-US"/>
                    </a:br>
                    <a:r>
                      <a:rPr lang="en-US"/>
                      <a:t>R² = 0.9933</a:t>
                    </a: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cat>
            <c:numRef>
              <c:f>'population growth'!$A$1:$AI$1</c:f>
              <c:numCache>
                <c:formatCode>General</c:formatCode>
                <c:ptCount val="35"/>
                <c:pt idx="0">
                  <c:v>1980</c:v>
                </c:pt>
                <c:pt idx="1">
                  <c:v>1981</c:v>
                </c:pt>
                <c:pt idx="2">
                  <c:v>1982</c:v>
                </c:pt>
                <c:pt idx="3">
                  <c:v>1983</c:v>
                </c:pt>
                <c:pt idx="4">
                  <c:v>1985</c:v>
                </c:pt>
                <c:pt idx="5">
                  <c:v>1986</c:v>
                </c:pt>
                <c:pt idx="6">
                  <c:v>1987</c:v>
                </c:pt>
                <c:pt idx="7">
                  <c:v>1988</c:v>
                </c:pt>
                <c:pt idx="8">
                  <c:v>1989</c:v>
                </c:pt>
                <c:pt idx="9">
                  <c:v>1990</c:v>
                </c:pt>
                <c:pt idx="10">
                  <c:v>1991</c:v>
                </c:pt>
                <c:pt idx="11">
                  <c:v>1992</c:v>
                </c:pt>
                <c:pt idx="12">
                  <c:v>1993</c:v>
                </c:pt>
                <c:pt idx="13">
                  <c:v>1994</c:v>
                </c:pt>
                <c:pt idx="14">
                  <c:v>1995</c:v>
                </c:pt>
                <c:pt idx="15">
                  <c:v>1996</c:v>
                </c:pt>
                <c:pt idx="16">
                  <c:v>1997</c:v>
                </c:pt>
                <c:pt idx="17">
                  <c:v>1998</c:v>
                </c:pt>
                <c:pt idx="18">
                  <c:v>1999</c:v>
                </c:pt>
                <c:pt idx="19">
                  <c:v>2000</c:v>
                </c:pt>
                <c:pt idx="20">
                  <c:v>2001</c:v>
                </c:pt>
                <c:pt idx="21">
                  <c:v>2002</c:v>
                </c:pt>
                <c:pt idx="22">
                  <c:v>2003</c:v>
                </c:pt>
                <c:pt idx="23">
                  <c:v>2004</c:v>
                </c:pt>
                <c:pt idx="24">
                  <c:v>2005</c:v>
                </c:pt>
                <c:pt idx="25">
                  <c:v>2006</c:v>
                </c:pt>
                <c:pt idx="26">
                  <c:v>2007</c:v>
                </c:pt>
                <c:pt idx="27">
                  <c:v>2008</c:v>
                </c:pt>
                <c:pt idx="28">
                  <c:v>2009</c:v>
                </c:pt>
                <c:pt idx="29">
                  <c:v>2010</c:v>
                </c:pt>
                <c:pt idx="30">
                  <c:v>2011</c:v>
                </c:pt>
                <c:pt idx="31">
                  <c:v>2012</c:v>
                </c:pt>
                <c:pt idx="32">
                  <c:v>2013</c:v>
                </c:pt>
                <c:pt idx="33">
                  <c:v>2014</c:v>
                </c:pt>
                <c:pt idx="34">
                  <c:v>2015</c:v>
                </c:pt>
              </c:numCache>
            </c:numRef>
          </c:cat>
          <c:val>
            <c:numRef>
              <c:f>'population growth'!$A$2:$AI$2</c:f>
              <c:numCache>
                <c:formatCode>General</c:formatCode>
                <c:ptCount val="35"/>
                <c:pt idx="0">
                  <c:v>4000</c:v>
                </c:pt>
                <c:pt idx="1">
                  <c:v>3800</c:v>
                </c:pt>
                <c:pt idx="2">
                  <c:v>14284</c:v>
                </c:pt>
                <c:pt idx="3">
                  <c:v>21002</c:v>
                </c:pt>
                <c:pt idx="4">
                  <c:v>37441</c:v>
                </c:pt>
                <c:pt idx="5">
                  <c:v>44073</c:v>
                </c:pt>
                <c:pt idx="6">
                  <c:v>50474</c:v>
                </c:pt>
                <c:pt idx="7">
                  <c:v>55772</c:v>
                </c:pt>
                <c:pt idx="8">
                  <c:v>61985</c:v>
                </c:pt>
                <c:pt idx="9">
                  <c:v>70844</c:v>
                </c:pt>
                <c:pt idx="10">
                  <c:v>82865</c:v>
                </c:pt>
                <c:pt idx="11">
                  <c:v>94834</c:v>
                </c:pt>
                <c:pt idx="12">
                  <c:v>110066</c:v>
                </c:pt>
                <c:pt idx="13">
                  <c:v>124005</c:v>
                </c:pt>
                <c:pt idx="14">
                  <c:v>137466</c:v>
                </c:pt>
                <c:pt idx="15">
                  <c:v>139453</c:v>
                </c:pt>
                <c:pt idx="16">
                  <c:v>152277</c:v>
                </c:pt>
                <c:pt idx="17">
                  <c:v>165540</c:v>
                </c:pt>
                <c:pt idx="18">
                  <c:v>174405</c:v>
                </c:pt>
                <c:pt idx="19">
                  <c:v>191125</c:v>
                </c:pt>
                <c:pt idx="20">
                  <c:v>201674</c:v>
                </c:pt>
                <c:pt idx="21">
                  <c:v>212218</c:v>
                </c:pt>
                <c:pt idx="22">
                  <c:v>221898</c:v>
                </c:pt>
                <c:pt idx="23">
                  <c:v>233471</c:v>
                </c:pt>
                <c:pt idx="24">
                  <c:v>247230</c:v>
                </c:pt>
                <c:pt idx="25">
                  <c:v>261537</c:v>
                </c:pt>
                <c:pt idx="26">
                  <c:v>276045</c:v>
                </c:pt>
                <c:pt idx="27">
                  <c:v>290311</c:v>
                </c:pt>
                <c:pt idx="28">
                  <c:v>297386</c:v>
                </c:pt>
                <c:pt idx="29">
                  <c:v>310990</c:v>
                </c:pt>
                <c:pt idx="30">
                  <c:v>325452</c:v>
                </c:pt>
                <c:pt idx="31">
                  <c:v>341418</c:v>
                </c:pt>
                <c:pt idx="32">
                  <c:v>355983</c:v>
                </c:pt>
                <c:pt idx="33">
                  <c:v>369977</c:v>
                </c:pt>
                <c:pt idx="34">
                  <c:v>385283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501-6642-8334-DC3F8F91A6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51013280"/>
        <c:axId val="651015328"/>
      </c:barChart>
      <c:catAx>
        <c:axId val="651013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015328"/>
        <c:crosses val="autoZero"/>
        <c:auto val="1"/>
        <c:lblAlgn val="ctr"/>
        <c:lblOffset val="100"/>
        <c:tickLblSkip val="1"/>
        <c:noMultiLvlLbl val="0"/>
      </c:catAx>
      <c:valAx>
        <c:axId val="651015328"/>
        <c:scaling>
          <c:orientation val="minMax"/>
          <c:max val="400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013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Pedahzur, Ami</dc:creator>
  <cp:keywords/>
  <dc:description/>
  <cp:lastModifiedBy>Pedahzur, Ami</cp:lastModifiedBy>
  <cp:revision>2</cp:revision>
  <dcterms:created xsi:type="dcterms:W3CDTF">2019-10-24T11:35:00Z</dcterms:created>
  <dcterms:modified xsi:type="dcterms:W3CDTF">2019-10-26T08:02:00Z</dcterms:modified>
</cp:coreProperties>
</file>