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36"/>
          <w:szCs w:val="36"/>
        </w:rPr>
        <w:t xml:space="preserve">Methodological Appendix</w:t>
      </w:r>
    </w:p>
    <w:p>
      <w:pPr>
        <w:spacing w:after="120"/>
        <w:jc w:val="center"/>
      </w:pPr>
      <w:r>
        <w:rPr>
          <w:rFonts w:ascii="Arial" w:cs="Arial" w:eastAsia="Arial" w:hAnsi="Arial"/>
          <w:sz w:val="28"/>
          <w:szCs w:val="28"/>
        </w:rPr>
        <w:t xml:space="preserve">Mandate-Era Political Violence in Palestine, 1920–1948</w:t>
      </w:r>
    </w:p>
    <w:p>
      <w:pPr>
        <w:spacing w:after="120"/>
        <w:jc w:val="center"/>
      </w:pPr>
      <w:r>
        <w:rPr>
          <w:rFonts w:ascii="Arial" w:cs="Arial" w:eastAsia="Arial" w:hAnsi="Arial"/>
          <w:i/>
          <w:iCs/>
          <w:sz w:val="24"/>
          <w:szCs w:val="24"/>
        </w:rPr>
        <w:t xml:space="preserve">A Systematic Event-Level Dataset</w:t>
      </w:r>
    </w:p>
    <w:p>
      <w:pPr>
        <w:spacing w:after="360"/>
        <w:jc w:val="center"/>
      </w:pPr>
      <w:r>
        <w:rPr>
          <w:rFonts w:ascii="Arial" w:cs="Arial" w:eastAsia="Arial" w:hAnsi="Arial"/>
          <w:sz w:val="22"/>
          <w:szCs w:val="22"/>
        </w:rPr>
        <w:t xml:space="preserve">Prepared for the NSSC Terrorism in Israel Project</w:t>
      </w:r>
    </w:p>
    <w:p>
      <w:pPr>
        <w:spacing w:after="120"/>
        <w:jc w:val="center"/>
      </w:pPr>
      <w:r>
        <w:rPr>
          <w:rFonts w:ascii="Arial" w:cs="Arial" w:eastAsia="Arial" w:hAnsi="Arial"/>
          <w:sz w:val="24"/>
          <w:szCs w:val="24"/>
        </w:rPr>
        <w:t xml:space="preserve">Ami Pedahzur</w:t>
      </w:r>
    </w:p>
    <w:p>
      <w:pPr>
        <w:spacing w:after="480"/>
        <w:jc w:val="center"/>
      </w:pPr>
      <w:r>
        <w:rPr>
          <w:rFonts w:ascii="Arial" w:cs="Arial" w:eastAsia="Arial" w:hAnsi="Arial"/>
          <w:sz w:val="22"/>
          <w:szCs w:val="22"/>
        </w:rPr>
        <w:t xml:space="preserve">University of Haifa</w:t>
      </w:r>
    </w:p>
    <w:p>
      <w:pPr>
        <w:pBdr>
          <w:bottom w:val="single" w:color="2F5496" w:sz="6" w:space="1"/>
        </w:pBdr>
        <w:spacing w:after="360"/>
      </w:pPr>
    </w:p>
    <w:p>
      <w:pPr>
        <w:pStyle w:val="Heading1"/>
      </w:pPr>
      <w:r>
        <w:t xml:space="preserve">1. Overview and Purpose</w:t>
      </w:r>
    </w:p>
    <w:p>
      <w:pPr>
        <w:spacing w:after="200"/>
      </w:pPr>
      <w:r>
        <w:t xml:space="preserve">This appendix documents the methodology used to construct the Mandate-Era Political Violence Dataset, covering the period from April 1920 (the Nebi Musa riots) through May 14, 1948 (the declaration of Israeli independence). The dataset extends backward in time from the existing NSSC Terrorism in Israel Consolidated Dataset, which contains 4,948 events from 1947 to 2020. The purpose is to provide a comprehensive, event-level accounting of political violence during the British Mandate for Palestine, encompassing Arab-Jewish communal violence, organized insurgency, state repression, and intra-communal terrorism.</w:t>
      </w:r>
    </w:p>
    <w:p>
      <w:pPr>
        <w:spacing w:after="200"/>
      </w:pPr>
      <w:r>
        <w:t xml:space="preserve">The final dataset contains </w:t>
      </w:r>
      <w:r>
        <w:rPr>
          <w:b/>
          <w:bCs/>
        </w:rPr>
        <w:t xml:space="preserve">232 events</w:t>
      </w:r>
      <w:r>
        <w:t xml:space="preserve"> with </w:t>
      </w:r>
      <w:r>
        <w:rPr>
          <w:b/>
          <w:bCs/>
        </w:rPr>
        <w:t xml:space="preserve">5,594 killed</w:t>
      </w:r>
      <w:r>
        <w:t xml:space="preserve"> and </w:t>
      </w:r>
      <w:r>
        <w:rPr>
          <w:b/>
          <w:bCs/>
        </w:rPr>
        <w:t xml:space="preserve">8,162 wounded</w:t>
      </w:r>
      <w:r>
        <w:t xml:space="preserve">, spanning 24 distinct years. Events are coded in the same 33-column schema used by the NSSC consolidated dataset, ensuring seamless integration.</w:t>
      </w:r>
    </w:p>
    <w:p>
      <w:pPr>
        <w:pStyle w:val="Heading1"/>
      </w:pPr>
      <w:r>
        <w:t xml:space="preserve">2. Dataset Schema</w:t>
      </w:r>
    </w:p>
    <w:p>
      <w:pPr>
        <w:spacing w:after="200"/>
      </w:pPr>
      <w:r>
        <w:t xml:space="preserve">Each event is recorded using the 33-column NSSC schema: event_id, source, gtd_eventid, year, month, day, date, location_name, region, statistical_region, latitude, longitude, geo_quality, occupied_territories, attack_type, attack_type_code, suicide_attack, target_type, target_type_code, perpetrator_group, perpetrator_group_code, perpetrator_sex, perpetrator_age, killed, wounded, casualties_total, victim_name, victim_age, victim_gender_inferred, description, title_hebrew, nssc_original, and validation_notes.</w:t>
      </w:r>
    </w:p>
    <w:p>
      <w:pPr>
        <w:spacing w:after="200"/>
      </w:pPr>
      <w:r>
        <w:rPr>
          <w:b/>
          <w:bCs/>
        </w:rPr>
        <w:t xml:space="preserve">Event ID format: </w:t>
      </w:r>
      <w:r>
        <w:t xml:space="preserve">MAN-YYYY-NNN, where MAN denotes a manually curated Mandate-era event, YYYY is the four-digit year, and NNN is a three-digit sequential number within that year. This prefix distinguishes Mandate-era entries from the GTD-sourced and NSSC-original records in the consolidated dataset.</w:t>
      </w:r>
    </w:p>
    <w:p>
      <w:pPr>
        <w:pStyle w:val="Heading1"/>
      </w:pPr>
      <w:r>
        <w:t xml:space="preserve">3. Temporal Scope and Periodization</w:t>
      </w:r>
    </w:p>
    <w:p>
      <w:pPr>
        <w:spacing w:after="200"/>
      </w:pPr>
      <w:r>
        <w:t xml:space="preserve">The dataset was constructed year by year, with sparse years grouped for efficiency. The periodization follows major phases of the conflict:</w:t>
      </w:r>
    </w:p>
    <w:p>
      <w:pPr>
        <w:spacing w:after="100"/>
      </w:pPr>
      <w:r>
        <w:rPr>
          <w:b/>
          <w:bCs/>
        </w:rPr>
        <w:t xml:space="preserve">1920 (14 events): </w:t>
      </w:r>
      <w:r>
        <w:t xml:space="preserve">Nebi Musa riots and aftermath. The first organized intercommunal violence of the Mandate period, followed by the Tel Hai incident in the north.</w:t>
      </w:r>
    </w:p>
    <w:p>
      <w:pPr>
        <w:spacing w:after="100"/>
      </w:pPr>
      <w:r>
        <w:rPr>
          <w:b/>
          <w:bCs/>
        </w:rPr>
        <w:t xml:space="preserve">1921 (10 events): </w:t>
      </w:r>
      <w:r>
        <w:t xml:space="preserve">Jaffa riots (May 1921). The most lethal outbreak since Nebi Musa, marked by coordinated attacks on Jewish neighborhoods in Jaffa and assaults on surrounding agricultural settlements.</w:t>
      </w:r>
    </w:p>
    <w:p>
      <w:pPr>
        <w:spacing w:after="100"/>
      </w:pPr>
      <w:r>
        <w:rPr>
          <w:b/>
          <w:bCs/>
        </w:rPr>
        <w:t xml:space="preserve">1925–1928 (5 events): </w:t>
      </w:r>
      <w:r>
        <w:t xml:space="preserve">A relatively quiet interlude. Individual incidents include targeted attacks and the beginnings of intercommunal friction at the Western Wall.</w:t>
      </w:r>
    </w:p>
    <w:p>
      <w:pPr>
        <w:spacing w:after="100"/>
      </w:pPr>
      <w:r>
        <w:rPr>
          <w:b/>
          <w:bCs/>
        </w:rPr>
        <w:t xml:space="preserve">1929 (29 events): </w:t>
      </w:r>
      <w:r>
        <w:t xml:space="preserve">The Western Wall riots and the Hebron and Safed massacres. The deadliest single wave of communal violence before the Arab Revolt, with 133 Jews and 116 Arabs killed.</w:t>
      </w:r>
    </w:p>
    <w:p>
      <w:pPr>
        <w:spacing w:after="100"/>
      </w:pPr>
      <w:r>
        <w:rPr>
          <w:b/>
          <w:bCs/>
        </w:rPr>
        <w:t xml:space="preserve">1930–1935 (14 events): </w:t>
      </w:r>
      <w:r>
        <w:t xml:space="preserve">The rise of organized Arab militancy (Qassam movement, Black Hand), early Irgun formation, and escalating low-level violence leading to the Arab Revolt.</w:t>
      </w:r>
    </w:p>
    <w:p>
      <w:pPr>
        <w:spacing w:after="100"/>
      </w:pPr>
      <w:r>
        <w:rPr>
          <w:b/>
          <w:bCs/>
        </w:rPr>
        <w:t xml:space="preserve">1936 (26 events): </w:t>
      </w:r>
      <w:r>
        <w:t xml:space="preserve">Phase I of the Arab Revolt. The general strike, al-Qawuqji’s incursion, the Battle of Nur Shams, and the first retaliatory Irgun operations against Arab civilians.</w:t>
      </w:r>
    </w:p>
    <w:p>
      <w:pPr>
        <w:spacing w:after="100"/>
      </w:pPr>
      <w:r>
        <w:rPr>
          <w:b/>
          <w:bCs/>
        </w:rPr>
        <w:t xml:space="preserve">1937 (18 events): </w:t>
      </w:r>
      <w:r>
        <w:t xml:space="preserve">The Peel Commission, assassination of District Commissioner Andrews, and the breaking of Havlaga (Irgun restraint policy), culminating in Black Sunday’s coordinated multi-city attacks.</w:t>
      </w:r>
    </w:p>
    <w:p>
      <w:pPr>
        <w:spacing w:after="100"/>
      </w:pPr>
      <w:r>
        <w:rPr>
          <w:b/>
          <w:bCs/>
        </w:rPr>
        <w:t xml:space="preserve">1938 (33 events): </w:t>
      </w:r>
      <w:r>
        <w:t xml:space="preserve">Peak year of the Arab Revolt and the most violent year in the dataset (1,762 killed). Includes 18 Irgun attacks, the Tiberias massacre, Special Night Squads operations, and large-scale British military suppression.</w:t>
      </w:r>
    </w:p>
    <w:p>
      <w:pPr>
        <w:spacing w:after="100"/>
      </w:pPr>
      <w:r>
        <w:rPr>
          <w:b/>
          <w:bCs/>
        </w:rPr>
        <w:t xml:space="preserve">1939 (24 events): </w:t>
      </w:r>
      <w:r>
        <w:t xml:space="preserve">The White Paper, Irgun’s pivot from anti-Arab to anti-British targeting, the donkey-bomb era, and the outbreak of World War II leading to ceasefire.</w:t>
      </w:r>
    </w:p>
    <w:p>
      <w:pPr>
        <w:spacing w:after="100"/>
      </w:pPr>
      <w:r>
        <w:rPr>
          <w:b/>
          <w:bCs/>
        </w:rPr>
        <w:t xml:space="preserve">1940–1945 (22 events): </w:t>
      </w:r>
      <w:r>
        <w:t xml:space="preserve">LEHI formation, the Patria and Struma disasters, Begin’s revolt declaration (February 1944), the Moyne assassination, formation of the Hebrew Resistance Movement, and the Night of the Trains.</w:t>
      </w:r>
    </w:p>
    <w:p>
      <w:pPr>
        <w:spacing w:after="100"/>
      </w:pPr>
      <w:r>
        <w:rPr>
          <w:b/>
          <w:bCs/>
        </w:rPr>
        <w:t xml:space="preserve">1946 (12 events): </w:t>
      </w:r>
      <w:r>
        <w:t xml:space="preserve">The peak of the Jewish insurgency. King David Hotel bombing (91 killed), Night of the Bridges, Operation Agatha, LEHI attacks on RAF airfields, and the Rome embassy bombing.</w:t>
      </w:r>
    </w:p>
    <w:p>
      <w:pPr>
        <w:spacing w:after="200"/>
      </w:pPr>
      <w:r>
        <w:rPr>
          <w:b/>
          <w:bCs/>
        </w:rPr>
        <w:t xml:space="preserve">1947–1948 (25 events): </w:t>
      </w:r>
      <w:r>
        <w:t xml:space="preserve">From the UNSCOP period through the civil war phase to independence. Includes the Acre Prison break, Sergeants affair, UN Partition vote, Ben Yehuda Street bombing, Deir Yassin, the Hadassah convoy massacre, battles for Haifa and Jaffa, and the Kfar Etzion massacre.</w:t>
      </w:r>
    </w:p>
    <w:p>
      <w:pPr>
        <w:pStyle w:val="Heading1"/>
      </w:pPr>
      <w:r>
        <w:t xml:space="preserve">4. Source Hierarchy and Decision-Making</w:t>
      </w:r>
    </w:p>
    <w:p>
      <w:pPr>
        <w:spacing w:after="200"/>
      </w:pPr>
      <w:r>
        <w:t xml:space="preserve">Events were sourced and cross-validated using a hierarchy of evidence. Each event’s source field records the primary basis for inclusion:</w:t>
      </w:r>
    </w:p>
    <w:p>
      <w:pPr>
        <w:spacing w:after="200"/>
      </w:pPr>
      <w:r>
        <w:rPr>
          <w:b/>
          <w:bCs/>
        </w:rPr>
        <w:t xml:space="preserve">Wikipedia Irgun Attacks list (18 events coded as “Wikipedia_Irgun”; 36 as “Wikipedia_Irgun+historiography”): </w:t>
      </w:r>
      <w:r>
        <w:t xml:space="preserve">A structured Wikipedia article listing Irgun operations with dates, locations, and casualty figures. This served as the initial scaffold for Irgun-attributed events from 1937 onward. Every Wikipedia-sourced event was cross-validated against at least one historiographic source before inclusion. The 71-event CSV extracted from this list was used as a cross-validation reference throughout the process.</w:t>
      </w:r>
    </w:p>
    <w:p>
      <w:pPr>
        <w:spacing w:after="200"/>
      </w:pPr>
      <w:r>
        <w:rPr>
          <w:b/>
          <w:bCs/>
        </w:rPr>
        <w:t xml:space="preserve">Historiographic sources (57 events coded “historiography”; 48 as “historiography+press”): </w:t>
      </w:r>
      <w:r>
        <w:t xml:space="preserve">Academic monographs, government commissions, and reference works including: the Haycraft Commission Report (1921), Shaw Commission Report (1930), Peel Commission Report (1937), Woodhead Commission (1938), the Palestine Survey (1946), and academic works by Bowden, Hughes, Townshend, Hoffman, Bell, Horne, Segev, Morris, Khalidi, Slutsky, and Niv. These provided the primary evidence for non-Irgun events and for validating casualty figures across all perpetrator groups.</w:t>
      </w:r>
    </w:p>
    <w:p>
      <w:pPr>
        <w:spacing w:after="200"/>
      </w:pPr>
      <w:r>
        <w:rPr>
          <w:b/>
          <w:bCs/>
        </w:rPr>
        <w:t xml:space="preserve">Mandate-curated (72 events coded “mandate_curated”): </w:t>
      </w:r>
      <w:r>
        <w:t xml:space="preserve">Events synthesized from multiple converging sources where no single source provided complete information. This category includes the 1920 and 1921 riot events, 1929 massacre events, and early 1930s incidents where the primary record derives from British administrative reports, Yishuv documentation, and press accounts used in combination.</w:t>
      </w:r>
    </w:p>
    <w:p>
      <w:pPr>
        <w:pStyle w:val="Heading1"/>
      </w:pPr>
      <w:r>
        <w:t xml:space="preserve">5. Perpetrator Coding System</w:t>
      </w:r>
    </w:p>
    <w:p>
      <w:pPr>
        <w:spacing w:after="200"/>
      </w:pPr>
      <w:r>
        <w:t xml:space="preserve">A numeric perpetrator code system was developed to classify actors systematically across the Mandate period. The codes follow a block structure: 100-series for Jewish armed organizations, 200-series for Arab groups, and 300-series for British state forces.</w:t>
      </w:r>
    </w:p>
    <w:p>
      <w:pPr>
        <w:spacing w:after="100"/>
      </w:pPr>
      <w:r>
        <w:rPr>
          <w:b/>
          <w:bCs/>
        </w:rPr>
        <w:t xml:space="preserve">101 – Irgun Zvai Leumi (Etzel): </w:t>
      </w:r>
      <w:r>
        <w:t xml:space="preserve">69 events, 556 killed. The most frequently appearing perpetrator. Coding required distinguishing Irgun operations from Haganah actions, particularly during the Hebrew Resistance Movement period (October 1945–July 1946) when joint operations were coded under 106.</w:t>
      </w:r>
    </w:p>
    <w:p>
      <w:pPr>
        <w:spacing w:after="100"/>
      </w:pPr>
      <w:r>
        <w:rPr>
          <w:b/>
          <w:bCs/>
        </w:rPr>
        <w:t xml:space="preserve">102 – LEHI (Stern Gang): </w:t>
      </w:r>
      <w:r>
        <w:t xml:space="preserve">Coded from 1940 onward following the split from Irgun. Key events include the Moyne assassination (1944), various anti-British attacks during the insurgency, and the Haifa truck bomb (1947).</w:t>
      </w:r>
    </w:p>
    <w:p>
      <w:pPr>
        <w:spacing w:after="100"/>
      </w:pPr>
      <w:r>
        <w:rPr>
          <w:b/>
          <w:bCs/>
        </w:rPr>
        <w:t xml:space="preserve">103 – Haganah: </w:t>
      </w:r>
      <w:r>
        <w:t xml:space="preserve">The main Yishuv defense organization, coded for retaliatory operations and defensive actions. Distinguished from Palmach (105) for elite strike missions.</w:t>
      </w:r>
    </w:p>
    <w:p>
      <w:pPr>
        <w:spacing w:after="100"/>
      </w:pPr>
      <w:r>
        <w:rPr>
          <w:b/>
          <w:bCs/>
        </w:rPr>
        <w:t xml:space="preserve">104 – Special Night Squads (Wingate): </w:t>
      </w:r>
      <w:r>
        <w:t xml:space="preserve">A unique code created for Orde Wingate’s joint British-Jewish counter-insurgency units operating in 1938. These were neither purely British nor purely Jewish, requiring a distinct code.</w:t>
      </w:r>
    </w:p>
    <w:p>
      <w:pPr>
        <w:spacing w:after="100"/>
      </w:pPr>
      <w:r>
        <w:rPr>
          <w:b/>
          <w:bCs/>
        </w:rPr>
        <w:t xml:space="preserve">105 – Palmach: </w:t>
      </w:r>
      <w:r>
        <w:t xml:space="preserve">The Haganah’s elite strike force, coded separately from 1941 onward for operations with distinct command structures, including the Night of the Bridges and the Balad al-Sheikh reprisal.</w:t>
      </w:r>
    </w:p>
    <w:p>
      <w:pPr>
        <w:spacing w:after="100"/>
      </w:pPr>
      <w:r>
        <w:rPr>
          <w:b/>
          <w:bCs/>
        </w:rPr>
        <w:t xml:space="preserve">106 – Hebrew Resistance Movement: </w:t>
      </w:r>
      <w:r>
        <w:t xml:space="preserve">The united front of Haganah, Irgun, and LEHI from October 1945 to approximately July 1946. Events during this period where all three organizations participated were coded under 106; operations clearly attributable to a single organization retained their specific code.</w:t>
      </w:r>
    </w:p>
    <w:p>
      <w:pPr>
        <w:spacing w:after="100"/>
      </w:pPr>
      <w:r>
        <w:rPr>
          <w:b/>
          <w:bCs/>
        </w:rPr>
        <w:t xml:space="preserve">201 – Arab rioters/militias: </w:t>
      </w:r>
      <w:r>
        <w:t xml:space="preserve">31 events, 137 killed. Used for unorganized or loosely organized Arab communal violence, particularly during the 1920, 1921, and 1929 riots.</w:t>
      </w:r>
    </w:p>
    <w:p>
      <w:pPr>
        <w:spacing w:after="100"/>
      </w:pPr>
      <w:r>
        <w:rPr>
          <w:b/>
          <w:bCs/>
        </w:rPr>
        <w:t xml:space="preserve">210 – Qassamites/Black Hand: </w:t>
      </w:r>
      <w:r>
        <w:t xml:space="preserve">Izz ad-Din al-Qassam’s followers and related militant cells, active 1931–1935.</w:t>
      </w:r>
    </w:p>
    <w:p>
      <w:pPr>
        <w:spacing w:after="100"/>
      </w:pPr>
      <w:r>
        <w:rPr>
          <w:b/>
          <w:bCs/>
        </w:rPr>
        <w:t xml:space="preserve">211 – Arab rebel bands: </w:t>
      </w:r>
      <w:r>
        <w:t xml:space="preserve">31 events, 900 killed. The principal perpetrator during the Arab Revolt (1936–1939), covering organized armed groups operating under the AHC’s political direction.</w:t>
      </w:r>
    </w:p>
    <w:p>
      <w:pPr>
        <w:spacing w:after="100"/>
      </w:pPr>
      <w:r>
        <w:rPr>
          <w:b/>
          <w:bCs/>
        </w:rPr>
        <w:t xml:space="preserve">212 – al-Qawuqji volunteers: </w:t>
      </w:r>
      <w:r>
        <w:t xml:space="preserve">Fawzi al-Qawuqji’s pan-Arab volunteer force that entered Palestine during the 1936 revolt.</w:t>
      </w:r>
    </w:p>
    <w:p>
      <w:pPr>
        <w:spacing w:after="200"/>
      </w:pPr>
      <w:r>
        <w:rPr>
          <w:b/>
          <w:bCs/>
        </w:rPr>
        <w:t xml:space="preserve">301 – British security forces: </w:t>
      </w:r>
      <w:r>
        <w:t xml:space="preserve">16 events, 1,795 killed. Includes British Army, Palestine Police, CID, and RAF operations. The high casualty count reflects large-scale military suppression operations during the Arab Revolt (1938 alone: over 1,000 Arab rebels and civilians killed by British forces) and incidents like the Patria sinking.</w:t>
      </w:r>
    </w:p>
    <w:p>
      <w:pPr>
        <w:pStyle w:val="Heading1"/>
      </w:pPr>
      <w:r>
        <w:t xml:space="preserve">6. Key Coding Decisions and Judgment Calls</w:t>
      </w:r>
    </w:p>
    <w:p>
      <w:pPr>
        <w:pStyle w:val="Heading2"/>
      </w:pPr>
      <w:r>
        <w:t xml:space="preserve">6.1 Inclusion Criteria</w:t>
      </w:r>
    </w:p>
    <w:p>
      <w:pPr>
        <w:spacing w:after="200"/>
      </w:pPr>
      <w:r>
        <w:t xml:space="preserve">Events were included if they involved politically motivated violence resulting in death, injury, or significant property destruction; organized military or paramilitary operations; or politically significant non-violent events directly linked to the violence cycle (e.g., the Peel Commission, White Paper, UN Partition vote, independence declaration). Pure political events are clearly marked with attack_type “Political Event” or “Political Declaration” and zero casualties.</w:t>
      </w:r>
    </w:p>
    <w:p>
      <w:pPr>
        <w:pStyle w:val="Heading2"/>
      </w:pPr>
      <w:r>
        <w:t xml:space="preserve">6.2 Aggregate vs. Individual Events</w:t>
      </w:r>
    </w:p>
    <w:p>
      <w:pPr>
        <w:spacing w:after="200"/>
      </w:pPr>
      <w:r>
        <w:t xml:space="preserve">For periods where individual incident-level data is unavailable but reliable aggregate casualty figures exist, aggregate events were created. These are clearly identifiable through their descriptions, which specify the aggregation scope (e.g., “Arab Revolt remainder: scattered ambushes, sniping, and sabotage, Nov–Dec 1938”). Aggregate events capture the residual violence not covered by individually documented incidents, preventing systematic undercounting while being transparent about the level of granularity.</w:t>
      </w:r>
    </w:p>
    <w:p>
      <w:pPr>
        <w:pStyle w:val="Heading2"/>
      </w:pPr>
      <w:r>
        <w:t xml:space="preserve">6.3 Casualty Figures</w:t>
      </w:r>
    </w:p>
    <w:p>
      <w:pPr>
        <w:spacing w:after="200"/>
      </w:pPr>
      <w:r>
        <w:t xml:space="preserve">Casualty figures follow a conservative estimation approach. Where sources disagree, the lower or consensus figure was typically adopted unless the higher figure had stronger evidentiary support. Key contested cases include: Deir Yassin (107 killed per modern scholarship, not the 254 figure from early propaganda); the 1929 Hebron massacre (67 killed, well-documented); and British military suppression totals during 1938 (estimated 1,000+ Arab dead based on Townshend, Hughes, and contemporary British records). Historiographic debates are noted in the validation_notes field.</w:t>
      </w:r>
    </w:p>
    <w:p>
      <w:pPr>
        <w:pStyle w:val="Heading2"/>
      </w:pPr>
      <w:r>
        <w:t xml:space="preserve">6.4 Geocoding</w:t>
      </w:r>
    </w:p>
    <w:p>
      <w:pPr>
        <w:spacing w:after="200"/>
      </w:pPr>
      <w:r>
        <w:t xml:space="preserve">All events include latitude and longitude coordinates. The geo_quality field records the precision level: “precise” (19 events) for exact street addresses or building locations; “street” (3 events) for street-level identification; “locality” (69 events) for town or neighborhood centroids; “approximate” (91 events) for general area identification; “regional” (47 events) for district or sub-district level; and “multiple locations” (3 events) for coordinated attacks spanning multiple sites. Coordinates were derived from modern gazetteer data and historical maps.</w:t>
      </w:r>
    </w:p>
    <w:p>
      <w:pPr>
        <w:pStyle w:val="Heading2"/>
      </w:pPr>
      <w:r>
        <w:t xml:space="preserve">6.5 The Irgun Targeting Shift</w:t>
      </w:r>
    </w:p>
    <w:p>
      <w:pPr>
        <w:spacing w:after="200"/>
      </w:pPr>
      <w:r>
        <w:t xml:space="preserve">One of the most significant analytical observations documented in the dataset is the Irgun’s targeting shift. From 1937 to 1939, Irgun operations overwhelmingly targeted Arab civilians (markets, buses, crowds) as reprisals for Arab Revolt violence against Jews. Following the outbreak of World War II and particularly after Menachem Begin assumed command in late 1943, the Irgun pivoted to targeting British military and governmental installations. This shift is visible in the target_type field, which transitions from “Civilian (Arab)” entries in 1937–1939 to “Government,” “Military,” and “Police (British)” entries from 1944 onward. The 1947–1948 civil war period saw a partial reversion to targeting Arab civilians.</w:t>
      </w:r>
    </w:p>
    <w:p>
      <w:pPr>
        <w:pStyle w:val="Heading1"/>
      </w:pPr>
      <w:r>
        <w:t xml:space="preserve">7. Cross-Validation Procedures</w:t>
      </w:r>
    </w:p>
    <w:p>
      <w:pPr>
        <w:spacing w:after="200"/>
      </w:pPr>
      <w:r>
        <w:t xml:space="preserve">Three cross-validation procedures were applied throughout the dataset construction:</w:t>
      </w:r>
    </w:p>
    <w:p>
      <w:pPr>
        <w:spacing w:after="200"/>
      </w:pPr>
      <w:r>
        <w:rPr>
          <w:b/>
          <w:bCs/>
        </w:rPr>
        <w:t xml:space="preserve">Wikipedia cross-check: </w:t>
      </w:r>
      <w:r>
        <w:t xml:space="preserve">A 71-event CSV extracted from the Wikipedia “List of Irgun Attacks” was used as a reference throughout. Each Irgun event in the dataset was compared against this list for date, location, and casualty consistency. Discrepancies were resolved in favor of the historiographic source and documented in validation_notes.</w:t>
      </w:r>
    </w:p>
    <w:p>
      <w:pPr>
        <w:spacing w:after="200"/>
      </w:pPr>
      <w:r>
        <w:rPr>
          <w:b/>
          <w:bCs/>
        </w:rPr>
        <w:t xml:space="preserve">Casualty consistency: </w:t>
      </w:r>
      <w:r>
        <w:t xml:space="preserve">Annual and period totals were cross-checked against known aggregate figures from commission reports and academic literature. For example, the 1936 file’s itemized Jewish dead totaled approximately 37, compared to the Peel Commission’s figure of approximately 80 for the full year—the gap representing dozens of individual sniping incidents aggregated into a single entry. The 1937 Black Sunday total (10 killed, 13 wounded) was validated against multiple sources. The 1938 Irgun total (154 killed) was found consistent with the Wikipedia list aggregate.</w:t>
      </w:r>
    </w:p>
    <w:p>
      <w:pPr>
        <w:spacing w:after="200"/>
      </w:pPr>
      <w:r>
        <w:rPr>
          <w:b/>
          <w:bCs/>
        </w:rPr>
        <w:t xml:space="preserve">Historiographic triangulation: </w:t>
      </w:r>
      <w:r>
        <w:t xml:space="preserve">Events with contested narratives (Deir Yassin, Tantura, the Sergeants affair) were coded using the scholarly consensus where one existed, with alternative interpretations noted. Source disagreements on specific casualty numbers were resolved by selecting the figure best supported by primary documentation and noting the range in validation_notes.</w:t>
      </w:r>
    </w:p>
    <w:p>
      <w:pPr>
        <w:pStyle w:val="Heading1"/>
      </w:pPr>
      <w:r>
        <w:t xml:space="preserve">8. Limitations</w:t>
      </w:r>
    </w:p>
    <w:p>
      <w:pPr>
        <w:spacing w:after="200"/>
      </w:pPr>
      <w:r>
        <w:t xml:space="preserve">This dataset has several inherent limitations that users should consider:</w:t>
      </w:r>
    </w:p>
    <w:p>
      <w:pPr>
        <w:spacing w:after="200"/>
      </w:pPr>
      <w:r>
        <w:rPr>
          <w:b/>
          <w:bCs/>
        </w:rPr>
        <w:t xml:space="preserve">Undercounting of low-level violence: </w:t>
      </w:r>
      <w:r>
        <w:t xml:space="preserve">The dataset necessarily underrepresents the thousands of small-scale incidents (individual shootings, stabbings, arson attacks) that occurred during the Arab Revolt and earlier periods. The dataset captures approximately 232 significant events, while the actual number of violent incidents during 1920–1948 likely exceeded several thousand. Aggregate events partially mitigate this but do not resolve it.</w:t>
      </w:r>
    </w:p>
    <w:p>
      <w:pPr>
        <w:spacing w:after="200"/>
      </w:pPr>
      <w:r>
        <w:rPr>
          <w:b/>
          <w:bCs/>
        </w:rPr>
        <w:t xml:space="preserve">Source bias: </w:t>
      </w:r>
      <w:r>
        <w:t xml:space="preserve">Available English-language historiography disproportionately documents Jewish and British perspectives. Arab-initiated violence during the 1920s and 1929 is well-documented through British commission reports, but the internal organization and decision-making of Arab armed groups during the 1936–1939 revolt is less well-recorded at the individual-event level. This may produce asymmetric granularity across perpetrator groups.</w:t>
      </w:r>
    </w:p>
    <w:p>
      <w:pPr>
        <w:spacing w:after="200"/>
      </w:pPr>
      <w:r>
        <w:rPr>
          <w:b/>
          <w:bCs/>
        </w:rPr>
        <w:t xml:space="preserve">Casualty estimation uncertainty: </w:t>
      </w:r>
      <w:r>
        <w:t xml:space="preserve">Casualty figures for the Arab Revolt period (1936–1939) carry the greatest uncertainty. British military suppression killed an estimated 2,000–5,000 Arabs during 1936–1939, but the distribution across specific operations is imprecise. The dataset’s aggregate entries for military suppression rely on the best available estimates from Townshend, Hughes, and British administrative records.</w:t>
      </w:r>
    </w:p>
    <w:p>
      <w:pPr>
        <w:spacing w:after="200"/>
      </w:pPr>
      <w:r>
        <w:rPr>
          <w:b/>
          <w:bCs/>
        </w:rPr>
        <w:t xml:space="preserve">Geocoding precision: </w:t>
      </w:r>
      <w:r>
        <w:t xml:space="preserve">Only 22 of 232 events have precise or street-level geocoding. The majority rely on locality or approximate coordinates, reflecting the limited spatial specificity of historical sources. Users requiring precise location analysis should filter by geo_quality.</w:t>
      </w:r>
    </w:p>
    <w:p>
      <w:pPr>
        <w:pStyle w:val="Heading1"/>
      </w:pPr>
      <w:r>
        <w:t xml:space="preserve">9. Integration with the NSSC Consolidated Dataset</w:t>
      </w:r>
    </w:p>
    <w:p>
      <w:pPr>
        <w:spacing w:after="200"/>
      </w:pPr>
      <w:r>
        <w:t xml:space="preserve">The 232 Mandate-era events are designed for seamless concatenation with the existing NSSC Terrorism in Israel Consolidated Dataset (4,948 events, 1947–2020). The MAN- prefix in event_id prevents ID collisions. The 33-column schema is identical. There is a small temporal overlap in 1947–1948, where both datasets may contain events; users merging the datasets should de-duplicate using the event description and date fields. The combined dataset would span 1920–2020 with approximately 5,180 events.</w:t>
      </w:r>
    </w:p>
    <w:p>
      <w:pPr>
        <w:pStyle w:val="Heading1"/>
      </w:pPr>
      <w:r>
        <w:t xml:space="preserve">10. Tools and Workflow</w:t>
      </w:r>
    </w:p>
    <w:p>
      <w:pPr>
        <w:spacing w:after="200"/>
      </w:pPr>
      <w:r>
        <w:t xml:space="preserve">The dataset was constructed using a systematic, year-by-year workflow. For each year or year-group, the process followed these steps: (1) web-based research using Wikipedia, academic sources, and digitized commission reports to identify all significant events; (2) coding each event into the 33-column NSSC schema as a Python dictionary; (3) generating a Python script that exports the events to CSV; (4) running the script to produce the year’s CSV file; (5) cross-validating casualty totals against known aggregates; and (6) documenting discrepancies in validation_notes. The year files were then concatenated into a single unified dataset and exported to Excel format with summary sheets.</w:t>
      </w:r>
    </w:p>
    <w:p>
      <w:pPr>
        <w:spacing w:after="200"/>
      </w:pPr>
      <w:r>
        <w:t xml:space="preserve">All Python scripts, individual year CSV files, and the combined dataset are preserved as part of the project record. The workflow was executed using Claude (Anthropic) as a research assistant under direct supervision, with all coding decisions reviewed and validated by the principal investigator.</w:t>
      </w:r>
    </w:p>
    <w:p>
      <w:pPr>
        <w:pStyle w:val="Heading1"/>
      </w:pPr>
      <w:r>
        <w:t xml:space="preserve">11. Recommended Citation</w:t>
      </w:r>
    </w:p>
    <w:p>
      <w:pPr>
        <w:spacing w:after="200"/>
      </w:pPr>
      <w:r>
        <w:rPr>
          <w:i/>
          <w:iCs/>
        </w:rPr>
        <w:t xml:space="preserve">Pedahzur, Ami. “Mandate-Era Political Violence in Palestine, 1920–1948: A Systematic Event-Level Dataset.” NSSC Terrorism in Israel Project, University of Haifa,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Methodological Appendix: Mandate-Era Political Violence Dataset, 1920–1948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sz w:val="32"/>
      <w:szCs w:val="32"/>
    </w:rPr>
  </w:style>
  <w:style w:type="paragraph" w:styleId="Heading2">
    <w:name w:val="Heading 2"/>
    <w:basedOn w:val="Normal"/>
    <w:next w:val="Normal"/>
    <w:qFormat/>
    <w:pPr>
      <w:spacing w:after="180" w:before="240"/>
      <w:outlineLvl w:val="1"/>
    </w:pPr>
    <w:rPr>
      <w:rFonts w:ascii="Arial" w:cs="Arial" w:eastAsia="Arial" w:hAnsi="Arial"/>
      <w:b/>
      <w:bCs/>
      <w:sz w:val="28"/>
      <w:szCs w:val="28"/>
    </w:rPr>
  </w:style>
  <w:style w:type="paragraph" w:styleId="Heading3">
    <w:name w:val="Heading 3"/>
    <w:basedOn w:val="Normal"/>
    <w:next w:val="Normal"/>
    <w:qFormat/>
    <w:pPr>
      <w:spacing w:after="120" w:before="18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2026-04-13T03:12:45.509Z</dcterms:created>
  <dcterms:modified xsi:type="dcterms:W3CDTF">2026-04-13T03:12:45.510Z</dcterms:modified>
</cp:coreProperties>
</file>

<file path=docProps/custom.xml><?xml version="1.0" encoding="utf-8"?>
<Properties xmlns="http://schemas.openxmlformats.org/officeDocument/2006/custom-properties" xmlns:vt="http://schemas.openxmlformats.org/officeDocument/2006/docPropsVTypes"/>
</file>