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Highlights</w:t>
      </w:r>
    </w:p>
    <w:p>
      <w:pPr>
        <w:numPr>
          <w:ilvl w:val="0"/>
          <w:numId w:val="1"/>
        </w:numPr>
      </w:pPr>
      <w:r>
        <w:t xml:space="preserve">ChromeRAG converts HTML to RAG-ready Markdown with a 150 KB learned block filter.</w:t>
      </w:r>
    </w:p>
    <w:p>
      <w:pPr>
        <w:numPr>
          <w:ilvl w:val="0"/>
          <w:numId w:val="1"/>
        </w:numPr>
      </w:pPr>
      <w:r>
        <w:t xml:space="preserve">On 372 held-out WCXB pages: F1 0.907 vs 0.867 Trafilatura, 0.568 MarkItDown.</w:t>
      </w:r>
    </w:p>
    <w:p>
      <w:pPr>
        <w:numPr>
          <w:ilvl w:val="0"/>
          <w:numId w:val="1"/>
        </w:numPr>
      </w:pPr>
      <w:r>
        <w:t xml:space="preserve">Largest gain on forums (+0.16 F1); ties Trafilatura on articles and documentation.</w:t>
      </w:r>
    </w:p>
    <w:p>
      <w:pPr>
        <w:numPr>
          <w:ilvl w:val="0"/>
          <w:numId w:val="1"/>
        </w:numPr>
      </w:pPr>
      <w:r>
        <w:t xml:space="preserve">Blinded LLM judges of three families prefer it to Trafilatura on 328 fresh pages.</w:t>
      </w:r>
    </w:p>
    <w:p>
      <w:pPr>
        <w:numPr>
          <w:ilvl w:val="0"/>
          <w:numId w:val="1"/>
        </w:numPr>
      </w:pPr>
      <w:r>
        <w:t xml:space="preserve">CPU-only NumPy inference, about 52 ms per page; learns site templates; MIT, on PyPI.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