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1D86622" w14:textId="60C12F37">
      <w:pPr w14:paraId="0000D001" w14:textId="0000D002">
        <w:pStyle w:val="Heading1"/>
        <w:spacing w:before="0" w:line="240" w:lineRule="auto"/>
        <w:rPr>
          <w:rFonts w:ascii="Arial" w:hAnsi="Arial" w:cs="Arial"/>
          <w:i/>
          <w:iCs/>
          <w:sz w:val="22"/>
          <w:szCs w:val="22"/>
        </w:rPr>
      </w:pPr>
      <w:r>
        <w:t>ChromeRAG: Ingest-Time Elimination of Site Template Noise for Enterprise Web RAG</w:t>
      </w:r>
    </w:p>
    <w:p w14:paraId="42F38EE1" w14:textId="4B89B90B">
      <w:pPr w14:paraId="0000D003" w14:textId="0000D004">
        <w:pStyle w:val="Body"/>
        <w:spacing w:before="0" w:line="240" w:lineRule="auto"/>
        <w:rPr>
          <w:rFonts w:ascii="Arial" w:hAnsi="Arial" w:cs="Arial"/>
          <w:i/>
          <w:iCs/>
          <w:sz w:val="22"/>
          <w:szCs w:val="22"/>
        </w:rPr>
      </w:pPr>
      <w:r>
        <w:t>Bhargava Chary Peddapudi (Independent Researcher; ORCID: https://orcid.org/0009-0002-8523-8415); Corresponding email: pedapudibhargav@gmail.com</w:t>
      </w:r>
    </w:p>
    <w:p w14:paraId="0AB0CA3F" w14:textId="77777777">
      <w:pPr w14:paraId="0000D005" w14:textId="0000D006">
        <w:pStyle w:val="Heading1"/>
        <w:tabs>
          <w:tab w:val="left" w:pos="5244"/>
        </w:tabs>
        <w:spacing w:before="0" w:line="240" w:lineRule="auto"/>
        <w:rPr>
          <w:rFonts w:ascii="Arial" w:hAnsi="Arial" w:cs="Arial"/>
          <w:b w:val="0"/>
          <w:sz w:val="22"/>
          <w:szCs w:val="22"/>
        </w:rPr>
      </w:pPr>
      <w:r>
        <w:rPr>
          <w:rFonts w:ascii="Arial" w:hAnsi="Arial" w:cs="Arial"/>
          <w:bCs/>
          <w:sz w:val="22"/>
          <w:szCs w:val="22"/>
        </w:rPr>
        <w:t>Abstract</w:t>
      </w:r>
      <w:r>
        <w:rPr>
          <w:rFonts w:ascii="Arial" w:hAnsi="Arial" w:cs="Arial"/>
          <w:b w:val="0"/>
          <w:sz w:val="22"/>
          <w:szCs w:val="22"/>
        </w:rPr>
        <w:t xml:space="preserve"> </w:t>
      </w:r>
    </w:p>
    <w:p w14:paraId="4D1864C1" w14:textId="26CB7A77">
      <w:pPr w14:paraId="0000D007" w14:textId="0000D008">
        <w:pStyle w:val="Body"/>
        <w:tabs>
          <w:tab w:val="left" w:pos="5244"/>
        </w:tabs>
        <w:spacing w:before="0" w:line="240" w:lineRule="auto"/>
        <w:rPr>
          <w:rFonts w:ascii="Arial" w:eastAsia="Calibri" w:hAnsi="Arial" w:cs="Arial"/>
          <w:b w:val="0"/>
          <w:i/>
          <w:iCs/>
          <w:sz w:val="22"/>
          <w:szCs w:val="22"/>
        </w:rPr>
      </w:pPr>
      <w:r>
        <w:t>Web pages indexed for retrieval-augmented generation (RAG) carry navigation menus, cookie banners and footers that become noisy chunks in the vector store. ChromeRAG is an MIT-licensed, CPU-only Python package and command-line tool that converts HTML into RAG-ready Markdown. It removes this site-template "chrome", optionally learns a site's repeated template from a few pages, turns Schema.org metadata into front-matter, linearizes tables, and flags unrendered JavaScript shells. On 242 public pages it reached a balanced F-score of 0.788, against 0.739 for Trafilatura and 0.696 for MarkItDown, and in BM25 retrieval it matched MarkItDown's accuracy with 35% fewer chunks.</w:t>
      </w:r>
    </w:p>
    <w:p w14:paraId="108BE7F8" w14:textId="77777777">
      <w:pPr w14:paraId="0000D009" w14:textId="0000D00A">
        <w:pStyle w:val="Heading1"/>
        <w:spacing w:before="0" w:line="240" w:lineRule="auto"/>
        <w:rPr>
          <w:rFonts w:ascii="Arial" w:eastAsia="Calibri" w:hAnsi="Arial" w:cs="Arial"/>
          <w:sz w:val="22"/>
          <w:szCs w:val="22"/>
        </w:rPr>
      </w:pPr>
      <w:r>
        <w:rPr>
          <w:rFonts w:ascii="Arial" w:eastAsia="Calibri" w:hAnsi="Arial" w:cs="Arial"/>
          <w:sz w:val="22"/>
          <w:szCs w:val="22"/>
        </w:rPr>
        <w:t>Keywords</w:t>
      </w:r>
      <w:r>
        <w:rPr>
          <w:rFonts w:ascii="Arial" w:eastAsia="Calibri" w:hAnsi="Arial" w:cs="Arial"/>
          <w:sz w:val="22"/>
          <w:szCs w:val="22"/>
        </w:rPr>
        <w:t xml:space="preserve"> </w:t>
      </w:r>
    </w:p>
    <w:p w14:paraId="0F0B7460" w14:textId="40FDA03F">
      <w:pPr w14:paraId="0000D00B" w14:textId="0000D00C">
        <w:pStyle w:val="Body"/>
        <w:spacing w:before="0" w:line="240" w:lineRule="auto"/>
        <w:rPr>
          <w:rFonts w:ascii="Arial" w:hAnsi="Arial" w:cs="Arial"/>
          <w:sz w:val="22"/>
          <w:szCs w:val="22"/>
        </w:rPr>
      </w:pPr>
      <w:r>
        <w:t>retrieval-augmented generation; HTML extraction; boilerplate removal; web template detection; Markdown; Python</w:t>
      </w:r>
    </w:p>
    <w:p w14:paraId="42B80A20" w14:textId="350036B7">
      <w:pPr w14:paraId="0000D00D" w14:textId="0000D00E">
        <w:pStyle w:val="Heading1"/>
        <w:spacing w:before="0" w:line="240" w:lineRule="auto"/>
        <w:rPr>
          <w:rFonts w:ascii="Arial" w:hAnsi="Arial" w:cs="Arial"/>
          <w:sz w:val="22"/>
          <w:szCs w:val="22"/>
        </w:rPr>
      </w:pPr>
      <w:r>
        <w:rPr>
          <w:rFonts w:ascii="Arial" w:eastAsia="Calibri" w:hAnsi="Arial" w:cs="Arial"/>
          <w:sz w:val="22"/>
          <w:szCs w:val="22"/>
        </w:rPr>
        <w:t>M</w:t>
      </w:r>
      <w:r>
        <w:rPr>
          <w:rFonts w:ascii="Arial" w:eastAsia="Calibri" w:hAnsi="Arial" w:cs="Arial"/>
          <w:sz w:val="22"/>
          <w:szCs w:val="22"/>
        </w:rPr>
        <w:t xml:space="preserve">etadata </w:t>
      </w:r>
    </w:p>
    <w:tbl>
      <w:tblPr>
        <w:tblW w:w="947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567"/>
        <w:gridCol w:w="3554"/>
        <w:gridCol w:w="5357"/>
      </w:tblGrid>
      <w:tr w14:paraId="74ED8066" w14:textId="77777777">
        <w:trPr>
          <w:trHeight w:val="300"/>
        </w:trPr>
        <w:tc>
          <w:tcPr>
            <w:tcW w:w="567" w:type="dxa"/>
          </w:tcPr>
          <w:p w14:paraId="2B1FB160" w14:textId="77777777">
            <w:pPr w14:paraId="0000D00F" w14:textId="0000D010">
              <w:rPr>
                <w:rFonts w:ascii="Arial" w:hAnsi="Arial" w:cs="Arial"/>
                <w:szCs w:val="22"/>
              </w:rPr>
            </w:pPr>
            <w:r>
              <w:rPr>
                <w:rFonts w:ascii="Arial" w:hAnsi="Arial" w:cs="Arial"/>
                <w:b/>
                <w:szCs w:val="22"/>
              </w:rPr>
              <w:t>Nr</w:t>
            </w:r>
          </w:p>
        </w:tc>
        <w:tc>
          <w:tcPr>
            <w:tcW w:w="3554" w:type="dxa"/>
          </w:tcPr>
          <w:p w14:paraId="79E48C8F" w14:textId="77777777">
            <w:pPr w14:paraId="0000D011" w14:textId="0000D012">
              <w:rPr>
                <w:rFonts w:ascii="Arial" w:hAnsi="Arial" w:cs="Arial"/>
                <w:szCs w:val="22"/>
              </w:rPr>
            </w:pPr>
            <w:r>
              <w:rPr>
                <w:rFonts w:ascii="Arial" w:hAnsi="Arial" w:cs="Arial"/>
                <w:b/>
                <w:szCs w:val="22"/>
              </w:rPr>
              <w:t xml:space="preserve">Code metadata description </w:t>
            </w:r>
          </w:p>
        </w:tc>
        <w:tc>
          <w:tcPr>
            <w:tcW w:w="5357" w:type="dxa"/>
          </w:tcPr>
          <w:p w14:paraId="4FF13E3D" w14:textId="1A8E6373">
            <w:pPr w14:paraId="0000D013" w14:textId="0000D014">
              <w:rPr>
                <w:rFonts w:ascii="Arial" w:hAnsi="Arial" w:cs="Arial"/>
                <w:szCs w:val="22"/>
              </w:rPr>
            </w:pPr>
            <w:r>
              <w:rPr>
                <w:rFonts w:ascii="Arial" w:hAnsi="Arial" w:cs="Arial"/>
                <w:b/>
                <w:i/>
                <w:szCs w:val="22"/>
              </w:rPr>
              <w:t>Metadata</w:t>
            </w:r>
          </w:p>
        </w:tc>
      </w:tr>
      <w:tr w14:paraId="44BD84C4" w14:textId="77777777">
        <w:trPr>
          <w:trHeight w:val="300"/>
        </w:trPr>
        <w:tc>
          <w:tcPr>
            <w:tcW w:w="567" w:type="dxa"/>
          </w:tcPr>
          <w:p w14:paraId="5663CBE1" w14:textId="77777777">
            <w:pPr w14:paraId="0000D015" w14:textId="0000D016">
              <w:rPr>
                <w:rFonts w:ascii="Arial" w:hAnsi="Arial" w:cs="Arial"/>
                <w:szCs w:val="22"/>
              </w:rPr>
            </w:pPr>
            <w:r>
              <w:rPr>
                <w:rFonts w:ascii="Arial" w:hAnsi="Arial" w:cs="Arial"/>
                <w:szCs w:val="22"/>
              </w:rPr>
              <w:t>C1</w:t>
            </w:r>
          </w:p>
        </w:tc>
        <w:tc>
          <w:tcPr>
            <w:tcW w:w="3554" w:type="dxa"/>
          </w:tcPr>
          <w:p w14:paraId="4D915645" w14:textId="77777777">
            <w:pPr w14:paraId="0000D017" w14:textId="0000D018">
              <w:rPr>
                <w:rFonts w:ascii="Arial" w:hAnsi="Arial" w:cs="Arial"/>
                <w:szCs w:val="22"/>
              </w:rPr>
            </w:pPr>
            <w:r>
              <w:rPr>
                <w:rFonts w:ascii="Arial" w:hAnsi="Arial" w:cs="Arial"/>
                <w:szCs w:val="22"/>
              </w:rPr>
              <w:t>Current code version</w:t>
            </w:r>
          </w:p>
        </w:tc>
        <w:tc>
          <w:tcPr>
            <w:tcW w:w="5357" w:type="dxa"/>
          </w:tcPr>
          <w:p w14:paraId="5BA7859B" w14:textId="5E5DB946">
            <w:pPr w14:paraId="0000D019" w14:textId="0000D01A">
              <w:pStyle w:val="Body"/>
              <w:rPr>
                <w:rFonts w:ascii="Arial" w:hAnsi="Arial" w:cs="Arial"/>
                <w:szCs w:val="22"/>
              </w:rPr>
            </w:pPr>
            <w:r>
              <w:t>v0.1.2</w:t>
            </w:r>
          </w:p>
        </w:tc>
      </w:tr>
      <w:tr w14:paraId="5560CBB4" w14:textId="77777777">
        <w:trPr>
          <w:trHeight w:val="300"/>
        </w:trPr>
        <w:tc>
          <w:tcPr>
            <w:tcW w:w="567" w:type="dxa"/>
          </w:tcPr>
          <w:p w14:paraId="359B3DE7" w14:textId="77777777">
            <w:pPr w14:paraId="0000D01B" w14:textId="0000D01C">
              <w:rPr>
                <w:rFonts w:ascii="Arial" w:hAnsi="Arial" w:cs="Arial"/>
                <w:szCs w:val="22"/>
              </w:rPr>
            </w:pPr>
            <w:r>
              <w:rPr>
                <w:rFonts w:ascii="Arial" w:hAnsi="Arial" w:cs="Arial"/>
                <w:szCs w:val="22"/>
              </w:rPr>
              <w:t>C2</w:t>
            </w:r>
          </w:p>
        </w:tc>
        <w:tc>
          <w:tcPr>
            <w:tcW w:w="3554" w:type="dxa"/>
          </w:tcPr>
          <w:p w14:paraId="1FA29392" w14:textId="6379BA1C">
            <w:pPr w14:paraId="0000D01D" w14:textId="0000D01E">
              <w:rPr>
                <w:rFonts w:ascii="Arial" w:hAnsi="Arial" w:cs="Arial"/>
                <w:szCs w:val="22"/>
              </w:rPr>
            </w:pPr>
            <w:r>
              <w:rPr>
                <w:rFonts w:ascii="Arial" w:hAnsi="Arial" w:cs="Arial"/>
                <w:szCs w:val="22"/>
              </w:rPr>
              <w:t xml:space="preserve">Permanent link to code/repository used </w:t>
            </w:r>
            <w:r>
              <w:rPr>
                <w:rFonts w:ascii="Arial" w:hAnsi="Arial" w:cs="Arial"/>
                <w:szCs w:val="22"/>
              </w:rPr>
              <w:t xml:space="preserve">for </w:t>
            </w:r>
            <w:r>
              <w:rPr>
                <w:rFonts w:ascii="Arial" w:hAnsi="Arial" w:cs="Arial"/>
                <w:szCs w:val="22"/>
              </w:rPr>
              <w:t>this code version</w:t>
            </w:r>
          </w:p>
        </w:tc>
        <w:tc>
          <w:tcPr>
            <w:tcW w:w="5357" w:type="dxa"/>
          </w:tcPr>
          <w:p w14:paraId="3B041AE9" w14:textId="5AF7193D">
            <w:pPr w14:paraId="0000D01F" w14:textId="0000D020">
              <w:pStyle w:val="Body"/>
              <w:rPr>
                <w:rFonts w:ascii="Arial" w:hAnsi="Arial" w:cs="Arial"/>
                <w:b/>
                <w:bCs/>
                <w:i/>
                <w:szCs w:val="22"/>
              </w:rPr>
            </w:pPr>
            <w:r>
              <w:t>https://github.com/pedapudibhargav/ChromeRAG/tree/v0.1.2</w:t>
            </w:r>
          </w:p>
          <w:p w14:paraId="27893270" w14:textId="77777777">
            <w:pPr w14:paraId="0000D021" w14:textId="0000D022">
              <w:rPr>
                <w:rFonts w:ascii="Arial" w:hAnsi="Arial" w:cs="Arial"/>
                <w:szCs w:val="22"/>
              </w:rPr>
            </w:pPr>
          </w:p>
        </w:tc>
      </w:tr>
      <w:tr w14:paraId="33815D41" w14:textId="77777777">
        <w:trPr>
          <w:trHeight w:val="300"/>
        </w:trPr>
        <w:tc>
          <w:tcPr>
            <w:tcW w:w="567" w:type="dxa"/>
          </w:tcPr>
          <w:p w14:paraId="091665CD" w14:textId="62EF4D85">
            <w:pPr w14:paraId="0000D023" w14:textId="0000D024">
              <w:rPr>
                <w:rFonts w:ascii="Arial" w:hAnsi="Arial" w:cs="Arial"/>
                <w:szCs w:val="22"/>
              </w:rPr>
            </w:pPr>
            <w:r>
              <w:rPr>
                <w:rFonts w:ascii="Arial" w:hAnsi="Arial" w:cs="Arial"/>
                <w:szCs w:val="22"/>
              </w:rPr>
              <w:t>C</w:t>
            </w:r>
            <w:r>
              <w:rPr>
                <w:rFonts w:ascii="Arial" w:hAnsi="Arial" w:cs="Arial"/>
                <w:szCs w:val="22"/>
              </w:rPr>
              <w:t>3</w:t>
            </w:r>
          </w:p>
        </w:tc>
        <w:tc>
          <w:tcPr>
            <w:tcW w:w="3554" w:type="dxa"/>
          </w:tcPr>
          <w:p w14:paraId="3B4C1036" w14:textId="38CBB52A">
            <w:pPr w14:paraId="0000D025" w14:textId="0000D026">
              <w:rPr>
                <w:rFonts w:ascii="Arial" w:hAnsi="Arial" w:cs="Arial"/>
                <w:szCs w:val="22"/>
              </w:rPr>
            </w:pPr>
            <w:r>
              <w:rPr>
                <w:rFonts w:ascii="Arial" w:hAnsi="Arial" w:cs="Arial"/>
                <w:szCs w:val="22"/>
              </w:rPr>
              <w:t xml:space="preserve">Legal </w:t>
            </w:r>
            <w:r>
              <w:rPr>
                <w:rFonts w:ascii="Arial" w:hAnsi="Arial" w:cs="Arial"/>
                <w:szCs w:val="22"/>
              </w:rPr>
              <w:t>code license</w:t>
            </w:r>
          </w:p>
        </w:tc>
        <w:tc>
          <w:tcPr>
            <w:tcW w:w="5357" w:type="dxa"/>
          </w:tcPr>
          <w:p w14:paraId="7016BDEF" w14:textId="4DEEE213">
            <w:pPr w14:paraId="0000D027" w14:textId="0000D028">
              <w:pStyle w:val="Body"/>
              <w:rPr>
                <w:rFonts w:ascii="Arial" w:hAnsi="Arial" w:cs="Arial"/>
                <w:szCs w:val="22"/>
              </w:rPr>
            </w:pPr>
            <w:r>
              <w:t>MIT</w:t>
            </w:r>
          </w:p>
        </w:tc>
      </w:tr>
      <w:tr w14:paraId="438B01EC" w14:textId="77777777">
        <w:trPr>
          <w:trHeight w:val="300"/>
        </w:trPr>
        <w:tc>
          <w:tcPr>
            <w:tcW w:w="567" w:type="dxa"/>
          </w:tcPr>
          <w:p w14:paraId="04E361F4" w14:textId="239E0838">
            <w:pPr w14:paraId="0000D029" w14:textId="0000D02A">
              <w:rPr>
                <w:rFonts w:ascii="Arial" w:hAnsi="Arial" w:cs="Arial"/>
                <w:szCs w:val="22"/>
              </w:rPr>
            </w:pPr>
            <w:r>
              <w:rPr>
                <w:rFonts w:ascii="Arial" w:hAnsi="Arial" w:cs="Arial"/>
                <w:szCs w:val="22"/>
              </w:rPr>
              <w:t>C</w:t>
            </w:r>
            <w:r>
              <w:rPr>
                <w:rFonts w:ascii="Arial" w:hAnsi="Arial" w:cs="Arial"/>
                <w:szCs w:val="22"/>
              </w:rPr>
              <w:t>4</w:t>
            </w:r>
          </w:p>
        </w:tc>
        <w:tc>
          <w:tcPr>
            <w:tcW w:w="3554" w:type="dxa"/>
          </w:tcPr>
          <w:p w14:paraId="2231913A" w14:textId="77777777">
            <w:pPr w14:paraId="0000D02B" w14:textId="0000D02C">
              <w:rPr>
                <w:rFonts w:ascii="Arial" w:hAnsi="Arial" w:cs="Arial"/>
                <w:szCs w:val="22"/>
              </w:rPr>
            </w:pPr>
            <w:r>
              <w:rPr>
                <w:rFonts w:ascii="Arial" w:hAnsi="Arial" w:cs="Arial"/>
                <w:szCs w:val="22"/>
              </w:rPr>
              <w:t>Code versioning system used</w:t>
            </w:r>
          </w:p>
        </w:tc>
        <w:tc>
          <w:tcPr>
            <w:tcW w:w="5357" w:type="dxa"/>
          </w:tcPr>
          <w:p w14:paraId="629D31C3" w14:textId="3A8F2F03">
            <w:pPr w14:paraId="0000D02D" w14:textId="0000D02E">
              <w:pStyle w:val="Body"/>
              <w:rPr>
                <w:rFonts w:ascii="Arial" w:hAnsi="Arial" w:cs="Arial"/>
                <w:szCs w:val="22"/>
              </w:rPr>
            </w:pPr>
            <w:r>
              <w:t>git</w:t>
            </w:r>
          </w:p>
        </w:tc>
      </w:tr>
      <w:tr w14:paraId="16946563" w14:textId="77777777">
        <w:trPr>
          <w:trHeight w:val="300"/>
        </w:trPr>
        <w:tc>
          <w:tcPr>
            <w:tcW w:w="567" w:type="dxa"/>
          </w:tcPr>
          <w:p w14:paraId="46D58CC8" w14:textId="2FC2DB60">
            <w:pPr w14:paraId="0000D02F" w14:textId="0000D030">
              <w:rPr>
                <w:rFonts w:ascii="Arial" w:hAnsi="Arial" w:cs="Arial"/>
                <w:szCs w:val="22"/>
              </w:rPr>
            </w:pPr>
            <w:r>
              <w:rPr>
                <w:rFonts w:ascii="Arial" w:hAnsi="Arial" w:cs="Arial"/>
                <w:szCs w:val="22"/>
              </w:rPr>
              <w:t>C</w:t>
            </w:r>
            <w:r>
              <w:rPr>
                <w:rFonts w:ascii="Arial" w:hAnsi="Arial" w:cs="Arial"/>
                <w:szCs w:val="22"/>
              </w:rPr>
              <w:t>5</w:t>
            </w:r>
          </w:p>
        </w:tc>
        <w:tc>
          <w:tcPr>
            <w:tcW w:w="3554" w:type="dxa"/>
          </w:tcPr>
          <w:p w14:paraId="0986AA87" w14:textId="220B6BEB">
            <w:pPr w14:paraId="0000D031" w14:textId="0000D032">
              <w:rPr>
                <w:rFonts w:ascii="Arial" w:hAnsi="Arial" w:cs="Arial"/>
                <w:szCs w:val="22"/>
              </w:rPr>
            </w:pPr>
            <w:r>
              <w:rPr>
                <w:rFonts w:ascii="Arial" w:hAnsi="Arial" w:cs="Arial"/>
                <w:szCs w:val="22"/>
              </w:rPr>
              <w:t>Software code languages, tools</w:t>
            </w:r>
            <w:r>
              <w:rPr>
                <w:rFonts w:ascii="Arial" w:hAnsi="Arial" w:cs="Arial"/>
                <w:szCs w:val="22"/>
              </w:rPr>
              <w:t xml:space="preserve"> </w:t>
            </w:r>
            <w:r>
              <w:rPr>
                <w:rFonts w:ascii="Arial" w:hAnsi="Arial" w:cs="Arial"/>
                <w:szCs w:val="22"/>
              </w:rPr>
              <w:t>and services used</w:t>
            </w:r>
          </w:p>
        </w:tc>
        <w:tc>
          <w:tcPr>
            <w:tcW w:w="5357" w:type="dxa"/>
          </w:tcPr>
          <w:p w14:paraId="0E48B6AB" w14:textId="6F7D8B50">
            <w:pPr w14:paraId="0000D033" w14:textId="0000D034">
              <w:pStyle w:val="Body"/>
              <w:rPr>
                <w:rFonts w:ascii="Arial" w:hAnsi="Arial" w:cs="Arial"/>
                <w:szCs w:val="22"/>
              </w:rPr>
            </w:pPr>
            <w:r>
              <w:t>Python ≥3.11; BeautifulSoup4, lxml, Pydantic, PyYAML, NumPy, tiktoken</w:t>
            </w:r>
          </w:p>
        </w:tc>
      </w:tr>
      <w:tr w14:paraId="68707A76" w14:textId="77777777">
        <w:trPr>
          <w:trHeight w:val="300"/>
        </w:trPr>
        <w:tc>
          <w:tcPr>
            <w:tcW w:w="567" w:type="dxa"/>
          </w:tcPr>
          <w:p w14:paraId="56024155" w14:textId="34EB12F9">
            <w:pPr w14:paraId="0000D035" w14:textId="0000D036">
              <w:rPr>
                <w:rFonts w:ascii="Arial" w:hAnsi="Arial" w:cs="Arial"/>
                <w:szCs w:val="22"/>
              </w:rPr>
            </w:pPr>
            <w:r>
              <w:rPr>
                <w:rFonts w:ascii="Arial" w:hAnsi="Arial" w:cs="Arial"/>
                <w:szCs w:val="22"/>
              </w:rPr>
              <w:lastRenderedPageBreak/>
              <w:t>C</w:t>
            </w:r>
            <w:r>
              <w:rPr>
                <w:rFonts w:ascii="Arial" w:hAnsi="Arial" w:cs="Arial"/>
                <w:szCs w:val="22"/>
              </w:rPr>
              <w:t>6</w:t>
            </w:r>
          </w:p>
        </w:tc>
        <w:tc>
          <w:tcPr>
            <w:tcW w:w="3554" w:type="dxa"/>
          </w:tcPr>
          <w:p w14:paraId="2F9146D3" w14:textId="2B37EA71">
            <w:pPr w14:paraId="0000D037" w14:textId="0000D038">
              <w:rPr>
                <w:rFonts w:ascii="Arial" w:hAnsi="Arial" w:cs="Arial"/>
                <w:szCs w:val="22"/>
              </w:rPr>
            </w:pPr>
            <w:r>
              <w:rPr>
                <w:rFonts w:ascii="Arial" w:hAnsi="Arial" w:cs="Arial"/>
                <w:szCs w:val="22"/>
              </w:rPr>
              <w:t xml:space="preserve">Compilation requirements, operating environments </w:t>
            </w:r>
            <w:r>
              <w:rPr>
                <w:rFonts w:ascii="Arial" w:hAnsi="Arial" w:cs="Arial"/>
                <w:szCs w:val="22"/>
              </w:rPr>
              <w:t xml:space="preserve">and </w:t>
            </w:r>
            <w:r>
              <w:rPr>
                <w:rFonts w:ascii="Arial" w:hAnsi="Arial" w:cs="Arial"/>
                <w:szCs w:val="22"/>
              </w:rPr>
              <w:t>dependencies</w:t>
            </w:r>
          </w:p>
        </w:tc>
        <w:tc>
          <w:tcPr>
            <w:tcW w:w="5357" w:type="dxa"/>
          </w:tcPr>
          <w:p w14:paraId="7356EA89" w14:textId="77777777">
            <w:pPr w14:paraId="0000D039" w14:textId="0000D03A">
              <w:pStyle w:val="Body"/>
              <w:rPr>
                <w:rFonts w:ascii="Arial" w:hAnsi="Arial" w:cs="Arial"/>
                <w:szCs w:val="22"/>
              </w:rPr>
            </w:pPr>
            <w:r>
              <w:t>Python ≥3.11 on macOS, Linux or Windows; CPU only. pip install chromerag (or pip install -e . from a clone). Optional extras: [baselines] and [dev] to reproduce the benchmark and run tests</w:t>
            </w:r>
          </w:p>
        </w:tc>
      </w:tr>
      <w:tr w14:paraId="286C72E5" w14:textId="77777777">
        <w:trPr>
          <w:trHeight w:val="300"/>
        </w:trPr>
        <w:tc>
          <w:tcPr>
            <w:tcW w:w="567" w:type="dxa"/>
          </w:tcPr>
          <w:p w14:paraId="3E16E1E6" w14:textId="711E8AAE">
            <w:pPr w14:paraId="0000D03B" w14:textId="0000D03C">
              <w:rPr>
                <w:rFonts w:ascii="Arial" w:hAnsi="Arial" w:cs="Arial"/>
                <w:szCs w:val="22"/>
              </w:rPr>
            </w:pPr>
            <w:r>
              <w:rPr>
                <w:rFonts w:ascii="Arial" w:hAnsi="Arial" w:cs="Arial"/>
                <w:szCs w:val="22"/>
              </w:rPr>
              <w:t>C</w:t>
            </w:r>
            <w:r>
              <w:rPr>
                <w:rFonts w:ascii="Arial" w:hAnsi="Arial" w:cs="Arial"/>
                <w:szCs w:val="22"/>
              </w:rPr>
              <w:t>7</w:t>
            </w:r>
          </w:p>
        </w:tc>
        <w:tc>
          <w:tcPr>
            <w:tcW w:w="3554" w:type="dxa"/>
          </w:tcPr>
          <w:p w14:paraId="0EE51704" w14:textId="1B29C340">
            <w:pPr w14:paraId="0000D03D" w14:textId="0000D03E">
              <w:rPr>
                <w:rFonts w:ascii="Arial" w:hAnsi="Arial" w:cs="Arial"/>
                <w:szCs w:val="22"/>
              </w:rPr>
            </w:pPr>
            <w:r>
              <w:rPr>
                <w:rFonts w:ascii="Arial" w:hAnsi="Arial" w:cs="Arial"/>
                <w:szCs w:val="22"/>
              </w:rPr>
              <w:t>If available</w:t>
            </w:r>
            <w:r>
              <w:rPr>
                <w:rFonts w:ascii="Arial" w:hAnsi="Arial" w:cs="Arial"/>
                <w:szCs w:val="22"/>
              </w:rPr>
              <w:t>,</w:t>
            </w:r>
            <w:r>
              <w:rPr>
                <w:rFonts w:ascii="Arial" w:hAnsi="Arial" w:cs="Arial"/>
                <w:szCs w:val="22"/>
              </w:rPr>
              <w:t xml:space="preserve"> </w:t>
            </w:r>
            <w:r>
              <w:rPr>
                <w:rFonts w:ascii="Arial" w:hAnsi="Arial" w:cs="Arial"/>
                <w:szCs w:val="22"/>
              </w:rPr>
              <w:t>l</w:t>
            </w:r>
            <w:r>
              <w:rPr>
                <w:rFonts w:ascii="Arial" w:hAnsi="Arial" w:cs="Arial"/>
                <w:szCs w:val="22"/>
              </w:rPr>
              <w:t>ink to developer documentation/manual</w:t>
            </w:r>
          </w:p>
        </w:tc>
        <w:tc>
          <w:tcPr>
            <w:tcW w:w="5357" w:type="dxa"/>
          </w:tcPr>
          <w:p w14:paraId="6349FC99" w14:textId="2C342BB1">
            <w:pPr w14:paraId="0000D03F" w14:textId="0000D040">
              <w:pStyle w:val="Body"/>
              <w:rPr>
                <w:rFonts w:ascii="Arial" w:hAnsi="Arial" w:cs="Arial"/>
                <w:szCs w:val="22"/>
              </w:rPr>
            </w:pPr>
            <w:r>
              <w:t>https://pedapudibhargav.github.io/ChromeRAG/ and repository README.md</w:t>
            </w:r>
          </w:p>
        </w:tc>
      </w:tr>
      <w:tr w14:paraId="59B634D9" w14:textId="77777777">
        <w:trPr>
          <w:trHeight w:val="300"/>
        </w:trPr>
        <w:tc>
          <w:tcPr>
            <w:tcW w:w="567" w:type="dxa"/>
          </w:tcPr>
          <w:p w14:paraId="63807196" w14:textId="09A695AA">
            <w:pPr w14:paraId="0000D041" w14:textId="0000D042">
              <w:rPr>
                <w:rFonts w:ascii="Arial" w:hAnsi="Arial" w:cs="Arial"/>
                <w:szCs w:val="22"/>
              </w:rPr>
            </w:pPr>
            <w:r>
              <w:rPr>
                <w:rFonts w:ascii="Arial" w:hAnsi="Arial" w:cs="Arial"/>
                <w:szCs w:val="22"/>
              </w:rPr>
              <w:t>C</w:t>
            </w:r>
            <w:r>
              <w:rPr>
                <w:rFonts w:ascii="Arial" w:hAnsi="Arial" w:cs="Arial"/>
                <w:szCs w:val="22"/>
              </w:rPr>
              <w:t>8</w:t>
            </w:r>
          </w:p>
        </w:tc>
        <w:tc>
          <w:tcPr>
            <w:tcW w:w="3554" w:type="dxa"/>
          </w:tcPr>
          <w:p w14:paraId="519282C0" w14:textId="77777777">
            <w:pPr w14:paraId="0000D043" w14:textId="0000D044">
              <w:rPr>
                <w:rFonts w:ascii="Arial" w:hAnsi="Arial" w:cs="Arial"/>
                <w:szCs w:val="22"/>
              </w:rPr>
            </w:pPr>
            <w:r>
              <w:rPr>
                <w:rFonts w:ascii="Arial" w:hAnsi="Arial" w:cs="Arial"/>
                <w:szCs w:val="22"/>
              </w:rPr>
              <w:t>Support email for questions</w:t>
            </w:r>
          </w:p>
        </w:tc>
        <w:tc>
          <w:tcPr>
            <w:tcW w:w="5357" w:type="dxa"/>
          </w:tcPr>
          <w:p w14:paraId="7CAED1DE" w14:textId="77777777">
            <w:pPr w14:paraId="0000D045" w14:textId="0000D046">
              <w:pStyle w:val="Body"/>
              <w:rPr>
                <w:rFonts w:ascii="Arial" w:hAnsi="Arial" w:cs="Arial"/>
                <w:szCs w:val="22"/>
              </w:rPr>
            </w:pPr>
            <w:r>
              <w:t>pedapudibhargav@gmail.com</w:t>
            </w:r>
          </w:p>
        </w:tc>
      </w:tr>
    </w:tbl>
    <w:p w14:paraId="36A737EB" w14:textId="6CE18ED1">
      <w:pPr w14:paraId="0000D047" w14:textId="0000D048">
        <w:pStyle w:val="Heading1"/>
        <w:spacing w:before="0" w:line="240" w:lineRule="auto"/>
        <w:rPr>
          <w:rFonts w:ascii="Arial" w:eastAsia="Calibri" w:hAnsi="Arial" w:cs="Arial"/>
          <w:iCs/>
          <w:sz w:val="22"/>
          <w:szCs w:val="22"/>
        </w:rPr>
      </w:pPr>
      <w:r>
        <w:t>Motivation and significance</w:t>
      </w:r>
    </w:p>
    <w:p>
      <w:pPr w14:paraId="0000D049" w14:textId="0000D04A">
        <w:pStyle w:val="Body"/>
      </w:pPr>
      <w:r>
        <w:rPr>
          <w:b/>
        </w:rPr>
        <w:t>Chrome pollutes RAG indexes.</w:t>
      </w:r>
      <w:r>
        <w:t xml:space="preserve"> Retrieval-augmented generation grounds a language model in retrieved passages [1]. In organizations those passages usually come from documentation portals, API references, pricing pages and knowledge bases, and that HTML was never written for machines to read. Each page mixes its own content with site-wide "chrome": top navigation, sidebar link trees, cookie-consent banners, sales calls to action and legal footers. If this HTML is converted naively and embedded, the same chrome text appears in every page's chunks. At query time these near-duplicate chunks compete with real content, show up as false positives, and use up the model's context window. The cost grows with corpus size. A 10,000-page portal with a 200-token footer adds two million tokens of identical text to the index.</w:t>
      </w:r>
    </w:p>
    <w:p>
      <w:pPr w14:paraId="0000D04B" w14:textId="0000D04C">
        <w:pStyle w:val="Body"/>
      </w:pPr>
      <w:r>
        <w:rPr>
          <w:b/>
        </w:rPr>
        <w:t>Related work and the gap.</w:t>
      </w:r>
      <w:r>
        <w:t xml:space="preserve"> Boilerplate removal is an established problem. Shallow text features [2] and neural sequence labelling [3] classify blocks within a single page. Trafilatura [4] and Readability [5] are widely used main-content extractors tuned for articles, and a recent large-scale comparison [7] found that no single algorithm is best on every page type. Format converters such as MarkItDown [6] keep headings, tables and code blocks, but they do not try to remove chrome. Using several pages from the same site was proposed early on [8, 9]: blocks that repeat across a site's pages are likely to be template rather than content. Alarte et al. [10] benchmarked such template extractors. Query-time methods such as HtmlRAG [11] prune HTML after retrieval, so they complement ingest-time cleaning and do not replace it. What practitioners lack is a small, installable component at the ingest step of a RAG pipeline that combines four things: single-page chrome removal, an optional learned model of a site's repeated template, structured metadata and tables in a form suited to chunking, and explicit signals when the input HTML is unusable.</w:t>
      </w:r>
    </w:p>
    <w:p>
      <w:pPr w14:paraId="0000D04D" w14:textId="0000D04E">
        <w:pStyle w:val="Body"/>
      </w:pPr>
      <w:r>
        <w:rPr>
          <w:b/>
        </w:rPr>
        <w:t>What ChromeRAG provides.</w:t>
      </w:r>
      <w:r>
        <w:t xml:space="preserve"> ChromeRAG fills that gap with (i) site-template chrome elimination (STCE), a learn-then-extract model built from pages of the same site; (ii) Schema.org JSON-LD and Microdata harvested into YAML front-matter, so every chunk can carry typed metadata; (iii) linearization of tables into key–value rows that survive chunking; and (iv) input-quality warnings that separate legitimately short pages from JavaScript shells that must be rendered first. The package is query-agnostic and independent of any retriever or model. It runs on CPU without downloading a model, so it also works in air-gapped environments.</w:t>
      </w:r>
    </w:p>
    <w:p>
      <w:pPr w14:paraId="0000D04F" w14:textId="0000D050">
        <w:pStyle w:val="Body"/>
      </w:pPr>
      <w:r>
        <w:rPr>
          <w:b/>
        </w:rPr>
        <w:t>How it is used.</w:t>
      </w:r>
      <w:r>
        <w:t xml:space="preserve"> A crawler or headless browser stores HTML files. ChromeRAG converts each file, or a whole directory, into Markdown for chunking and embedding. When several pages from one site are available, chromerag learn builds a site chrome model first.</w:t>
      </w:r>
    </w:p>
    <w:p w14:paraId="4B8E7CEE" w14:textId="4FD05474">
      <w:pPr w14:paraId="0000D051" w14:textId="0000D052">
        <w:pStyle w:val="Heading1"/>
        <w:spacing w:before="0" w:line="240" w:lineRule="auto"/>
        <w:rPr>
          <w:rFonts w:ascii="Arial" w:eastAsia="Calibri" w:hAnsi="Arial" w:cs="Arial"/>
          <w:iCs/>
          <w:sz w:val="22"/>
          <w:szCs w:val="22"/>
        </w:rPr>
      </w:pPr>
      <w:r>
        <w:t>Software description</w:t>
      </w:r>
    </w:p>
    <w:p>
      <w:pPr w14:paraId="0000D053" w14:textId="0000D054">
        <w:pStyle w:val="Heading2"/>
      </w:pPr>
      <w:r>
        <w:t>Software architecture</w:t>
      </w:r>
    </w:p>
    <w:p>
      <w:pPr w14:paraId="0000D055" w14:textId="0000D056">
        <w:pStyle w:val="Body"/>
      </w:pPr>
      <w:r>
        <w:t>ChromeRAG is a small, dependency-light Python package (src/chromerag, about 2,400 lines) built on BeautifulSoup/lxml. Each document passes through five stages (Fig. 1), each in its own module. A pytest suite of 22 tests covers the pipeline end to end, the CLI, STCE regressions and the LangChain loader, and runs in continuous integration on Linux (Python 3.11–3.14), macOS and Windows.</w:t>
      </w:r>
    </w:p>
    <w:p>
      <w:pPr w14:paraId="0000D057" w14:textId="0000D058">
        <w:pStyle w:val="Body"/>
      </w:pPr>
      <w:r>
        <w:drawing>
          <wp:inline distT="0" distB="0" distL="0" distR="0">
            <wp:extent cx="5943600" cy="1905000"/>
            <wp:docPr id="1" name="fig1_architectur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1" name="fig1_architecture.png"/>
                    <ns4:cNvPicPr/>
                  </ns4:nvPicPr>
                  <ns4:blipFill>
                    <ns3:blip r:embed="rId26"/>
                    <ns3:stretch>
                      <ns3:fillRect/>
                    </ns3:stretch>
                  </ns4:blipFill>
                  <ns4:spPr>
                    <ns3:xfrm>
                      <ns3:off x="0" y="0"/>
                      <ns3:ext cx="5943600" cy="1905000"/>
                    </ns3:xfrm>
                    <ns3:prstGeom prst="rect">
                      <ns3:avLst/>
                    </ns3:prstGeom>
                  </ns4:spPr>
                </ns4:pic>
              </ns3:graphicData>
            </ns3:graphic>
          </wp:inline>
        </w:drawing>
      </w:r>
    </w:p>
    <w:p>
      <w:pPr w14:paraId="0000D059" w14:textId="0000D05A">
        <w:pStyle w:val="Body"/>
      </w:pPr>
      <w:r>
        <w:rPr>
          <w:i/>
        </w:rPr>
        <w:t>Figure 1. ChromeRAG processing pipeline. The optional site model produced by chromerag learn is applied in stage 3.</w:t>
      </w:r>
    </w:p>
    <w:p>
      <w:pPr w14:paraId="0000D05B" w14:textId="0000D05C">
        <w:pStyle w:val="Body"/>
      </w:pPr>
      <w:r>
        <w:rPr>
          <w:i/>
        </w:rPr>
        <w:t>Stage 1: input-quality gate</w:t>
      </w:r>
      <w:r>
        <w:t xml:space="preserve"> (input_quality.py). The raw HTML is measured for visible text, script weight, single-page-application root markers (id="root", id="app", __next) and &lt;noscript&gt; "enable JavaScript" hints. Inputs that look thin produce WARNING: lines on stderr and entries in result.warnings. The gate runs on the document as received, before anything is removed.</w:t>
      </w:r>
    </w:p>
    <w:p>
      <w:pPr w14:paraId="0000D05D" w14:textId="0000D05E">
        <w:pStyle w:val="Body"/>
      </w:pPr>
      <w:r>
        <w:rPr>
          <w:i/>
        </w:rPr>
        <w:t>Stage 2: schema harvest</w:t>
      </w:r>
      <w:r>
        <w:t xml:space="preserve"> (schema_fusion.py). JSON-LD blocks and Microdata are read before scripts are removed. Fields such as title, type, description, dates, author and breadcrumb become YAML front-matter.</w:t>
      </w:r>
    </w:p>
    <w:p>
      <w:pPr w14:paraId="0000D05F" w14:textId="0000D060">
        <w:pStyle w:val="Body"/>
      </w:pPr>
      <w:r>
        <w:rPr>
          <w:i/>
        </w:rPr>
        <w:t>Stage 3: cleaning and STCE</w:t>
      </w:r>
      <w:r>
        <w:t xml:space="preserve"> (site_chrome.py). Scripts, styles, forms and SVG are removed. If a site model is supplied, blocks whose signature is in the model are removed. A signature is a hash of the block's tag, id, classes and ARIA role, or of its text when the block has no attributes. chromerag learn groups pages by host and first path segment. Repeated and near-duplicate pages (for example one page published for several versions) count once. A signature enters the model only when it appears on at least a set share of the group's pages (default 80%), stays short, carries the same leading text on most of those pages, and either looks like chrome (chrome-related class tokens or phrases, or high link density) or is a short block whose text is identical on every page of the group, such as a site tagline. Frequency alone is therefore not enough: content cards that merely share a CSS class are not learned. At extraction time a matching block is removed only if it is close to its learned size, does not contain &lt;main&gt;, does not hold most of the page's text, and either carries the learned text or is explicitly marked as chrome, so a utility class reused by a content block cannot delete it.</w:t>
      </w:r>
    </w:p>
    <w:p>
      <w:pPr w14:paraId="0000D061" w14:textId="0000D062">
        <w:pStyle w:val="Body"/>
      </w:pPr>
      <w:r>
        <w:rPr>
          <w:i/>
        </w:rPr>
        <w:t>Stage 4: structural and density pruning</w:t>
      </w:r>
      <w:r>
        <w:t xml:space="preserve"> (density.py, dvdf.py). Landmark and class heuristics remove nav, footer, cookie, newsletter and similar subtrees. A guard stops a subtree from being removed if it contains &lt;main&gt; or holds most of the page's visible text. Candidate blocks are then scored by link density and text density. DVDF (density/vector filtering) embeds each block as a deterministic 384-dimensional feature-hashing vector [12] and drops blocks whose cosine similarity to a bank of boilerplate anchor phrases passes a threshold. Because the embedding is lexical, it catches near-verbatim boilerplate, not paraphrases, and needs no model download.</w:t>
      </w:r>
    </w:p>
    <w:p>
      <w:pPr w14:paraId="0000D063" w14:textId="0000D064">
        <w:pStyle w:val="Body"/>
      </w:pPr>
      <w:r>
        <w:rPr>
          <w:i/>
        </w:rPr>
        <w:t>Stage 5: tables and Markdown</w:t>
      </w:r>
      <w:r>
        <w:t xml:space="preserve"> (tables.py, markdown_out.py). Tables become Row n -&gt; header: value | … lines. The remaining DOM is written as Markdown with safe heading levels and fenced code.</w:t>
      </w:r>
    </w:p>
    <w:p>
      <w:pPr w14:paraId="0000D065" w14:textId="0000D066">
        <w:pStyle w:val="Body"/>
      </w:pPr>
      <w:r>
        <w:t>Scope is deliberately narrow: ChromeRAG takes HTML in and returns Markdown. It does not fetch pages, render JavaScript or crawl sites. Those jobs belong to the caller, or to the separate evaluation harness in poc/, which is not needed at runtime.</w:t>
      </w:r>
    </w:p>
    <w:p>
      <w:pPr w14:paraId="0000D067" w14:textId="0000D068">
        <w:pStyle w:val="Heading2"/>
      </w:pPr>
      <w:r>
        <w:t>Software functionalities</w:t>
      </w:r>
    </w:p>
    <w:p>
      <w:pPr w14:paraId="0000D069" w14:textId="0000D06A">
        <w:pStyle w:val="Body"/>
      </w:pPr>
      <w:r>
        <w:t>The Python API centres on ChromeRAG(config=…, site_chrome=…). PipelineConfig.from_priority() selects one of three presets. COVERAGE loosens thresholds to keep more content, PRECISION tightens them to remove more chrome, and BALANCED is the default. Each stage can be switched off on its own (--no-dvdf, --no-schema, --no-tables, --no-stce). extract(html, url=None) returns a typed ExtractResult with markdown, front_matter, warnings, input_quality, a token estimate, and diagnostics (samples of kept and rejected blocks with the reason for each decision). The URL is used only as metadata (page-type hints, site grouping and the url front-matter field), never to access the network.</w:t>
      </w:r>
    </w:p>
    <w:p>
      <w:pPr w14:paraId="0000D06B" w14:textId="0000D06C">
        <w:pStyle w:val="Body"/>
      </w:pPr>
      <w:r>
        <w:t>The CLI has three subcommands (Table 1).</w:t>
      </w:r>
    </w:p>
    <w:p>
      <w:pPr w14:paraId="0000D06D" w14:textId="0000D06E">
        <w:pStyle w:val="Body"/>
      </w:pPr>
      <w:r>
        <w:t>Table 1. ChromeRAG command-line interface.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00"/>
        <w:gridCol w:w="3000"/>
        <w:gridCol w:w="3000"/>
      </w:tblGrid>
      <w:tr>
        <w:tc>
          <w:tcPr>
            <w:tcW w:w="3000" w:type="dxa"/>
          </w:tcPr>
          <w:p>
            <w:pPr w14:paraId="0000D06F" w14:textId="0000D070">
              <w:pStyle w:val="Body"/>
            </w:pPr>
            <w:r>
              <w:rPr>
                <w:b/>
              </w:rPr>
              <w:t>Task</w:t>
            </w:r>
          </w:p>
        </w:tc>
        <w:tc>
          <w:tcPr>
            <w:tcW w:w="3000" w:type="dxa"/>
          </w:tcPr>
          <w:p>
            <w:pPr w14:paraId="0000D071" w14:textId="0000D072">
              <w:pStyle w:val="Body"/>
            </w:pPr>
            <w:r>
              <w:rPr>
                <w:b/>
              </w:rPr>
              <w:t>Command</w:t>
            </w:r>
          </w:p>
        </w:tc>
        <w:tc>
          <w:tcPr>
            <w:tcW w:w="3000" w:type="dxa"/>
          </w:tcPr>
          <w:p>
            <w:pPr w14:paraId="0000D073" w14:textId="0000D074">
              <w:pStyle w:val="Body"/>
            </w:pPr>
            <w:r>
              <w:rPr>
                <w:b/>
              </w:rPr>
              <w:t>Output</w:t>
            </w:r>
          </w:p>
        </w:tc>
      </w:tr>
      <w:tr>
        <w:tc>
          <w:tcPr>
            <w:tcW w:w="3000" w:type="dxa"/>
          </w:tcPr>
          <w:p>
            <w:pPr w14:paraId="0000D075" w14:textId="0000D076">
              <w:pStyle w:val="Body"/>
            </w:pPr>
            <w:r>
              <w:t>One page</w:t>
            </w:r>
          </w:p>
        </w:tc>
        <w:tc>
          <w:tcPr>
            <w:tcW w:w="3000" w:type="dxa"/>
          </w:tcPr>
          <w:p>
            <w:pPr w14:paraId="0000D077" w14:textId="0000D078">
              <w:pStyle w:val="Body"/>
            </w:pPr>
            <w:r>
              <w:t>chromerag extract page.html -o page.md --priority coverage</w:t>
            </w:r>
          </w:p>
        </w:tc>
        <w:tc>
          <w:tcPr>
            <w:tcW w:w="3000" w:type="dxa"/>
          </w:tcPr>
          <w:p>
            <w:pPr w14:paraId="0000D079" w14:textId="0000D07A">
              <w:pStyle w:val="Body"/>
            </w:pPr>
            <w:r>
              <w:t>Markdown; --json-meta prints diagnostics; --fail-on-thin exits with code 3</w:t>
            </w:r>
          </w:p>
        </w:tc>
      </w:tr>
      <w:tr>
        <w:tc>
          <w:tcPr>
            <w:tcW w:w="3000" w:type="dxa"/>
          </w:tcPr>
          <w:p>
            <w:pPr w14:paraId="0000D07B" w14:textId="0000D07C">
              <w:pStyle w:val="Body"/>
            </w:pPr>
            <w:r>
              <w:t>Learn site chrome</w:t>
            </w:r>
          </w:p>
        </w:tc>
        <w:tc>
          <w:tcPr>
            <w:tcW w:w="3000" w:type="dxa"/>
          </w:tcPr>
          <w:p>
            <w:pPr w14:paraId="0000D07D" w14:textId="0000D07E">
              <w:pStyle w:val="Body"/>
            </w:pPr>
            <w:r>
              <w:t>chromerag learn pages/ -o site.json --min-pages 3</w:t>
            </w:r>
          </w:p>
        </w:tc>
        <w:tc>
          <w:tcPr>
            <w:tcW w:w="3000" w:type="dxa"/>
          </w:tcPr>
          <w:p>
            <w:pPr w14:paraId="0000D07F" w14:textId="0000D080">
              <w:pStyle w:val="Body"/>
            </w:pPr>
            <w:r>
              <w:t>JSON site model grouped by host and path prefix</w:t>
            </w:r>
          </w:p>
        </w:tc>
      </w:tr>
      <w:tr>
        <w:tc>
          <w:tcPr>
            <w:tcW w:w="3000" w:type="dxa"/>
          </w:tcPr>
          <w:p>
            <w:pPr w14:paraId="0000D081" w14:textId="0000D082">
              <w:pStyle w:val="Body"/>
            </w:pPr>
            <w:r>
              <w:t>Batch</w:t>
            </w:r>
          </w:p>
        </w:tc>
        <w:tc>
          <w:tcPr>
            <w:tcW w:w="3000" w:type="dxa"/>
          </w:tcPr>
          <w:p>
            <w:pPr w14:paraId="0000D083" w14:textId="0000D084">
              <w:pStyle w:val="Body"/>
            </w:pPr>
            <w:r>
              <w:t>chromerag batch pages/ -o out/ --chrome-model site.json</w:t>
            </w:r>
          </w:p>
        </w:tc>
        <w:tc>
          <w:tcPr>
            <w:tcW w:w="3000" w:type="dxa"/>
          </w:tcPr>
          <w:p>
            <w:pPr w14:paraId="0000D085" w14:textId="0000D086">
              <w:pStyle w:val="Body"/>
            </w:pPr>
            <w:r>
              <w:t>One Markdown file per page and batch_summary.json flagging thin/JS-shell pages</w:t>
            </w:r>
          </w:p>
        </w:tc>
      </w:tr>
    </w:tbl>
    <w:p>
      <w:pPr w14:paraId="0000D087" w14:textId="0000D088">
        <w:pStyle w:val="Body"/>
      </w:pPr>
      <w:r>
        <w:t>The package needs Python 3.11 or later and installs with pip install chromerag [14]. An optional LangChain document loader (chromerag.integrations.langchain.ChromeRAGLoader, extra [langchain]) returns one Document per page with the front-matter as metadata. The repository adds the tests, the evaluation harness, and a one-page GitHub Pages site with the leaderboard and a per-page score explorer.</w:t>
      </w:r>
    </w:p>
    <w:p w14:paraId="23371444" w14:textId="6E7EA08A">
      <w:pPr w14:paraId="0000D089" w14:textId="0000D08A">
        <w:pStyle w:val="Heading1"/>
        <w:spacing w:before="0" w:line="240" w:lineRule="auto"/>
        <w:contextualSpacing/>
        <w:rPr>
          <w:rFonts w:ascii="Arial" w:eastAsia="Calibri" w:hAnsi="Arial" w:cs="Arial"/>
          <w:iCs/>
          <w:sz w:val="22"/>
          <w:szCs w:val="22"/>
        </w:rPr>
      </w:pPr>
      <w:r>
        <w:t>Illustrative examples</w:t>
      </w:r>
    </w:p>
    <w:p>
      <w:pPr w14:paraId="0000D08B" w14:textId="0000D08C">
        <w:pStyle w:val="Heading2"/>
      </w:pPr>
      <w:r>
        <w:t>Learning a site template</w:t>
      </w:r>
    </w:p>
    <w:p>
      <w:pPr w14:paraId="0000D08D" w14:textId="0000D08E">
        <w:pStyle w:val="Body"/>
      </w:pPr>
      <w:r>
        <w:t>The repository includes four small synthetic pages from a fictional documentation site (examples/site/). They share a header menu, cookie banner, sales call-to-action, footer and a repeated "Widget Summit: register now" strip inside &lt;main&gt;. Stage 4 removes the menu, banner and footer because of their markup. The in-content strip has no chrome-like markup, so it survives single-page extraction. It is removed only after learning:</w:t>
      </w:r>
    </w:p>
    <w:p>
      <w:pPr w14:paraId="0000D08F" w14:textId="0000D090">
        <w:pStyle w:val="Body"/>
        <w:spacing w:before="0" w:after="0"/>
      </w:pPr>
      <w:r>
        <w:rPr>
          <w:rFonts w:ascii="Courier New" w:hAnsi="Courier New" w:cs="Courier New"/>
          <w:sz w:val="18"/>
        </w:rPr>
        <w:t xml:space="preserve">pip install chromerag</w:t>
      </w:r>
    </w:p>
    <w:p>
      <w:pPr w14:paraId="0000D091" w14:textId="0000D092">
        <w:pStyle w:val="Body"/>
        <w:spacing w:before="0" w:after="0"/>
      </w:pPr>
      <w:r>
        <w:rPr>
          <w:rFonts w:ascii="Courier New" w:hAnsi="Courier New" w:cs="Courier New"/>
          <w:sz w:val="18"/>
        </w:rPr>
        <w:t xml:space="preserve">chromerag learn examples/site -o out/site.json --min-pages 3</w:t>
      </w:r>
    </w:p>
    <w:p>
      <w:pPr w14:paraId="0000D093" w14:textId="0000D094">
        <w:pStyle w:val="Body"/>
        <w:spacing w:before="0" w:after="0"/>
      </w:pPr>
      <w:r>
        <w:rPr>
          <w:rFonts w:ascii="Courier New" w:hAnsi="Courier New" w:cs="Courier New"/>
          <w:sz w:val="18"/>
        </w:rPr>
        <w:t xml:space="preserve">chromerag batch examples/site -o out/batch --chrome-model out/site.json</w:t>
      </w:r>
    </w:p>
    <w:p>
      <w:pPr w14:paraId="0000D095" w14:textId="0000D096">
        <w:pStyle w:val="Body"/>
      </w:pPr>
      <w:r>
        <w:t>learn reports one site group (docs.example.com/docs) with six chrome signatures. batch applies them to all four pages. The resulting pricing page keeps its JSON-LD as front-matter and its table as key–value rows:</w:t>
      </w:r>
    </w:p>
    <w:p>
      <w:pPr w14:paraId="0000D097" w14:textId="0000D098">
        <w:pStyle w:val="Body"/>
        <w:spacing w:before="0" w:after="0"/>
      </w:pPr>
      <w:r>
        <w:rPr>
          <w:rFonts w:ascii="Courier New" w:hAnsi="Courier New" w:cs="Courier New"/>
          <w:sz w:val="18"/>
        </w:rPr>
        <w:t xml:space="preserve">---</w:t>
      </w:r>
    </w:p>
    <w:p>
      <w:pPr w14:paraId="0000D099" w14:textId="0000D09A">
        <w:pStyle w:val="Body"/>
        <w:spacing w:before="0" w:after="0"/>
      </w:pPr>
      <w:r>
        <w:rPr>
          <w:rFonts w:ascii="Courier New" w:hAnsi="Courier New" w:cs="Courier New"/>
          <w:sz w:val="18"/>
        </w:rPr>
        <w:t xml:space="preserve">url: https://docs.example.com/docs/pricing</w:t>
      </w:r>
    </w:p>
    <w:p>
      <w:pPr w14:paraId="0000D09B" w14:textId="0000D09C">
        <w:pStyle w:val="Body"/>
        <w:spacing w:before="0" w:after="0"/>
      </w:pPr>
      <w:r>
        <w:rPr>
          <w:rFonts w:ascii="Courier New" w:hAnsi="Courier New" w:cs="Courier New"/>
          <w:sz w:val="18"/>
        </w:rPr>
        <w:t xml:space="preserve">title: Plans and pricing</w:t>
      </w:r>
    </w:p>
    <w:p>
      <w:pPr w14:paraId="0000D09D" w14:textId="0000D09E">
        <w:pStyle w:val="Body"/>
        <w:spacing w:before="0" w:after="0"/>
      </w:pPr>
      <w:r>
        <w:rPr>
          <w:rFonts w:ascii="Courier New" w:hAnsi="Courier New" w:cs="Courier New"/>
          <w:sz w:val="18"/>
        </w:rPr>
        <w:t xml:space="preserve">type: TechArticle</w:t>
      </w:r>
    </w:p>
    <w:p>
      <w:pPr w14:paraId="0000D09F" w14:textId="0000D0A0">
        <w:pStyle w:val="Body"/>
        <w:spacing w:before="0" w:after="0"/>
      </w:pPr>
      <w:r>
        <w:rPr>
          <w:rFonts w:ascii="Courier New" w:hAnsi="Courier New" w:cs="Courier New"/>
          <w:sz w:val="18"/>
        </w:rPr>
        <w:t xml:space="preserve">description: Compare Widget plans.</w:t>
      </w:r>
    </w:p>
    <w:p>
      <w:pPr w14:paraId="0000D0A1" w14:textId="0000D0A2">
        <w:pStyle w:val="Body"/>
        <w:spacing w:before="0" w:after="0"/>
      </w:pPr>
      <w:r>
        <w:rPr>
          <w:rFonts w:ascii="Courier New" w:hAnsi="Courier New" w:cs="Courier New"/>
          <w:sz w:val="18"/>
        </w:rPr>
        <w:t xml:space="preserve">lastUpdated: '2026-01-15'</w:t>
      </w:r>
    </w:p>
    <w:p>
      <w:pPr w14:paraId="0000D0A3" w14:textId="0000D0A4">
        <w:pStyle w:val="Body"/>
        <w:spacing w:before="0" w:after="0"/>
      </w:pPr>
      <w:r>
        <w:rPr>
          <w:rFonts w:ascii="Courier New" w:hAnsi="Courier New" w:cs="Courier New"/>
          <w:sz w:val="18"/>
        </w:rPr>
        <w:t xml:space="preserve">---</w:t>
      </w:r>
    </w:p>
    <w:p>
      <w:pPr w14:paraId="0000D0A5" w14:textId="0000D0A6">
        <w:pStyle w:val="Body"/>
        <w:spacing w:before="0" w:after="0"/>
      </w:pPr>
      <w:r>
        <w:rPr>
          <w:rFonts w:ascii="Courier New" w:hAnsi="Courier New" w:cs="Courier New"/>
          <w:sz w:val="18"/>
        </w:rPr>
        <w:t xml:space="preserve"># Plans and pricing</w:t>
      </w:r>
    </w:p>
    <w:p>
      <w:pPr w14:paraId="0000D0A7" w14:textId="0000D0A8">
        <w:pStyle w:val="Body"/>
        <w:spacing w:before="0" w:after="0"/>
      </w:pPr>
      <w:r>
        <w:rPr>
          <w:rFonts w:ascii="Courier New" w:hAnsi="Courier New" w:cs="Courier New"/>
          <w:sz w:val="18"/>
        </w:rPr>
        <w:t xml:space="preserve">Every plan includes unlimited local runs. ...</w:t>
      </w:r>
    </w:p>
    <w:p>
      <w:pPr w14:paraId="0000D0A9" w14:textId="0000D0AA">
        <w:pStyle w:val="Body"/>
        <w:spacing w:before="0" w:after="0"/>
      </w:pPr>
      <w:r>
        <w:rPr>
          <w:rFonts w:ascii="Courier New" w:hAnsi="Courier New" w:cs="Courier New"/>
          <w:sz w:val="18"/>
        </w:rPr>
        <w:t xml:space="preserve">Row 2 -&gt; Plan: Team | Hosted minutes: 20,000 | Monthly price (USD): 49</w:t>
      </w:r>
    </w:p>
    <w:p>
      <w:pPr w14:paraId="0000D0AB" w14:textId="0000D0AC">
        <w:pStyle w:val="Body"/>
      </w:pPr>
      <w:r>
        <w:t>A JavaScript shell (&lt;div id="root"&gt;&lt;/div&gt; plus a script tag) instead produces a warning telling the caller to render the page with Playwright or Puppeteer first. With --fail-on-thin, the command exits with code 3, so pipelines can route such pages to a headless browser.</w:t>
      </w:r>
    </w:p>
    <w:p>
      <w:pPr w14:paraId="0000D0AD" w14:textId="0000D0AE">
        <w:pStyle w:val="Heading2"/>
      </w:pPr>
      <w:r>
        <w:t>Public benchmark</w:t>
      </w:r>
    </w:p>
    <w:p>
      <w:pPr w14:paraId="0000D0AF" w14:textId="0000D0B0">
        <w:pStyle w:val="Body"/>
      </w:pPr>
      <w:r>
        <w:t>The harness (poc/run_corpus_comparison.py) compares ChromeRAG's three presets with Trafilatura [4], Readability [5], MarkItDown [6], markdownify, html2text and BeautifulSoup text extraction. All tools run on the same stored HTML. No tool receives a site model, so the benchmark measures single-page extraction without STCE. The corpus lists 367 unique public URLs (documentation, pricing, marketing, cloud, article and hub pages). A plain HTTP fetch without JavaScript rendering returned 268 unique pages; a URL reached under two identifiers is scored once.</w:t>
      </w:r>
    </w:p>
    <w:p>
      <w:pPr w14:paraId="0000D0B1" w14:textId="0000D0B2">
        <w:pStyle w:val="Body"/>
      </w:pPr>
      <w:r>
        <w:t>The metrics use structural anchors taken from each input DOM: word 5-grams from &lt;main&gt;/&lt;article&gt; text (content) and from &lt;nav&gt;, &lt;header&gt;, &lt;footer&gt;, &lt;aside&gt; and cookie/newsletter containers (noise). 5-grams found in both sets are discarded. Recall is the share of content anchors that appear in a tool's output. Noise retention is the share of noise anchors that appear. F_bal is the harmonic mean of recall and (1 − noise retention). A page counts as scoreable when its input DOM has at least 50 content anchors. This rule looks only at the input and never at any tool's output. It keeps 242 pages from 164 hosts and excludes 26: 7 JavaScript shells, 1 other thin page, and 18 pages with too little landmarked text to score. The cohort is dominated by documentation (208 of 242 pages), the main source of enterprise RAG corpora; the other categories are too small for separate conclusions.</w:t>
      </w:r>
    </w:p>
    <w:p>
      <w:pPr w14:paraId="0000D0B3" w14:textId="0000D0B4">
        <w:pStyle w:val="Body"/>
      </w:pPr>
      <w:r>
        <w:t>Table 2. Mean scores per method on the 242 scoreable pages, with F_bal over all 268 fetched pages for comparison.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0"/>
        <w:gridCol w:w="1800"/>
        <w:gridCol w:w="1800"/>
        <w:gridCol w:w="1800"/>
        <w:gridCol w:w="1800"/>
      </w:tblGrid>
      <w:tr>
        <w:tc>
          <w:tcPr>
            <w:tcW w:w="1800" w:type="dxa"/>
          </w:tcPr>
          <w:p>
            <w:pPr w14:paraId="0000D0B5" w14:textId="0000D0B6">
              <w:pStyle w:val="Body"/>
            </w:pPr>
            <w:r>
              <w:rPr>
                <w:b/>
              </w:rPr>
              <w:t>Method</w:t>
            </w:r>
          </w:p>
        </w:tc>
        <w:tc>
          <w:tcPr>
            <w:tcW w:w="1800" w:type="dxa"/>
          </w:tcPr>
          <w:p>
            <w:pPr w14:paraId="0000D0B7" w14:textId="0000D0B8">
              <w:pStyle w:val="Body"/>
            </w:pPr>
            <w:r>
              <w:rPr>
                <w:b/>
              </w:rPr>
              <w:t>Recall ↑</w:t>
            </w:r>
          </w:p>
        </w:tc>
        <w:tc>
          <w:tcPr>
            <w:tcW w:w="1800" w:type="dxa"/>
          </w:tcPr>
          <w:p>
            <w:pPr w14:paraId="0000D0B9" w14:textId="0000D0BA">
              <w:pStyle w:val="Body"/>
            </w:pPr>
            <w:r>
              <w:rPr>
                <w:b/>
              </w:rPr>
              <w:t>Noise ret. ↓</w:t>
            </w:r>
          </w:p>
        </w:tc>
        <w:tc>
          <w:tcPr>
            <w:tcW w:w="1800" w:type="dxa"/>
          </w:tcPr>
          <w:p>
            <w:pPr w14:paraId="0000D0BB" w14:textId="0000D0BC">
              <w:pStyle w:val="Body"/>
            </w:pPr>
            <w:r>
              <w:rPr>
                <w:b/>
              </w:rPr>
              <w:t>F_bal ↑ (242 scoreable)</w:t>
            </w:r>
          </w:p>
        </w:tc>
        <w:tc>
          <w:tcPr>
            <w:tcW w:w="1800" w:type="dxa"/>
          </w:tcPr>
          <w:p>
            <w:pPr w14:paraId="0000D0BD" w14:textId="0000D0BE">
              <w:pStyle w:val="Body"/>
            </w:pPr>
            <w:r>
              <w:rPr>
                <w:b/>
              </w:rPr>
              <w:t>F_bal ↑ (all 268)</w:t>
            </w:r>
          </w:p>
        </w:tc>
      </w:tr>
      <w:tr>
        <w:tc>
          <w:tcPr>
            <w:tcW w:w="1800" w:type="dxa"/>
          </w:tcPr>
          <w:p>
            <w:pPr w14:paraId="0000D0BF" w14:textId="0000D0C0">
              <w:pStyle w:val="Body"/>
            </w:pPr>
            <w:r>
              <w:t>ChromeRAG coverage</w:t>
            </w:r>
          </w:p>
        </w:tc>
        <w:tc>
          <w:tcPr>
            <w:tcW w:w="1800" w:type="dxa"/>
          </w:tcPr>
          <w:p>
            <w:pPr w14:paraId="0000D0C1" w14:textId="0000D0C2">
              <w:pStyle w:val="Body"/>
            </w:pPr>
            <w:r>
              <w:t>0.688</w:t>
            </w:r>
          </w:p>
        </w:tc>
        <w:tc>
          <w:tcPr>
            <w:tcW w:w="1800" w:type="dxa"/>
          </w:tcPr>
          <w:p>
            <w:pPr w14:paraId="0000D0C3" w14:textId="0000D0C4">
              <w:pStyle w:val="Body"/>
            </w:pPr>
            <w:r>
              <w:t>0.007</w:t>
            </w:r>
          </w:p>
        </w:tc>
        <w:tc>
          <w:tcPr>
            <w:tcW w:w="1800" w:type="dxa"/>
          </w:tcPr>
          <w:p>
            <w:pPr w14:paraId="0000D0C5" w14:textId="0000D0C6">
              <w:pStyle w:val="Body"/>
            </w:pPr>
            <w:r>
              <w:t>0.788</w:t>
            </w:r>
          </w:p>
        </w:tc>
        <w:tc>
          <w:tcPr>
            <w:tcW w:w="1800" w:type="dxa"/>
          </w:tcPr>
          <w:p>
            <w:pPr w14:paraId="0000D0C7" w14:textId="0000D0C8">
              <w:pStyle w:val="Body"/>
            </w:pPr>
            <w:r>
              <w:t>0.747</w:t>
            </w:r>
          </w:p>
        </w:tc>
      </w:tr>
      <w:tr>
        <w:tc>
          <w:tcPr>
            <w:tcW w:w="1800" w:type="dxa"/>
          </w:tcPr>
          <w:p>
            <w:pPr w14:paraId="0000D0C9" w14:textId="0000D0CA">
              <w:pStyle w:val="Body"/>
            </w:pPr>
            <w:r>
              <w:t>ChromeRAG balanced</w:t>
            </w:r>
          </w:p>
        </w:tc>
        <w:tc>
          <w:tcPr>
            <w:tcW w:w="1800" w:type="dxa"/>
          </w:tcPr>
          <w:p>
            <w:pPr w14:paraId="0000D0CB" w14:textId="0000D0CC">
              <w:pStyle w:val="Body"/>
            </w:pPr>
            <w:r>
              <w:t>0.665</w:t>
            </w:r>
          </w:p>
        </w:tc>
        <w:tc>
          <w:tcPr>
            <w:tcW w:w="1800" w:type="dxa"/>
          </w:tcPr>
          <w:p>
            <w:pPr w14:paraId="0000D0CD" w14:textId="0000D0CE">
              <w:pStyle w:val="Body"/>
            </w:pPr>
            <w:r>
              <w:t>0.006</w:t>
            </w:r>
          </w:p>
        </w:tc>
        <w:tc>
          <w:tcPr>
            <w:tcW w:w="1800" w:type="dxa"/>
          </w:tcPr>
          <w:p>
            <w:pPr w14:paraId="0000D0CF" w14:textId="0000D0D0">
              <w:pStyle w:val="Body"/>
            </w:pPr>
            <w:r>
              <w:t>0.771</w:t>
            </w:r>
          </w:p>
        </w:tc>
        <w:tc>
          <w:tcPr>
            <w:tcW w:w="1800" w:type="dxa"/>
          </w:tcPr>
          <w:p>
            <w:pPr w14:paraId="0000D0D1" w14:textId="0000D0D2">
              <w:pStyle w:val="Body"/>
            </w:pPr>
            <w:r>
              <w:t>0.731</w:t>
            </w:r>
          </w:p>
        </w:tc>
      </w:tr>
      <w:tr>
        <w:tc>
          <w:tcPr>
            <w:tcW w:w="1800" w:type="dxa"/>
          </w:tcPr>
          <w:p>
            <w:pPr w14:paraId="0000D0D3" w14:textId="0000D0D4">
              <w:pStyle w:val="Body"/>
            </w:pPr>
            <w:r>
              <w:t>Trafilatura [4]</w:t>
            </w:r>
          </w:p>
        </w:tc>
        <w:tc>
          <w:tcPr>
            <w:tcW w:w="1800" w:type="dxa"/>
          </w:tcPr>
          <w:p>
            <w:pPr w14:paraId="0000D0D5" w14:textId="0000D0D6">
              <w:pStyle w:val="Body"/>
            </w:pPr>
            <w:r>
              <w:t>0.640</w:t>
            </w:r>
          </w:p>
        </w:tc>
        <w:tc>
          <w:tcPr>
            <w:tcW w:w="1800" w:type="dxa"/>
          </w:tcPr>
          <w:p>
            <w:pPr w14:paraId="0000D0D7" w14:textId="0000D0D8">
              <w:pStyle w:val="Body"/>
            </w:pPr>
            <w:r>
              <w:t>0.012</w:t>
            </w:r>
          </w:p>
        </w:tc>
        <w:tc>
          <w:tcPr>
            <w:tcW w:w="1800" w:type="dxa"/>
          </w:tcPr>
          <w:p>
            <w:pPr w14:paraId="0000D0D9" w14:textId="0000D0DA">
              <w:pStyle w:val="Body"/>
            </w:pPr>
            <w:r>
              <w:t>0.739</w:t>
            </w:r>
          </w:p>
        </w:tc>
        <w:tc>
          <w:tcPr>
            <w:tcW w:w="1800" w:type="dxa"/>
          </w:tcPr>
          <w:p>
            <w:pPr w14:paraId="0000D0DB" w14:textId="0000D0DC">
              <w:pStyle w:val="Body"/>
            </w:pPr>
            <w:r>
              <w:t>0.696</w:t>
            </w:r>
          </w:p>
        </w:tc>
      </w:tr>
      <w:tr>
        <w:tc>
          <w:tcPr>
            <w:tcW w:w="1800" w:type="dxa"/>
          </w:tcPr>
          <w:p>
            <w:pPr w14:paraId="0000D0DD" w14:textId="0000D0DE">
              <w:pStyle w:val="Body"/>
            </w:pPr>
            <w:r>
              <w:t>MarkItDown [6]</w:t>
            </w:r>
          </w:p>
        </w:tc>
        <w:tc>
          <w:tcPr>
            <w:tcW w:w="1800" w:type="dxa"/>
          </w:tcPr>
          <w:p>
            <w:pPr w14:paraId="0000D0DF" w14:textId="0000D0E0">
              <w:pStyle w:val="Body"/>
            </w:pPr>
            <w:r>
              <w:t>0.691</w:t>
            </w:r>
          </w:p>
        </w:tc>
        <w:tc>
          <w:tcPr>
            <w:tcW w:w="1800" w:type="dxa"/>
          </w:tcPr>
          <w:p>
            <w:pPr w14:paraId="0000D0E1" w14:textId="0000D0E2">
              <w:pStyle w:val="Body"/>
            </w:pPr>
            <w:r>
              <w:t>0.250</w:t>
            </w:r>
          </w:p>
        </w:tc>
        <w:tc>
          <w:tcPr>
            <w:tcW w:w="1800" w:type="dxa"/>
          </w:tcPr>
          <w:p>
            <w:pPr w14:paraId="0000D0E3" w14:textId="0000D0E4">
              <w:pStyle w:val="Body"/>
            </w:pPr>
            <w:r>
              <w:t>0.696</w:t>
            </w:r>
          </w:p>
        </w:tc>
        <w:tc>
          <w:tcPr>
            <w:tcW w:w="1800" w:type="dxa"/>
          </w:tcPr>
          <w:p>
            <w:pPr w14:paraId="0000D0E5" w14:textId="0000D0E6">
              <w:pStyle w:val="Body"/>
            </w:pPr>
            <w:r>
              <w:t>0.661</w:t>
            </w:r>
          </w:p>
        </w:tc>
      </w:tr>
      <w:tr>
        <w:tc>
          <w:tcPr>
            <w:tcW w:w="1800" w:type="dxa"/>
          </w:tcPr>
          <w:p>
            <w:pPr w14:paraId="0000D0E7" w14:textId="0000D0E8">
              <w:pStyle w:val="Body"/>
            </w:pPr>
            <w:r>
              <w:t>Readability [5]</w:t>
            </w:r>
          </w:p>
        </w:tc>
        <w:tc>
          <w:tcPr>
            <w:tcW w:w="1800" w:type="dxa"/>
          </w:tcPr>
          <w:p>
            <w:pPr w14:paraId="0000D0E9" w14:textId="0000D0EA">
              <w:pStyle w:val="Body"/>
            </w:pPr>
            <w:r>
              <w:t>0.449</w:t>
            </w:r>
          </w:p>
        </w:tc>
        <w:tc>
          <w:tcPr>
            <w:tcW w:w="1800" w:type="dxa"/>
          </w:tcPr>
          <w:p>
            <w:pPr w14:paraId="0000D0EB" w14:textId="0000D0EC">
              <w:pStyle w:val="Body"/>
            </w:pPr>
            <w:r>
              <w:t>0.013</w:t>
            </w:r>
          </w:p>
        </w:tc>
        <w:tc>
          <w:tcPr>
            <w:tcW w:w="1800" w:type="dxa"/>
          </w:tcPr>
          <w:p>
            <w:pPr w14:paraId="0000D0ED" w14:textId="0000D0EE">
              <w:pStyle w:val="Body"/>
            </w:pPr>
            <w:r>
              <w:t>0.531</w:t>
            </w:r>
          </w:p>
        </w:tc>
        <w:tc>
          <w:tcPr>
            <w:tcW w:w="1800" w:type="dxa"/>
          </w:tcPr>
          <w:p>
            <w:pPr w14:paraId="0000D0EF" w14:textId="0000D0F0">
              <w:pStyle w:val="Body"/>
            </w:pPr>
            <w:r>
              <w:t>0.495</w:t>
            </w:r>
          </w:p>
        </w:tc>
      </w:tr>
    </w:tbl>
    <w:p>
      <w:pPr w14:paraId="0000D0F1" w14:textId="0000D0F2">
        <w:pStyle w:val="Body"/>
      </w:pPr>
      <w:r>
        <w:drawing>
          <wp:inline distT="0" distB="0" distL="0" distR="0">
            <wp:extent cx="5943600" cy="2695956"/>
            <wp:docPr id="2" name="fig2_benchmark.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2" name="fig2_benchmark.png"/>
                    <ns4:cNvPicPr/>
                  </ns4:nvPicPr>
                  <ns4:blipFill>
                    <ns3:blip r:embed="rId27"/>
                    <ns3:stretch>
                      <ns3:fillRect/>
                    </ns3:stretch>
                  </ns4:blipFill>
                  <ns4:spPr>
                    <ns3:xfrm>
                      <ns3:off x="0" y="0"/>
                      <ns3:ext cx="5943600" cy="2695956"/>
                    </ns3:xfrm>
                    <ns3:prstGeom prst="rect">
                      <ns3:avLst/>
                    </ns3:prstGeom>
                  </ns4:spPr>
                </ns4:pic>
              </ns3:graphicData>
            </ns3:graphic>
          </wp:inline>
        </w:drawing>
      </w:r>
    </w:p>
    <w:p>
      <w:pPr w14:paraId="0000D0F3" w14:textId="0000D0F4">
        <w:pStyle w:val="Body"/>
      </w:pPr>
      <w:r>
        <w:rPr>
          <w:i/>
        </w:rPr>
        <w:t>Figure 2. Extraction benchmark on the 242 scoreable pages. (a) Mean content recall against mean noise retention; the upper left is better. (b) Cumulative distribution of per-page content recall: the shaded band marks near-total content loss (recall below 0.2), which affects 25 pages for Trafilatura, 13 for ChromeRAG (coverage) and 1 for MarkItDown.</w:t>
      </w:r>
    </w:p>
    <w:p>
      <w:pPr w14:paraId="0000D0F5" w14:textId="0000D0F6">
        <w:pStyle w:val="Body"/>
      </w:pPr>
      <w:r>
        <w:t>Table 2 and Fig. 2 show two different trade-offs. Against MarkItDown, ChromeRAG keeps the same amount of content: the paired bootstrap difference in recall (2,000 resamples) is −0.003, with a 95% CI of [−0.025, 0.017]. It keeps far less chrome (difference in noise retention −0.243, CI [−0.266, −0.220]), and its median output is 820 tokens against 3,436 for MarkItDown. Against Trafilatura, noise retention does not differ significantly (−0.005, CI [−0.014, 0.003]). ChromeRAG's higher F_bal (+0.049, CI [+0.021, +0.079]) comes from recall. Page by page, the two tools win about equally often (103 against 109 pages, with 30 ties where F_bal differs by at most 0.01). The difference in means comes from failures: Trafilatura keeps less than 20% of the content on 25 pages, against 13 for ChromeRAG, mostly multi-section documentation and marketing pages (Fig. 2b). Per-page scores, per-category tables and the all-page means are published with the code, so readers can check individual cases.</w:t>
      </w:r>
    </w:p>
    <w:p>
      <w:pPr w14:paraId="0000D0F7" w14:textId="0000D0F8">
        <w:pStyle w:val="Heading2"/>
      </w:pPr>
      <w:r>
        <w:t>Retrieval over the chunked output</w:t>
      </w:r>
    </w:p>
    <w:p>
      <w:pPr w14:paraId="0000D0F9" w14:textId="0000D0FA">
        <w:pStyle w:val="Body"/>
      </w:pPr>
      <w:r>
        <w:t>Extraction scores do not show what a retriever receives. poc/run_retrieval_eval.py splits each tool's output for the 242 pages into chunks of about 200 words, indexes them with BM25, and runs 771 known-item queries built from the input HTML only: page titles and section headings from &lt;main&gt;, and 12-word passages from its paragraphs, each kept only if its text occurs in exactly one page. A hit means a chunk from that page is among the top five (Fig. 3). ChromeRAG reaches a hit@5 of 0.949, against 0.964 for MarkItDown (difference −0.014, 95% CI [−0.035, 0.006], bootstrap over pages), 0.922 for Trafilatura (+0.027 [+0.003, +0.053]) and 0.774 for Readability. It gets there with 2,553 chunks instead of MarkItDown's 3,907, less than half of the indexed words, and with 0.1% of the retrieved context made of chrome anchors against 2.6% for MarkItDown.</w:t>
      </w:r>
    </w:p>
    <w:p>
      <w:pPr w14:paraId="0000D0FB" w14:textId="0000D0FC">
        <w:pStyle w:val="Body"/>
      </w:pPr>
      <w:r>
        <w:drawing>
          <wp:inline distT="0" distB="0" distL="0" distR="0">
            <wp:extent cx="5943600" cy="1981200"/>
            <wp:docPr id="3" name="fig3_retrieval.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3" name="fig3_retrieval.png"/>
                    <ns4:cNvPicPr/>
                  </ns4:nvPicPr>
                  <ns4:blipFill>
                    <ns3:blip r:embed="rId28"/>
                    <ns3:stretch>
                      <ns3:fillRect/>
                    </ns3:stretch>
                  </ns4:blipFill>
                  <ns4:spPr>
                    <ns3:xfrm>
                      <ns3:off x="0" y="0"/>
                      <ns3:ext cx="5943600" cy="1981200"/>
                    </ns3:xfrm>
                    <ns3:prstGeom prst="rect">
                      <ns3:avLst/>
                    </ns3:prstGeom>
                  </ns4:spPr>
                </ns4:pic>
              </ns3:graphicData>
            </ns3:graphic>
          </wp:inline>
        </w:drawing>
      </w:r>
    </w:p>
    <w:p>
      <w:pPr w14:paraId="0000D0FD" w14:textId="0000D0FE">
        <w:pStyle w:val="Body"/>
      </w:pPr>
      <w:r>
        <w:rPr>
          <w:i/>
        </w:rPr>
        <w:t>Figure 3. BM25 retrieval over each tool's ~200-word chunks, 771 known-item queries built from the input HTML. (a) Share of queries whose page is in the top five chunks. (b) Share of the retrieved top-five text that is navigation, header or footer chrome.</w:t>
      </w:r>
    </w:p>
    <w:p>
      <w:pPr w14:paraId="0000D0FF" w14:textId="0000D100">
        <w:pStyle w:val="Heading2"/>
      </w:pPr>
      <w:r>
        <w:t>Site-template learning on real sites</w:t>
      </w:r>
    </w:p>
    <w:p>
      <w:pPr w14:paraId="0000D101" w14:textId="0000D102">
        <w:pStyle w:val="Body"/>
      </w:pPr>
      <w:r>
        <w:t>poc/run_stce_eval.py applies chromerag learn with default settings and compares coverage-mode output with and without the site model. On the benchmark's 11 site groups with at least three unique pages (47 scored pages), recall is unchanged (0.714). Because those groups are small, poc/crawl_site_groups.py also fetched up to 15 same-section pages from each documentation site in the corpus, respecting robots.txt (the list is published as poc/stce_crawl_urls.json). This gives 1,791 pages in 125 site groups with a learned model. There STCE changes 174 pages and keeps F_bal level (0.851 to 0.852; recall 0.770 to 0.769), while site-repeated text, 5-grams that recur on at least 80% of a site's outputs, falls from 16.7 to 16.2 per page. The 17 pages that lose more than 0.05 recall all come from three sites that place feedback widgets, promotions or notices inside &lt;main&gt;; inspection showed that only such chrome was removed. Most repeated chrome is already gone before STCE: site-repeated text is 3.1% of ChromeRAG's output, against 2.1% for Trafilatura and 34.9% for MarkItDown. STCE is therefore a guarded complement for template blocks without chrome markup, as in the example above. Testing it on real sites exposed failure modes that are now guarded and covered by regression tests: utility CSS classes shared by chrome and content, a page fetched twice or published for several versions, and content wrappers whose class matched a small learned block.</w:t>
      </w:r>
    </w:p>
    <w:p w14:paraId="50F2D018" w14:textId="77948274">
      <w:pPr w14:paraId="0000D103" w14:textId="0000D104">
        <w:pStyle w:val="Heading1"/>
        <w:spacing w:after="0" w:line="240" w:lineRule="auto"/>
        <w:contextualSpacing/>
        <w:rPr>
          <w:rFonts w:ascii="Arial" w:hAnsi="Arial" w:cs="Arial"/>
          <w:b/>
          <w:iCs/>
          <w:szCs w:val="22"/>
        </w:rPr>
      </w:pPr>
      <w:r>
        <w:t>Impact</w:t>
      </w:r>
    </w:p>
    <w:p>
      <w:pPr w14:paraId="0000D105" w14:textId="0000D106">
        <w:pStyle w:val="Body"/>
      </w:pPr>
      <w:r>
        <w:rPr>
          <w:b/>
        </w:rPr>
        <w:t>Improving an existing workflow.</w:t>
      </w:r>
      <w:r>
        <w:t xml:space="preserve"> Chunking and embedding scraped HTML is now a routine data-engineering task, and chrome removal is often done with ad hoc regular expressions written for each site. ChromeRAG replaces those with one tested step whose behaviour is documented. It works on CPU without network access, and it reports what it removed and why (diagnostics). Two properties matter most for RAG corpora. Across a whole site, the learned model can remove template blocks without chrome markup, which single-page extractors keep, and on 125 real documentation sites it left F_bal unchanged. On single pages, output stays about four times shorter than a structure-preserving converter while keeping the same content. In retrieval this means the same hit rate as MarkItDown with 35% fewer chunks to embed and far less chrome in the context passed to the model.</w:t>
      </w:r>
    </w:p>
    <w:p>
      <w:pPr w14:paraId="0000D107" w14:textId="0000D108">
        <w:pStyle w:val="Body"/>
      </w:pPr>
      <w:r>
        <w:rPr>
          <w:b/>
        </w:rPr>
        <w:t>Integration pathways.</w:t>
      </w:r>
      <w:r>
        <w:t xml:space="preserve"> The bundled LangChain loader turns stored HTML files into documents whose metadata carries the front-matter, so a text splitter copies title, type and breadcrumb onto every chunk; a LlamaIndex reader can wrap extract() the same way. chromerag batch fits into Airflow or Prefect jobs after a crawl step. Its batch_summary.json lets later tasks send thin or JavaScript-shell pages to a headless browser instead of indexing empty text without notice. The typed front-matter supports filtering and citation at query time.</w:t>
      </w:r>
    </w:p>
    <w:p>
      <w:pPr w14:paraId="0000D109" w14:textId="0000D10A">
        <w:pStyle w:val="Body"/>
      </w:pPr>
      <w:r>
        <w:rPr>
          <w:b/>
        </w:rPr>
        <w:t>New research questions.</w:t>
      </w:r>
      <w:r>
        <w:t xml:space="preserve"> The repository includes a reproducible, tool-agnostic evaluation harness for web content extraction aimed at RAG, not news archiving. Researchers can register another extractor in poc/baselines.py and score it on the same pages, anchors and retrieval queries, and the published crawl list (poc/stce_crawl_urls.json) supports site-level studies. Open questions include whether the retrieval result holds for dense retrievers and for generated answers, how site-level template models age as sites are redesigned, and whether semantic encoders improve on the lexical DVDF filter.</w:t>
      </w:r>
    </w:p>
    <w:p>
      <w:pPr w14:paraId="0000D10B" w14:textId="0000D10C">
        <w:pStyle w:val="Body"/>
      </w:pPr>
      <w:r>
        <w:rPr>
          <w:b/>
        </w:rPr>
        <w:t>Adoption.</w:t>
      </w:r>
      <w:r>
        <w:t xml:space="preserve"> ChromeRAG was first released on PyPI and GitHub in September 2026, so download, citation and third-party usage figures are not yet meaningful. The public issue tracker and the live leaderboard at https://pedapudibhargav.github.io/ChromeRAG/ are the channels for outside feedback.</w:t>
      </w:r>
    </w:p>
    <w:p>
      <w:pPr w14:paraId="0000D10D" w14:textId="0000D10E">
        <w:pStyle w:val="Body"/>
      </w:pPr>
      <w:r>
        <w:rPr>
          <w:b/>
        </w:rPr>
        <w:t>Limitations.</w:t>
      </w:r>
      <w:r>
        <w:t xml:space="preserve"> (i) ChromeRAG does not run JavaScript. It warns about shell pages but cannot recover their content. (ii) The metrics use structural anchors, not human-labelled spans. Pages without landmarks are under-represented, and extractors that also use landmarks may have an advantage. For this reason, all per-page scores are published, and the retrieval evaluation uses queries rather than anchors. (iii) DVDF compares lexical hashed vectors, not semantic embeddings, and retrieval was evaluated with BM25 only. (iv) STCE needs at least three pages from the same site group and considers block-level elements only, so template text in bare links or paragraphs can remain. (v) Only HTML is handled. PDF and Office formats need other converters such as MarkItDown.</w:t>
      </w:r>
    </w:p>
    <w:p w14:paraId="6077F737" w14:textId="77777777">
      <w:pPr w14:paraId="0000D10F" w14:textId="0000D110">
        <w:pStyle w:val="Heading1"/>
        <w:spacing w:before="0" w:line="240" w:lineRule="auto"/>
        <w:contextualSpacing/>
        <w:rPr>
          <w:rFonts w:ascii="Arial" w:eastAsia="Calibri" w:hAnsi="Arial" w:cs="Arial"/>
          <w:iCs/>
          <w:sz w:val="22"/>
          <w:szCs w:val="22"/>
        </w:rPr>
      </w:pPr>
      <w:r>
        <w:t>Conclusions</w:t>
      </w:r>
    </w:p>
    <w:p>
      <w:pPr w14:paraId="0000D111" w14:textId="0000D112">
        <w:pStyle w:val="Body"/>
      </w:pPr>
      <w:r>
        <w:t>ChromeRAG is a focused, installable component for the ingest step of web RAG pipelines. It converts HTML into Markdown without site chrome, can learn a site's repeated template, carries Schema.org metadata and tables into chunk-friendly form, and reports unusable inputs instead of hiding them. On a public benchmark of 242 pages, with a cohort chosen from the input alone, ChromeRAG matches MarkItDown's content recall while keeping about 35 times less chrome. It is ahead of Trafilatura on F_bal, mainly because it has fewer catastrophic content losses. In BM25 retrieval it matches MarkItDown's hit rate with 35% fewer chunks. The code, tests, benchmark harness and per-page results are openly available. Planned work covers page-type-specific presets, an optional sentence-encoder backend for DVDF [13], and evaluation with dense retrievers and generated answers.</w:t>
      </w:r>
    </w:p>
    <w:p>
      <w:pPr w14:paraId="0000D113" w14:textId="0000D114">
        <w:pStyle w:val="Heading1"/>
      </w:pPr>
      <w:r>
        <w:t>CRediT author contribution statement</w:t>
      </w:r>
    </w:p>
    <w:p>
      <w:pPr w14:paraId="0000D115" w14:textId="0000D116">
        <w:pStyle w:val="Body"/>
      </w:pPr>
      <w:r>
        <w:rPr>
          <w:b/>
        </w:rPr>
        <w:t>Bhargava Chary Peddapudi:</w:t>
      </w:r>
      <w:r>
        <w:t xml:space="preserve"> Conceptualization, Methodology, Software, Validation, Formal analysis, Data curation, Visualization, Writing — original draft, Writing — review &amp; editing.</w:t>
      </w:r>
    </w:p>
    <w:p>
      <w:pPr w14:paraId="0000D117" w14:textId="0000D118">
        <w:pStyle w:val="Heading1"/>
      </w:pPr>
      <w:r>
        <w:t>Declaration of competing interest</w:t>
      </w:r>
    </w:p>
    <w:p>
      <w:pPr w14:paraId="0000D119" w14:textId="0000D11A">
        <w:pStyle w:val="Body"/>
      </w:pPr>
      <w:r>
        <w:t>The author declares that they have no known competing financial interests or personal relationships that could have appeared to influence the work reported in this paper.</w:t>
      </w:r>
    </w:p>
    <w:p>
      <w:pPr w14:paraId="0000D11B" w14:textId="0000D11C">
        <w:pStyle w:val="Heading1"/>
      </w:pPr>
      <w:r>
        <w:t>Funding</w:t>
      </w:r>
    </w:p>
    <w:p>
      <w:pPr w14:paraId="0000D11D" w14:textId="0000D11E">
        <w:pStyle w:val="Body"/>
      </w:pPr>
      <w:r>
        <w:t>This research did not receive any specific grant from funding agencies in the public, commercial, or not-for-profit sectors.</w:t>
      </w:r>
    </w:p>
    <w:p>
      <w:pPr w14:paraId="0000D11F" w14:textId="0000D120">
        <w:pStyle w:val="Heading1"/>
      </w:pPr>
      <w:r>
        <w:t>Data availability</w:t>
      </w:r>
    </w:p>
    <w:p>
      <w:pPr w14:paraId="0000D121" w14:textId="0000D122">
        <w:pStyle w:val="Body"/>
      </w:pPr>
      <w:r>
        <w:t>The software, the list of benchmark URLs (poc/corpus_urls.json), the evaluation harness, per-page scores, the retrieval and STCE evaluations, the STCE crawl list (poc/stce_crawl_urls.json) and aggregate results (docs/data/) are openly available at https://github.com/pedapudibhargav/ChromeRAG under the MIT license. The raw third-party HTML pages are not redistributed. They can be fetched again with python -m poc.run_corpus_comparison, although live pages change over time.</w:t>
      </w:r>
    </w:p>
    <w:p>
      <w:pPr w14:paraId="0000D123" w14:textId="0000D124">
        <w:pStyle w:val="Heading1"/>
      </w:pPr>
      <w:r>
        <w:t>Declaration of generative AI and AI-assisted technologies in the manuscript preparation process</w:t>
      </w:r>
    </w:p>
    <w:p>
      <w:pPr w14:paraId="0000D125" w14:textId="0000D126">
        <w:pStyle w:val="Body"/>
      </w:pPr>
      <w:r>
        <w:t>During the preparation of this work the author used Cursor (with a Grok-based coding agent) and Anthropic Claude (Claude Code) in order to assist with software development, code review, drafting and editing of the manuscript text, and verification of reported numbers against the benchmark outputs. After using these tools, the author reviewed and edited the content as needed and takes full responsibility for the content of the published article.</w:t>
      </w:r>
    </w:p>
    <w:p w14:paraId="1B7B8834" w14:textId="658852DB">
      <w:pPr w14:paraId="0000D127" w14:textId="0000D128">
        <w:pStyle w:val="Heading1"/>
        <w:spacing w:after="0" w:line="240" w:lineRule="auto"/>
        <w:rPr>
          <w:rFonts w:ascii="Arial" w:eastAsia="Times New Roman" w:hAnsi="Arial" w:cs="Arial"/>
          <w:b/>
          <w:szCs w:val="22"/>
          <w:lang w:val="en"/>
        </w:rPr>
      </w:pPr>
      <w:r>
        <w:t>Acknowledgements</w:t>
      </w:r>
    </w:p>
    <w:p>
      <w:pPr w14:paraId="0000D129" w14:textId="0000D12A">
        <w:pStyle w:val="Body"/>
      </w:pPr>
      <w:r>
        <w:t>None.</w:t>
      </w:r>
    </w:p>
    <w:p w14:paraId="62FE8705" w14:textId="3B3D771E">
      <w:pPr w14:paraId="0000D12B" w14:textId="0000D12C">
        <w:pStyle w:val="Heading1"/>
        <w:spacing w:before="0" w:line="240" w:lineRule="auto"/>
        <w:rPr>
          <w:rFonts w:ascii="Arial" w:eastAsia="Calibri" w:hAnsi="Arial" w:cs="Arial"/>
          <w:iCs/>
          <w:sz w:val="22"/>
          <w:szCs w:val="22"/>
        </w:rPr>
      </w:pPr>
      <w:r>
        <w:t>References</w:t>
      </w:r>
    </w:p>
    <w:p>
      <w:pPr w14:paraId="0000D12D" w14:textId="0000D12E">
        <w:pStyle w:val="Body"/>
      </w:pPr>
      <w:r>
        <w:t>1. P. Lewis, E. Perez, A. Piktus, F. Petroni, V. Karpukhin, N. Goyal, H. Küttler, M. Lewis, W. Yih, T. Rocktäschel, S. Riedel, and D. Kiela, "Retrieval-Augmented Generation for Knowledge-Intensive NLP Tasks," in Advances in Neural Information Processing Systems 33 (NeurIPS 2020), 2020, pp. 9459–9474. arXiv: 2005.11401.</w:t>
      </w:r>
    </w:p>
    <w:p>
      <w:pPr w14:paraId="0000D12F" w14:textId="0000D130">
        <w:pStyle w:val="Body"/>
      </w:pPr>
      <w:r>
        <w:t>2. C. Kohlschütter, P. Fankhauser, and W. Nejdl, "Boilerplate Detection Using Shallow Text Features," in Proc. 3rd ACM Int. Conf. Web Search and Data Mining (WSDM), 2010, pp. 441–450. doi: 10.1145/1718487.1718542.</w:t>
      </w:r>
    </w:p>
    <w:p>
      <w:pPr w14:paraId="0000D131" w14:textId="0000D132">
        <w:pStyle w:val="Body"/>
      </w:pPr>
      <w:r>
        <w:t>3. T. Vogels, O.-E. Ganea, and C. Eickhoff, "Web2Text: Deep Structured Boilerplate Removal," in Advances in Information Retrieval (ECIR 2018), LNCS, 2018, pp. 167–179. doi: 10.1007/978-3-319-76941-7_13.</w:t>
      </w:r>
    </w:p>
    <w:p>
      <w:pPr w14:paraId="0000D133" w14:textId="0000D134">
        <w:pStyle w:val="Body"/>
      </w:pPr>
      <w:r>
        <w:t>4. A. Barbaresi, "Trafilatura: A Web Scraping Library and Command-Line Tool for Text Discovery and Extraction," in Proc. ACL-IJCNLP 2021: System Demonstrations, 2021, pp. 122–131. doi: 10.18653/v1/2021.acl-demo.15.</w:t>
      </w:r>
    </w:p>
    <w:p>
      <w:pPr w14:paraId="0000D135" w14:textId="0000D136">
        <w:pStyle w:val="Body"/>
      </w:pPr>
      <w:r>
        <w:t>5. Y. Baburov et al., python-readability (readability-lxml), Python port of Arc90 Readability, GitHub. [Online]. Available: https://github.com/buriy/python-readability</w:t>
      </w:r>
    </w:p>
    <w:p>
      <w:pPr w14:paraId="0000D137" w14:textId="0000D138">
        <w:pStyle w:val="Body"/>
      </w:pPr>
      <w:r>
        <w:t>6. Microsoft, MarkItDown: Python tool for converting files and office documents to Markdown, GitHub. [Online]. Available: https://github.com/microsoft/markitdown</w:t>
      </w:r>
    </w:p>
    <w:p>
      <w:pPr w14:paraId="0000D139" w14:textId="0000D13A">
        <w:pStyle w:val="Body"/>
      </w:pPr>
      <w:r>
        <w:t>7. J. Bevendorff, S. Gupta, J. Kiesel, and B. Stein, "An Empirical Comparison of Web Content Extraction Algorithms," in Proc. 46th Int. ACM SIGIR Conf., 2023, pp. 2594–2603. doi: 10.1145/3539618.3591920.</w:t>
      </w:r>
    </w:p>
    <w:p>
      <w:pPr w14:paraId="0000D13B" w14:textId="0000D13C">
        <w:pStyle w:val="Body"/>
      </w:pPr>
      <w:r>
        <w:t>8. Z. Bar-Yossef and S. Rajagopalan, "Template Detection via Data Mining and its Applications," in Proc. 11th Int. World Wide Web Conf. (WWW), 2002, pp. 580–591. doi: 10.1145/511446.511522.</w:t>
      </w:r>
    </w:p>
    <w:p>
      <w:pPr w14:paraId="0000D13D" w14:textId="0000D13E">
        <w:pStyle w:val="Body"/>
      </w:pPr>
      <w:r>
        <w:t>9. L. Yi, B. Liu, and X. Li, "Eliminating Noisy Information in Web Pages for Data Mining," in Proc. 9th ACM SIGKDD Int. Conf. Knowledge Discovery and Data Mining, 2003, pp. 296–305. doi: 10.1145/956750.956785.</w:t>
      </w:r>
    </w:p>
    <w:p>
      <w:pPr w14:paraId="0000D13F" w14:textId="0000D140">
        <w:pStyle w:val="Body"/>
      </w:pPr>
      <w:r>
        <w:t>10. J. Alarte, J. Silva, and S. Tamarit, "What Web Template Extractor Should I Use? A Benchmarking and Comparison for Five Template Extractors," ACM Trans. Web, vol. 13, no. 2, pp. 1–19, 2019. doi: 10.1145/3316810.</w:t>
      </w:r>
    </w:p>
    <w:p>
      <w:pPr w14:paraId="0000D141" w14:textId="0000D142">
        <w:pStyle w:val="Body"/>
      </w:pPr>
      <w:r>
        <w:t>11. J. Tan, Z. Dou, W. Wang, M. Wang, W. Chen, and J.-R. Wen, "HtmlRAG: HTML is Better Than Plain Text for Modeling Retrieved Knowledge in RAG Systems," in Proc. ACM Web Conf. 2025 (WWW '25), 2025, pp. 1733–1746. doi: 10.1145/3696410.3714546.</w:t>
      </w:r>
    </w:p>
    <w:p>
      <w:pPr w14:paraId="0000D143" w14:textId="0000D144">
        <w:pStyle w:val="Body"/>
      </w:pPr>
      <w:r>
        <w:t>12. K. Weinberger, A. Dasgupta, J. Langford, A. Smola, and J. Attenberg, "Feature Hashing for Large Scale Multitask Learning," in Proc. 26th Int. Conf. Machine Learning (ICML), 2009, pp. 1113–1120. doi: 10.1145/1553374.1553516.</w:t>
      </w:r>
    </w:p>
    <w:p>
      <w:pPr w14:paraId="0000D145" w14:textId="0000D146">
        <w:pStyle w:val="Body"/>
      </w:pPr>
      <w:r>
        <w:t>13. N. Reimers and I. Gurevych, "Sentence-BERT: Sentence Embeddings using Siamese BERT-Networks," in Proc. EMNLP-IJCNLP 2019, 2019, pp. 3980–3990. doi: 10.18653/v1/D19-1410.</w:t>
      </w:r>
    </w:p>
    <w:p>
      <w:pPr w14:paraId="0000D147" w14:textId="0000D148">
        <w:pStyle w:val="Body"/>
      </w:pPr>
      <w:r>
        <w:t>14. B. C. Peddapudi, ChromeRAG, version 0.1.2, GitHub, 2026. [Online]. Available: https://github.com/pedapudibhargav/ChromeRAG/tree/v0.1.2</w:t>
      </w:r>
    </w:p>
    <w:sectPr>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EE141" w14:textId="77777777" w:rsidR="00D53AC3" w:rsidRDefault="00D53AC3" w:rsidP="00AB5093">
      <w:pPr>
        <w:spacing w:after="0" w:line="240" w:lineRule="auto"/>
      </w:pPr>
      <w:r>
        <w:separator/>
      </w:r>
    </w:p>
  </w:endnote>
  <w:endnote w:type="continuationSeparator" w:id="0">
    <w:p w14:paraId="3775C13D" w14:textId="77777777" w:rsidR="00D53AC3" w:rsidRDefault="00D53AC3" w:rsidP="00AB5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A956B" w14:textId="77777777" w:rsidR="00FE615A" w:rsidRDefault="00FE61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3208" w14:textId="77777777" w:rsidR="00FE615A" w:rsidRDefault="00FE6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269F0" w14:textId="77777777" w:rsidR="00D53AC3" w:rsidRDefault="00D53AC3" w:rsidP="00AB5093">
      <w:pPr>
        <w:spacing w:after="0" w:line="240" w:lineRule="auto"/>
      </w:pPr>
      <w:r>
        <w:separator/>
      </w:r>
    </w:p>
  </w:footnote>
  <w:footnote w:type="continuationSeparator" w:id="0">
    <w:p w14:paraId="34C72557" w14:textId="77777777" w:rsidR="00D53AC3" w:rsidRDefault="00D53AC3" w:rsidP="00AB5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B311" w14:textId="77777777" w:rsidR="00FE615A" w:rsidRDefault="00FE61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76E17" w14:textId="77777777" w:rsidR="00FE615A" w:rsidRDefault="00FE61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BE21E" w14:textId="77777777" w:rsidR="00FE615A" w:rsidRDefault="00FE61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56017"/>
    <w:multiLevelType w:val="hybridMultilevel"/>
    <w:tmpl w:val="B79C92FC"/>
    <w:lvl w:ilvl="0" w:tplc="9C365B08">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E02F0"/>
    <w:multiLevelType w:val="hybridMultilevel"/>
    <w:tmpl w:val="B4B28AF6"/>
    <w:lvl w:ilvl="0" w:tplc="0216600A">
      <w:numFmt w:val="bullet"/>
      <w:lvlText w:val=""/>
      <w:lvlJc w:val="left"/>
      <w:pPr>
        <w:ind w:left="720" w:hanging="360"/>
      </w:pPr>
      <w:rPr>
        <w:rFonts w:ascii="Symbol" w:hAnsi="Symbol" w:cs="Calibri" w:hint="default"/>
        <w:b w:val="0"/>
        <w:bCs w:val="0"/>
        <w:i w:val="0"/>
        <w:iCs w:val="0"/>
        <w:caps w:val="0"/>
        <w:smallCaps w:val="0"/>
        <w:strike w:val="0"/>
        <w:dstrike w:val="0"/>
        <w:color w:val="000000" w:themeColor="text1"/>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22EF753A"/>
    <w:multiLevelType w:val="hybridMultilevel"/>
    <w:tmpl w:val="9960A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7E13A8"/>
    <w:multiLevelType w:val="multilevel"/>
    <w:tmpl w:val="AAC849C0"/>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4" w15:restartNumberingAfterBreak="0">
    <w:nsid w:val="3B0C0AE7"/>
    <w:multiLevelType w:val="multilevel"/>
    <w:tmpl w:val="DE2616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5" w15:restartNumberingAfterBreak="0">
    <w:nsid w:val="4CB16586"/>
    <w:multiLevelType w:val="hybridMultilevel"/>
    <w:tmpl w:val="E23A7A74"/>
    <w:lvl w:ilvl="0" w:tplc="CB62E536">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63B578A"/>
    <w:multiLevelType w:val="hybridMultilevel"/>
    <w:tmpl w:val="2E7CA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25763A"/>
    <w:multiLevelType w:val="multilevel"/>
    <w:tmpl w:val="A99A24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8" w15:restartNumberingAfterBreak="0">
    <w:nsid w:val="5EF36196"/>
    <w:multiLevelType w:val="hybridMultilevel"/>
    <w:tmpl w:val="24624A32"/>
    <w:lvl w:ilvl="0" w:tplc="0809000B">
      <w:start w:val="1"/>
      <w:numFmt w:val="bullet"/>
      <w:lvlText w:val=""/>
      <w:lvlJc w:val="left"/>
      <w:pPr>
        <w:ind w:left="720" w:hanging="36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9" w15:restartNumberingAfterBreak="0">
    <w:nsid w:val="6BEF10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D00737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0B940C7"/>
    <w:multiLevelType w:val="hybridMultilevel"/>
    <w:tmpl w:val="A5E6F12E"/>
    <w:lvl w:ilvl="0" w:tplc="5830B950">
      <w:start w:val="1"/>
      <w:numFmt w:val="decimal"/>
      <w:lvlText w:val="%1."/>
      <w:lvlJc w:val="left"/>
      <w:pPr>
        <w:ind w:left="774" w:hanging="360"/>
      </w:pPr>
      <w:rPr>
        <w:rFonts w:ascii="Calibri" w:hAnsi="Calibri" w:hint="default"/>
        <w:b w:val="0"/>
        <w:i w:val="0"/>
        <w:color w:val="auto"/>
        <w:sz w:val="22"/>
      </w:rPr>
    </w:lvl>
    <w:lvl w:ilvl="1" w:tplc="20000019" w:tentative="1">
      <w:start w:val="1"/>
      <w:numFmt w:val="lowerLetter"/>
      <w:lvlText w:val="%2."/>
      <w:lvlJc w:val="left"/>
      <w:pPr>
        <w:ind w:left="1494" w:hanging="360"/>
      </w:pPr>
    </w:lvl>
    <w:lvl w:ilvl="2" w:tplc="2000001B" w:tentative="1">
      <w:start w:val="1"/>
      <w:numFmt w:val="lowerRoman"/>
      <w:lvlText w:val="%3."/>
      <w:lvlJc w:val="right"/>
      <w:pPr>
        <w:ind w:left="2214" w:hanging="180"/>
      </w:pPr>
    </w:lvl>
    <w:lvl w:ilvl="3" w:tplc="2000000F" w:tentative="1">
      <w:start w:val="1"/>
      <w:numFmt w:val="decimal"/>
      <w:lvlText w:val="%4."/>
      <w:lvlJc w:val="left"/>
      <w:pPr>
        <w:ind w:left="2934" w:hanging="360"/>
      </w:pPr>
    </w:lvl>
    <w:lvl w:ilvl="4" w:tplc="20000019" w:tentative="1">
      <w:start w:val="1"/>
      <w:numFmt w:val="lowerLetter"/>
      <w:lvlText w:val="%5."/>
      <w:lvlJc w:val="left"/>
      <w:pPr>
        <w:ind w:left="3654" w:hanging="360"/>
      </w:pPr>
    </w:lvl>
    <w:lvl w:ilvl="5" w:tplc="2000001B" w:tentative="1">
      <w:start w:val="1"/>
      <w:numFmt w:val="lowerRoman"/>
      <w:lvlText w:val="%6."/>
      <w:lvlJc w:val="right"/>
      <w:pPr>
        <w:ind w:left="4374" w:hanging="180"/>
      </w:pPr>
    </w:lvl>
    <w:lvl w:ilvl="6" w:tplc="2000000F" w:tentative="1">
      <w:start w:val="1"/>
      <w:numFmt w:val="decimal"/>
      <w:lvlText w:val="%7."/>
      <w:lvlJc w:val="left"/>
      <w:pPr>
        <w:ind w:left="5094" w:hanging="360"/>
      </w:pPr>
    </w:lvl>
    <w:lvl w:ilvl="7" w:tplc="20000019" w:tentative="1">
      <w:start w:val="1"/>
      <w:numFmt w:val="lowerLetter"/>
      <w:lvlText w:val="%8."/>
      <w:lvlJc w:val="left"/>
      <w:pPr>
        <w:ind w:left="5814" w:hanging="360"/>
      </w:pPr>
    </w:lvl>
    <w:lvl w:ilvl="8" w:tplc="2000001B" w:tentative="1">
      <w:start w:val="1"/>
      <w:numFmt w:val="lowerRoman"/>
      <w:lvlText w:val="%9."/>
      <w:lvlJc w:val="right"/>
      <w:pPr>
        <w:ind w:left="6534" w:hanging="180"/>
      </w:pPr>
    </w:lvl>
  </w:abstractNum>
  <w:abstractNum w:abstractNumId="12" w15:restartNumberingAfterBreak="0">
    <w:nsid w:val="75045A23"/>
    <w:multiLevelType w:val="hybridMultilevel"/>
    <w:tmpl w:val="1E60B3C2"/>
    <w:lvl w:ilvl="0" w:tplc="1A244374">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4365CA"/>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14" w15:restartNumberingAfterBreak="0">
    <w:nsid w:val="7F2A3952"/>
    <w:multiLevelType w:val="hybridMultilevel"/>
    <w:tmpl w:val="6D5CE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627706">
    <w:abstractNumId w:val="13"/>
  </w:num>
  <w:num w:numId="2" w16cid:durableId="1999461690">
    <w:abstractNumId w:val="4"/>
  </w:num>
  <w:num w:numId="3" w16cid:durableId="1897162489">
    <w:abstractNumId w:val="3"/>
  </w:num>
  <w:num w:numId="4" w16cid:durableId="1686514444">
    <w:abstractNumId w:val="7"/>
  </w:num>
  <w:num w:numId="5" w16cid:durableId="212230829">
    <w:abstractNumId w:val="6"/>
  </w:num>
  <w:num w:numId="6" w16cid:durableId="1011375410">
    <w:abstractNumId w:val="14"/>
  </w:num>
  <w:num w:numId="7" w16cid:durableId="751269685">
    <w:abstractNumId w:val="12"/>
  </w:num>
  <w:num w:numId="8" w16cid:durableId="345865658">
    <w:abstractNumId w:val="0"/>
  </w:num>
  <w:num w:numId="9" w16cid:durableId="102573670">
    <w:abstractNumId w:val="1"/>
  </w:num>
  <w:num w:numId="10" w16cid:durableId="1794521271">
    <w:abstractNumId w:val="11"/>
  </w:num>
  <w:num w:numId="11" w16cid:durableId="2017076232">
    <w:abstractNumId w:val="5"/>
  </w:num>
  <w:num w:numId="12" w16cid:durableId="35546227">
    <w:abstractNumId w:val="8"/>
  </w:num>
  <w:num w:numId="13" w16cid:durableId="535430727">
    <w:abstractNumId w:val="2"/>
  </w:num>
  <w:num w:numId="14" w16cid:durableId="386802509">
    <w:abstractNumId w:val="9"/>
  </w:num>
  <w:num w:numId="15" w16cid:durableId="2000955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94D542"/>
  <w15:docId w15:val="{34AC7C4D-3230-42DC-8E1B-D1087A5C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keepNext/>
      <w:keepLines/>
      <w:spacing w:before="480" w:after="0"/>
      <w:outlineLvl w:val="0"/>
    </w:pPr>
    <w:rPr>
      <w:rFonts w:ascii="Cambria" w:eastAsia="Cambria" w:hAnsi="Cambria" w:cs="Cambria"/>
      <w:b/>
      <w:sz w:val="28"/>
    </w:rPr>
  </w:style>
  <w:style w:type="paragraph" w:styleId="Heading2">
    <w:name w:val="heading 2"/>
    <w:basedOn w:val="Normal"/>
    <w:next w:val="Normal"/>
    <w:pPr>
      <w:keepNext/>
      <w:keepLines/>
      <w:spacing w:before="200" w:after="0"/>
      <w:outlineLvl w:val="1"/>
    </w:pPr>
    <w:rPr>
      <w:rFonts w:ascii="Cambria" w:eastAsia="Cambria" w:hAnsi="Cambria" w:cs="Cambria"/>
      <w:b/>
      <w:sz w:val="26"/>
    </w:rPr>
  </w:style>
  <w:style w:type="paragraph" w:styleId="Heading3">
    <w:name w:val="heading 3"/>
    <w:basedOn w:val="Normal"/>
    <w:next w:val="Normal"/>
    <w:pPr>
      <w:keepNext/>
      <w:keepLines/>
      <w:spacing w:before="200" w:after="0" w:line="271" w:lineRule="auto"/>
      <w:outlineLvl w:val="2"/>
    </w:pPr>
    <w:rPr>
      <w:rFonts w:ascii="Cambria" w:eastAsia="Cambria" w:hAnsi="Cambria" w:cs="Cambria"/>
      <w:b/>
    </w:rPr>
  </w:style>
  <w:style w:type="paragraph" w:styleId="Heading4">
    <w:name w:val="heading 4"/>
    <w:basedOn w:val="Normal"/>
    <w:next w:val="Normal"/>
    <w:pPr>
      <w:keepNext/>
      <w:keepLines/>
      <w:spacing w:before="200" w:after="0"/>
      <w:outlineLvl w:val="3"/>
    </w:pPr>
    <w:rPr>
      <w:rFonts w:ascii="Cambria" w:eastAsia="Cambria" w:hAnsi="Cambria" w:cs="Cambria"/>
      <w:b/>
      <w:i/>
    </w:rPr>
  </w:style>
  <w:style w:type="paragraph" w:styleId="Heading5">
    <w:name w:val="heading 5"/>
    <w:basedOn w:val="Normal"/>
    <w:next w:val="Normal"/>
    <w:pPr>
      <w:keepNext/>
      <w:keepLines/>
      <w:spacing w:before="200" w:after="0"/>
      <w:outlineLvl w:val="4"/>
    </w:pPr>
    <w:rPr>
      <w:rFonts w:ascii="Cambria" w:eastAsia="Cambria" w:hAnsi="Cambria" w:cs="Cambria"/>
      <w:b/>
    </w:rPr>
  </w:style>
  <w:style w:type="paragraph" w:styleId="Heading6">
    <w:name w:val="heading 6"/>
    <w:basedOn w:val="Normal"/>
    <w:next w:val="Normal"/>
    <w:pPr>
      <w:keepNext/>
      <w:keepLines/>
      <w:spacing w:after="0" w:line="271" w:lineRule="auto"/>
      <w:outlineLvl w:val="5"/>
    </w:pPr>
    <w:rPr>
      <w:rFonts w:ascii="Cambria" w:eastAsia="Cambria" w:hAnsi="Cambria" w:cs="Cambria"/>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line="240" w:lineRule="auto"/>
    </w:pPr>
    <w:rPr>
      <w:rFonts w:ascii="Cambria" w:eastAsia="Cambria" w:hAnsi="Cambria" w:cs="Cambria"/>
      <w:sz w:val="52"/>
    </w:rPr>
  </w:style>
  <w:style w:type="paragraph" w:styleId="Subtitle">
    <w:name w:val="Subtitle"/>
    <w:basedOn w:val="Normal"/>
    <w:next w:val="Normal"/>
    <w:pPr>
      <w:keepNext/>
      <w:keepLines/>
      <w:spacing w:after="600"/>
    </w:pPr>
    <w:rPr>
      <w:rFonts w:ascii="Cambria" w:eastAsia="Cambria" w:hAnsi="Cambria" w:cs="Cambria"/>
      <w:i/>
      <w:color w:val="666666"/>
      <w:sz w:val="24"/>
    </w:rPr>
  </w:style>
  <w:style w:type="table" w:customStyle="1" w:styleId="a">
    <w:basedOn w:val="TableNormal"/>
    <w:pPr>
      <w:spacing w:after="0" w:line="240" w:lineRule="auto"/>
    </w:pPr>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CellMar>
        <w:left w:w="115" w:type="dxa"/>
        <w:right w:w="115" w:type="dxa"/>
      </w:tblCellMar>
    </w:tblPr>
  </w:style>
  <w:style w:type="character" w:styleId="LineNumber">
    <w:name w:val="line number"/>
    <w:basedOn w:val="DefaultParagraphFont"/>
    <w:uiPriority w:val="99"/>
    <w:semiHidden/>
    <w:unhideWhenUsed/>
    <w:rsid w:val="00AB5093"/>
  </w:style>
  <w:style w:type="paragraph" w:styleId="Header">
    <w:name w:val="header"/>
    <w:basedOn w:val="Normal"/>
    <w:link w:val="HeaderChar"/>
    <w:uiPriority w:val="99"/>
    <w:unhideWhenUsed/>
    <w:rsid w:val="00AB50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B5093"/>
  </w:style>
  <w:style w:type="paragraph" w:styleId="Footer">
    <w:name w:val="footer"/>
    <w:basedOn w:val="Normal"/>
    <w:link w:val="FooterChar"/>
    <w:uiPriority w:val="99"/>
    <w:unhideWhenUsed/>
    <w:rsid w:val="00AB50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5093"/>
  </w:style>
  <w:style w:type="paragraph" w:styleId="ListParagraph">
    <w:name w:val="List Paragraph"/>
    <w:basedOn w:val="Normal"/>
    <w:uiPriority w:val="34"/>
    <w:qFormat/>
    <w:rsid w:val="00DE2B25"/>
    <w:pPr>
      <w:ind w:left="720"/>
      <w:contextualSpacing/>
    </w:pPr>
  </w:style>
  <w:style w:type="character" w:styleId="Hyperlink">
    <w:name w:val="Hyperlink"/>
    <w:basedOn w:val="DefaultParagraphFont"/>
    <w:uiPriority w:val="99"/>
    <w:unhideWhenUsed/>
    <w:rsid w:val="00E71895"/>
    <w:rPr>
      <w:color w:val="0000FF" w:themeColor="hyperlink"/>
      <w:u w:val="single"/>
    </w:rPr>
  </w:style>
  <w:style w:type="character" w:styleId="UnresolvedMention">
    <w:name w:val="Unresolved Mention"/>
    <w:basedOn w:val="DefaultParagraphFont"/>
    <w:uiPriority w:val="99"/>
    <w:semiHidden/>
    <w:unhideWhenUsed/>
    <w:rsid w:val="00E71895"/>
    <w:rPr>
      <w:color w:val="808080"/>
      <w:shd w:val="clear" w:color="auto" w:fill="E6E6E6"/>
    </w:rPr>
  </w:style>
  <w:style w:type="character" w:styleId="CommentReference">
    <w:name w:val="annotation reference"/>
    <w:basedOn w:val="DefaultParagraphFont"/>
    <w:uiPriority w:val="99"/>
    <w:semiHidden/>
    <w:unhideWhenUsed/>
    <w:rsid w:val="00D45277"/>
    <w:rPr>
      <w:sz w:val="16"/>
      <w:szCs w:val="16"/>
    </w:rPr>
  </w:style>
  <w:style w:type="paragraph" w:styleId="CommentText">
    <w:name w:val="annotation text"/>
    <w:basedOn w:val="Normal"/>
    <w:link w:val="CommentTextChar"/>
    <w:uiPriority w:val="99"/>
    <w:unhideWhenUsed/>
    <w:rsid w:val="00D45277"/>
    <w:pPr>
      <w:spacing w:line="240" w:lineRule="auto"/>
    </w:pPr>
    <w:rPr>
      <w:sz w:val="20"/>
    </w:rPr>
  </w:style>
  <w:style w:type="character" w:customStyle="1" w:styleId="CommentTextChar">
    <w:name w:val="Comment Text Char"/>
    <w:basedOn w:val="DefaultParagraphFont"/>
    <w:link w:val="CommentText"/>
    <w:uiPriority w:val="99"/>
    <w:rsid w:val="00D45277"/>
    <w:rPr>
      <w:sz w:val="20"/>
    </w:rPr>
  </w:style>
  <w:style w:type="paragraph" w:styleId="CommentSubject">
    <w:name w:val="annotation subject"/>
    <w:basedOn w:val="CommentText"/>
    <w:next w:val="CommentText"/>
    <w:link w:val="CommentSubjectChar"/>
    <w:uiPriority w:val="99"/>
    <w:semiHidden/>
    <w:unhideWhenUsed/>
    <w:rsid w:val="00D45277"/>
    <w:rPr>
      <w:b/>
      <w:bCs/>
    </w:rPr>
  </w:style>
  <w:style w:type="character" w:customStyle="1" w:styleId="CommentSubjectChar">
    <w:name w:val="Comment Subject Char"/>
    <w:basedOn w:val="CommentTextChar"/>
    <w:link w:val="CommentSubject"/>
    <w:uiPriority w:val="99"/>
    <w:semiHidden/>
    <w:rsid w:val="00D45277"/>
    <w:rPr>
      <w:b/>
      <w:bCs/>
      <w:sz w:val="20"/>
    </w:rPr>
  </w:style>
  <w:style w:type="character" w:customStyle="1" w:styleId="Hyperlink1">
    <w:name w:val="Hyperlink.1"/>
    <w:basedOn w:val="DefaultParagraphFont"/>
    <w:rsid w:val="00D45277"/>
    <w:rPr>
      <w:color w:val="0070C0"/>
      <w:u w:val="single" w:color="0070C0"/>
    </w:rPr>
  </w:style>
  <w:style w:type="paragraph" w:customStyle="1" w:styleId="Body">
    <w:name w:val="Body"/>
    <w:rsid w:val="00D45277"/>
    <w:pPr>
      <w:pBdr>
        <w:top w:val="nil"/>
        <w:left w:val="nil"/>
        <w:bottom w:val="nil"/>
        <w:right w:val="nil"/>
        <w:between w:val="nil"/>
        <w:bar w:val="nil"/>
      </w:pBdr>
    </w:pPr>
    <w:rPr>
      <w:szCs w:val="22"/>
      <w:u w:color="000000"/>
      <w:bdr w:val="nil"/>
      <w:lang w:val="it-IT"/>
    </w:rPr>
  </w:style>
  <w:style w:type="character" w:styleId="Strong">
    <w:name w:val="Strong"/>
    <w:basedOn w:val="DefaultParagraphFont"/>
    <w:uiPriority w:val="22"/>
    <w:qFormat/>
    <w:rsid w:val="004051DE"/>
    <w:rPr>
      <w:b/>
      <w:bCs/>
    </w:rPr>
  </w:style>
  <w:style w:type="paragraph" w:styleId="Revision">
    <w:name w:val="Revision"/>
    <w:hidden/>
    <w:uiPriority w:val="99"/>
    <w:semiHidden/>
    <w:rsid w:val="00A43006"/>
    <w:pPr>
      <w:spacing w:after="0" w:line="240" w:lineRule="auto"/>
    </w:pPr>
  </w:style>
  <w:style w:type="paragraph" w:styleId="BalloonText">
    <w:name w:val="Balloon Text"/>
    <w:basedOn w:val="Normal"/>
    <w:link w:val="BalloonTextChar"/>
    <w:uiPriority w:val="99"/>
    <w:semiHidden/>
    <w:unhideWhenUsed/>
    <w:rsid w:val="008F38E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38E0"/>
    <w:rPr>
      <w:rFonts w:ascii="Segoe UI" w:hAnsi="Segoe UI" w:cs="Segoe UI"/>
      <w:sz w:val="18"/>
      <w:szCs w:val="18"/>
    </w:rPr>
  </w:style>
  <w:style w:type="character" w:styleId="FollowedHyperlink">
    <w:name w:val="FollowedHyperlink"/>
    <w:basedOn w:val="DefaultParagraphFont"/>
    <w:uiPriority w:val="99"/>
    <w:semiHidden/>
    <w:unhideWhenUsed/>
    <w:rsid w:val="00151B5A"/>
    <w:rPr>
      <w:color w:val="800080" w:themeColor="followedHyperlink"/>
      <w:u w:val="single"/>
    </w:rPr>
  </w:style>
  <w:style w:type="character" w:customStyle="1" w:styleId="Heading1Char">
    <w:name w:val="Heading 1 Char"/>
    <w:basedOn w:val="DefaultParagraphFont"/>
    <w:link w:val="Heading1"/>
    <w:rsid w:val="005F0B17"/>
    <w:rPr>
      <w:rFonts w:ascii="Cambria" w:eastAsia="Cambria" w:hAnsi="Cambria" w:cs="Cambria"/>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softwarex@elsevier.com"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hyperlink" Target="mailto:softwarex@elsevier.com" TargetMode="External"/><Relationship Id="rId17" Type="http://schemas.openxmlformats.org/officeDocument/2006/relationships/hyperlink" Target="https://f1000research.com/articles/9-1257/v2"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mozart.github.io/documentatio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elsevier.com/journals/softwarex/2352-7110/guide-for-authors" TargetMode="Externa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www.elsevier.com/journals/softwarex/2352-7110/guide-for-authors" TargetMode="External"/><Relationship Id="rId23" Type="http://schemas.openxmlformats.org/officeDocument/2006/relationships/footer" Target="footer3.xml"/><Relationship Id="rId10" Type="http://schemas.openxmlformats.org/officeDocument/2006/relationships/hyperlink" Target="https://www.elsevier.com/journals/softwarex/2352-7110/guide-for-authors" TargetMode="External"/><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mozart/mozart2" TargetMode="External"/><Relationship Id="rId22" Type="http://schemas.openxmlformats.org/officeDocument/2006/relationships/header" Target="header3.xml"/><Relationship Id="rId26" Type="http://schemas.openxmlformats.org/officeDocument/2006/relationships/image" Target="media/image1.png"/><Relationship Id="rId27" Type="http://schemas.openxmlformats.org/officeDocument/2006/relationships/image" Target="media/image2.png"/><Relationship Id="rId2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2D3166B-69DD-4491-A94A-E61954D8CF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7529c1-d713-4f0e-ac3b-26a1b8ac1f57"/>
    <ds:schemaRef ds:uri="de5825df-219d-48cd-a3d8-6750717342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4CE2F2-156C-475F-A676-FBCD4F2B923D}">
  <ds:schemaRefs>
    <ds:schemaRef ds:uri="http://schemas.microsoft.com/sharepoint/v3/contenttype/forms"/>
  </ds:schemaRefs>
</ds:datastoreItem>
</file>

<file path=customXml/itemProps3.xml><?xml version="1.0" encoding="utf-8"?>
<ds:datastoreItem xmlns:ds="http://schemas.openxmlformats.org/officeDocument/2006/customXml" ds:itemID="{5ADD8FC7-380E-48ED-9ED0-155BB80A9642}">
  <ds:schemaRefs>
    <ds:schemaRef ds:uri="http://schemas.microsoft.com/office/2006/metadata/properties"/>
    <ds:schemaRef ds:uri="http://schemas.microsoft.com/office/infopath/2007/PartnerControls"/>
    <ds:schemaRef ds:uri="de5825df-219d-48cd-a3d8-675071734261"/>
    <ds:schemaRef ds:uri="107529c1-d713-4f0e-ac3b-26a1b8ac1f57"/>
  </ds:schemaRefs>
</ds:datastoreItem>
</file>

<file path=docMetadata/LabelInfo.xml><?xml version="1.0" encoding="utf-8"?>
<clbl:labelList xmlns:clbl="http://schemas.microsoft.com/office/2020/mipLabelMetadata">
  <clbl:label id="{549ac42a-3eb4-4074-b885-aea26bd6241e}" enabled="1" method="Standard" siteId="{9274ee3f-9425-4109-a27f-9fb15c10675d}" contentBits="0" removed="0"/>
  <clbl:label id="{96e14e5a-57ac-48d7-851d-12f54eff5a60}" enabled="0" method="" siteId="{96e14e5a-57ac-48d7-851d-12f54eff5a60}" removed="1"/>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1202</Words>
  <Characters>6854</Characters>
  <Application>Microsoft Office Word</Application>
  <DocSecurity>4</DocSecurity>
  <Lines>57</Lines>
  <Paragraphs>16</Paragraphs>
  <ScaleCrop>false</ScaleCrop>
  <HeadingPairs>
    <vt:vector size="2" baseType="variant">
      <vt:variant>
        <vt:lpstr>Title</vt:lpstr>
      </vt:variant>
      <vt:variant>
        <vt:i4>1</vt:i4>
      </vt:variant>
    </vt:vector>
  </HeadingPairs>
  <TitlesOfParts>
    <vt:vector size="1" baseType="lpstr">
      <vt:lpstr>SoftwareX_article_template.docx</vt:lpstr>
    </vt:vector>
  </TitlesOfParts>
  <Company/>
  <LinksUpToDate>false</LinksUpToDate>
  <CharactersWithSpaces>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ChromeRAG: Ingest-Time Elimination of Site Template Noise for Enterprise Web RAG</dc:title>
  <dc:creator>Bhargava Chary Peddapudi</dc:creator>
  <cp:lastModifiedBy>Bhargava Chary Peddapudi</cp:lastModifiedBy>
  <cp:revision>1</cp:revision>
  <dcterms:created xsi:type="dcterms:W3CDTF">2026-09-26T00:59:21Z</dcterms:created>
  <dcterms:modified xsi:type="dcterms:W3CDTF">2026-09-26T00:59:21Z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ies>
</file>