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(front-matter excluded)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and link density. The WCXB benchmark [10] makes the weakness of article-tuned tools measurable: systems agree on articles (F1 about 0.93) and differ by 20 to 30 points on forums, products and collections; its leaders are a page-type-aware Rust extractor [11] and a 0.6B-parameter language-model block labeller [12]. Using several pages of one site to find its template was proposed early [14, 15] and benchmarked in [16]; query-time pruning such as HtmlRAG [17] complements ingest-time cleaning. ChromeRAG follows the feature-engineered block classification of [2] with gradient-boosted trees, adapts the discard patterns of Trafilatura [5],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(Python 3.11 to 3.14), macOS and Windows.</w:t>
      </w:r>
    </w:p>
    <w:p>
      <w:pPr w14:paraId="0000D055" w14:textId="0000D056">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[5].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[18],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judgements below.</w:t>
      </w:r>
    </w:p>
    <w:p>
      <w:pPr w14:paraId="0000D067" w14:textId="0000D068">
        <w:pStyle w:val="Body"/>
      </w:pPr>
      <w:r>
        <w:t>ChromeRAG does not fetch pages, render JavaScript or crawl; those belong to the caller or to the evaluation harness in poc/.</w:t>
      </w:r>
    </w:p>
    <w:p>
      <w:pPr w14:paraId="0000D069" w14:textId="0000D06A">
        <w:pStyle w:val="Heading2"/>
      </w:pPr>
      <w:r>
        <w:t>Software functionalities</w:t>
      </w:r>
    </w:p>
    <w:p>
      <w:pPr w14:paraId="0000D06B" w14:textId="0000D06C">
        <w:pStyle w:val="Body"/>
      </w:pPr>
      <w:r>
        <w:t>The Python API centres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6F" w14:textId="0000D070">
              <w:pStyle w:val="Body"/>
            </w:pPr>
            <w:r>
              <w:rPr>
                <w:b/>
              </w:rPr>
              <w:t>Task</w:t>
            </w:r>
          </w:p>
        </w:tc>
        <w:tc>
          <w:tcPr>
            <w:tcW w:w="3000" w:type="dxa"/>
          </w:tcPr>
          <w:p>
            <w:pPr w14:paraId="0000D071" w14:textId="0000D072">
              <w:pStyle w:val="Body"/>
            </w:pPr>
            <w:r>
              <w:rPr>
                <w:b/>
              </w:rPr>
              <w:t>Command</w:t>
            </w:r>
          </w:p>
        </w:tc>
        <w:tc>
          <w:tcPr>
            <w:tcW w:w="3000" w:type="dxa"/>
          </w:tcPr>
          <w:p>
            <w:pPr w14:paraId="0000D073" w14:textId="0000D074">
              <w:pStyle w:val="Body"/>
            </w:pPr>
            <w:r>
              <w:rPr>
                <w:b/>
              </w:rPr>
              <w:t>Output</w:t>
            </w:r>
          </w:p>
        </w:tc>
      </w:tr>
      <w:tr>
        <w:tc>
          <w:tcPr>
            <w:tcW w:w="3000" w:type="dxa"/>
          </w:tcPr>
          <w:p>
            <w:pPr w14:paraId="0000D075" w14:textId="0000D076">
              <w:pStyle w:val="Body"/>
            </w:pPr>
            <w:r>
              <w:t>One page</w:t>
            </w:r>
          </w:p>
        </w:tc>
        <w:tc>
          <w:tcPr>
            <w:tcW w:w="3000" w:type="dxa"/>
          </w:tcPr>
          <w:p>
            <w:pPr w14:paraId="0000D077" w14:textId="0000D078">
              <w:pStyle w:val="Body"/>
            </w:pPr>
            <w:r>
              <w:t>chromerag extract page.html -o page.md --priority balanced</w:t>
            </w:r>
          </w:p>
        </w:tc>
        <w:tc>
          <w:tcPr>
            <w:tcW w:w="3000" w:type="dxa"/>
          </w:tcPr>
          <w:p>
            <w:pPr w14:paraId="0000D079" w14:textId="0000D07A">
              <w:pStyle w:val="Body"/>
            </w:pPr>
            <w:r>
              <w:t>Markdown; --json-meta prints diagnostics; --explain lists removed blocks; --chunks writes JSON lines; --fail-on-thin exits with code 3</w:t>
            </w:r>
          </w:p>
        </w:tc>
      </w:tr>
      <w:tr>
        <w:tc>
          <w:tcPr>
            <w:tcW w:w="3000" w:type="dxa"/>
          </w:tcPr>
          <w:p>
            <w:pPr w14:paraId="0000D07B" w14:textId="0000D07C">
              <w:pStyle w:val="Body"/>
            </w:pPr>
            <w:r>
              <w:t>Learn site chrome</w:t>
            </w:r>
          </w:p>
        </w:tc>
        <w:tc>
          <w:tcPr>
            <w:tcW w:w="3000" w:type="dxa"/>
          </w:tcPr>
          <w:p>
            <w:pPr w14:paraId="0000D07D" w14:textId="0000D07E">
              <w:pStyle w:val="Body"/>
            </w:pPr>
            <w:r>
              <w:t>chromerag learn pages/ -o site.json --min-pages 3</w:t>
            </w:r>
          </w:p>
        </w:tc>
        <w:tc>
          <w:tcPr>
            <w:tcW w:w="3000" w:type="dxa"/>
          </w:tcPr>
          <w:p>
            <w:pPr w14:paraId="0000D07F" w14:textId="0000D080">
              <w:pStyle w:val="Body"/>
            </w:pPr>
            <w:r>
              <w:t>JSON site model grouped by host and path prefix</w:t>
            </w:r>
          </w:p>
        </w:tc>
      </w:tr>
      <w:t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[19]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[5] runs with its best of four distinct settings on the development set; Readability [6] and MarkItDown [8]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pPr>
      <w:r>
        <w:t>Table 2. Word-level F1 on the 372 WCXB test pages absent from the development folder (ChromeRAG in balanced mode; product and collection have only 2 and 9 such pages).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B" w14:textId="0000D0BC">
              <w:pStyle w:val="Body"/>
            </w:pPr>
            <w:r>
              <w:rPr>
                <w:b/>
              </w:rPr>
              <w:t>Page type (n)</w:t>
            </w:r>
          </w:p>
        </w:tc>
        <w:tc>
          <w:tcPr>
            <w:tcW w:w="1800" w:type="dxa"/>
          </w:tcPr>
          <w:p>
            <w:pPr w14:paraId="0000D0BD" w14:textId="0000D0BE">
              <w:pStyle w:val="Body"/>
            </w:pPr>
            <w:r>
              <w:rPr>
                <w:b/>
              </w:rPr>
              <w:t>ChromeRAG</w:t>
            </w:r>
          </w:p>
        </w:tc>
        <w:tc>
          <w:tcPr>
            <w:tcW w:w="1800" w:type="dxa"/>
          </w:tcPr>
          <w:p>
            <w:pPr w14:paraId="0000D0BF" w14:textId="0000D0C0">
              <w:pStyle w:val="Body"/>
            </w:pPr>
            <w:r>
              <w:rPr>
                <w:b/>
              </w:rPr>
              <w:t>Trafilatura</w:t>
            </w:r>
          </w:p>
        </w:tc>
        <w:tc>
          <w:tcPr>
            <w:tcW w:w="1800" w:type="dxa"/>
          </w:tcPr>
          <w:p>
            <w:pPr w14:paraId="0000D0C1" w14:textId="0000D0C2">
              <w:pStyle w:val="Body"/>
            </w:pPr>
            <w:r>
              <w:rPr>
                <w:b/>
              </w:rPr>
              <w:t>Readability</w:t>
            </w:r>
          </w:p>
        </w:tc>
        <w:tc>
          <w:tcPr>
            <w:tcW w:w="1800" w:type="dxa"/>
          </w:tcPr>
          <w:p>
            <w:pPr w14:paraId="0000D0C3" w14:textId="0000D0C4">
              <w:pStyle w:val="Body"/>
            </w:pPr>
            <w:r>
              <w:rPr>
                <w:b/>
              </w:rPr>
              <w:t>MarkItDown</w:t>
            </w:r>
          </w:p>
        </w:tc>
      </w:tr>
      <w:tr>
        <w:tc>
          <w:tcPr>
            <w:tcW w:w="1800" w:type="dxa"/>
          </w:tcPr>
          <w:p>
            <w:pPr w14:paraId="0000D0C5" w14:textId="0000D0C6">
              <w:pStyle w:val="Body"/>
            </w:pPr>
            <w:r>
              <w:t>All (372)</w:t>
            </w:r>
          </w:p>
        </w:tc>
        <w:tc>
          <w:tcPr>
            <w:tcW w:w="1800" w:type="dxa"/>
          </w:tcPr>
          <w:p>
            <w:pPr w14:paraId="0000D0C7" w14:textId="0000D0C8">
              <w:pStyle w:val="Body"/>
            </w:pPr>
            <w:r>
              <w:t>0.907</w:t>
            </w:r>
          </w:p>
        </w:tc>
        <w:tc>
          <w:tcPr>
            <w:tcW w:w="1800" w:type="dxa"/>
          </w:tcPr>
          <w:p>
            <w:pPr w14:paraId="0000D0C9" w14:textId="0000D0CA">
              <w:pStyle w:val="Body"/>
            </w:pPr>
            <w:r>
              <w:t>0.867</w:t>
            </w:r>
          </w:p>
        </w:tc>
        <w:tc>
          <w:tcPr>
            <w:tcW w:w="1800" w:type="dxa"/>
          </w:tcPr>
          <w:p>
            <w:pPr w14:paraId="0000D0CB" w14:textId="0000D0CC">
              <w:pStyle w:val="Body"/>
            </w:pPr>
            <w:r>
              <w:t>0.778</w:t>
            </w:r>
          </w:p>
        </w:tc>
        <w:tc>
          <w:tcPr>
            <w:tcW w:w="1800" w:type="dxa"/>
          </w:tcPr>
          <w:p>
            <w:pPr w14:paraId="0000D0CD" w14:textId="0000D0CE">
              <w:pStyle w:val="Body"/>
            </w:pPr>
            <w:r>
              <w:t>0.568</w:t>
            </w:r>
          </w:p>
        </w:tc>
      </w:tr>
      <w:tr>
        <w:tc>
          <w:tcPr>
            <w:tcW w:w="1800" w:type="dxa"/>
          </w:tcPr>
          <w:p>
            <w:pPr w14:paraId="0000D0CF" w14:textId="0000D0D0">
              <w:pStyle w:val="Body"/>
            </w:pPr>
            <w:r>
              <w:t>Article (178)</w:t>
            </w:r>
          </w:p>
        </w:tc>
        <w:tc>
          <w:tcPr>
            <w:tcW w:w="1800" w:type="dxa"/>
          </w:tcPr>
          <w:p>
            <w:pPr w14:paraId="0000D0D1" w14:textId="0000D0D2">
              <w:pStyle w:val="Body"/>
            </w:pPr>
            <w:r>
              <w:t>0.951</w:t>
            </w:r>
          </w:p>
        </w:tc>
        <w:tc>
          <w:tcPr>
            <w:tcW w:w="1800" w:type="dxa"/>
          </w:tcPr>
          <w:p>
            <w:pPr w14:paraId="0000D0D3" w14:textId="0000D0D4">
              <w:pStyle w:val="Body"/>
            </w:pPr>
            <w:r>
              <w:t>0.953</w:t>
            </w:r>
          </w:p>
        </w:tc>
        <w:tc>
          <w:tcPr>
            <w:tcW w:w="1800" w:type="dxa"/>
          </w:tcPr>
          <w:p>
            <w:pPr w14:paraId="0000D0D5" w14:textId="0000D0D6">
              <w:pStyle w:val="Body"/>
            </w:pPr>
            <w:r>
              <w:t>0.944</w:t>
            </w:r>
          </w:p>
        </w:tc>
        <w:tc>
          <w:tcPr>
            <w:tcW w:w="1800" w:type="dxa"/>
          </w:tcPr>
          <w:p>
            <w:pPr w14:paraId="0000D0D7" w14:textId="0000D0D8">
              <w:pStyle w:val="Body"/>
            </w:pPr>
            <w:r>
              <w:t>0.663</w:t>
            </w:r>
          </w:p>
        </w:tc>
      </w:tr>
      <w:tr>
        <w:tc>
          <w:tcPr>
            <w:tcW w:w="1800" w:type="dxa"/>
          </w:tcPr>
          <w:p>
            <w:pPr w14:paraId="0000D0D9" w14:textId="0000D0DA">
              <w:pStyle w:val="Body"/>
            </w:pPr>
            <w:r>
              <w:t>Documentation (40)</w:t>
            </w:r>
          </w:p>
        </w:tc>
        <w:tc>
          <w:tcPr>
            <w:tcW w:w="1800" w:type="dxa"/>
          </w:tcPr>
          <w:p>
            <w:pPr w14:paraId="0000D0DB" w14:textId="0000D0DC">
              <w:pStyle w:val="Body"/>
            </w:pPr>
            <w:r>
              <w:t>0.949</w:t>
            </w:r>
          </w:p>
        </w:tc>
        <w:tc>
          <w:tcPr>
            <w:tcW w:w="1800" w:type="dxa"/>
          </w:tcPr>
          <w:p>
            <w:pPr w14:paraId="0000D0DD" w14:textId="0000D0DE">
              <w:pStyle w:val="Body"/>
            </w:pPr>
            <w:r>
              <w:t>0.931</w:t>
            </w:r>
          </w:p>
        </w:tc>
        <w:tc>
          <w:tcPr>
            <w:tcW w:w="1800" w:type="dxa"/>
          </w:tcPr>
          <w:p>
            <w:pPr w14:paraId="0000D0DF" w14:textId="0000D0E0">
              <w:pStyle w:val="Body"/>
            </w:pPr>
            <w:r>
              <w:t>0.866</w:t>
            </w:r>
          </w:p>
        </w:tc>
        <w:tc>
          <w:tcPr>
            <w:tcW w:w="1800" w:type="dxa"/>
          </w:tcPr>
          <w:p>
            <w:pPr w14:paraId="0000D0E1" w14:textId="0000D0E2">
              <w:pStyle w:val="Body"/>
            </w:pPr>
            <w:r>
              <w:t>0.614</w:t>
            </w:r>
          </w:p>
        </w:tc>
      </w:tr>
      <w:tr>
        <w:tc>
          <w:tcPr>
            <w:tcW w:w="1800" w:type="dxa"/>
          </w:tcPr>
          <w:p>
            <w:pPr w14:paraId="0000D0E3" w14:textId="0000D0E4">
              <w:pStyle w:val="Body"/>
            </w:pPr>
            <w:r>
              <w:t>Service (56)</w:t>
            </w:r>
          </w:p>
        </w:tc>
        <w:tc>
          <w:tcPr>
            <w:tcW w:w="1800" w:type="dxa"/>
          </w:tcPr>
          <w:p>
            <w:pPr w14:paraId="0000D0E5" w14:textId="0000D0E6">
              <w:pStyle w:val="Body"/>
            </w:pPr>
            <w:r>
              <w:t>0.864</w:t>
            </w:r>
          </w:p>
        </w:tc>
        <w:tc>
          <w:tcPr>
            <w:tcW w:w="1800" w:type="dxa"/>
          </w:tcPr>
          <w:p>
            <w:pPr w14:paraId="0000D0E7" w14:textId="0000D0E8">
              <w:pStyle w:val="Body"/>
            </w:pPr>
            <w:r>
              <w:t>0.813</w:t>
            </w:r>
          </w:p>
        </w:tc>
        <w:tc>
          <w:tcPr>
            <w:tcW w:w="1800" w:type="dxa"/>
          </w:tcPr>
          <w:p>
            <w:pPr w14:paraId="0000D0E9" w14:textId="0000D0EA">
              <w:pStyle w:val="Body"/>
            </w:pPr>
            <w:r>
              <w:t>0.595</w:t>
            </w:r>
          </w:p>
        </w:tc>
        <w:tc>
          <w:tcPr>
            <w:tcW w:w="1800" w:type="dxa"/>
          </w:tcPr>
          <w:p>
            <w:pPr w14:paraId="0000D0EB" w14:textId="0000D0EC">
              <w:pStyle w:val="Body"/>
            </w:pPr>
            <w:r>
              <w:t>0.478</w:t>
            </w:r>
          </w:p>
        </w:tc>
      </w:tr>
      <w:tr>
        <w:tc>
          <w:tcPr>
            <w:tcW w:w="1800" w:type="dxa"/>
          </w:tcPr>
          <w:p>
            <w:pPr w14:paraId="0000D0ED" w14:textId="0000D0EE">
              <w:pStyle w:val="Body"/>
            </w:pPr>
            <w:r>
              <w:t>Forum (50)</w:t>
            </w:r>
          </w:p>
        </w:tc>
        <w:tc>
          <w:tcPr>
            <w:tcW w:w="1800" w:type="dxa"/>
          </w:tcPr>
          <w:p>
            <w:pPr w14:paraId="0000D0EF" w14:textId="0000D0F0">
              <w:pStyle w:val="Body"/>
            </w:pPr>
            <w:r>
              <w:t>0.895</w:t>
            </w:r>
          </w:p>
        </w:tc>
        <w:tc>
          <w:tcPr>
            <w:tcW w:w="1800" w:type="dxa"/>
          </w:tcPr>
          <w:p>
            <w:pPr w14:paraId="0000D0F1" w14:textId="0000D0F2">
              <w:pStyle w:val="Body"/>
            </w:pPr>
            <w:r>
              <w:t>0.731</w:t>
            </w:r>
          </w:p>
        </w:tc>
        <w:tc>
          <w:tcPr>
            <w:tcW w:w="1800" w:type="dxa"/>
          </w:tcPr>
          <w:p>
            <w:pPr w14:paraId="0000D0F3" w14:textId="0000D0F4">
              <w:pStyle w:val="Body"/>
            </w:pPr>
            <w:r>
              <w:t>0.628</w:t>
            </w:r>
          </w:p>
        </w:tc>
        <w:tc>
          <w:tcPr>
            <w:tcW w:w="1800" w:type="dxa"/>
          </w:tcPr>
          <w:p>
            <w:pPr w14:paraId="0000D0F5" w14:textId="0000D0F6">
              <w:pStyle w:val="Body"/>
            </w:pPr>
            <w:r>
              <w:t>0.452</w:t>
            </w:r>
          </w:p>
        </w:tc>
      </w:tr>
      <w:tr>
        <w:tc>
          <w:tcPr>
            <w:tcW w:w="1800" w:type="dxa"/>
          </w:tcPr>
          <w:p>
            <w:pPr w14:paraId="0000D0F7" w14:textId="0000D0F8">
              <w:pStyle w:val="Body"/>
            </w:pPr>
            <w:r>
              <w:t>Listing (37)</w:t>
            </w:r>
          </w:p>
        </w:tc>
        <w:tc>
          <w:tcPr>
            <w:tcW w:w="1800" w:type="dxa"/>
          </w:tcPr>
          <w:p>
            <w:pPr w14:paraId="0000D0F9" w14:textId="0000D0FA">
              <w:pStyle w:val="Body"/>
            </w:pPr>
            <w:r>
              <w:t>0.754</w:t>
            </w:r>
          </w:p>
        </w:tc>
        <w:tc>
          <w:tcPr>
            <w:tcW w:w="1800" w:type="dxa"/>
          </w:tcPr>
          <w:p>
            <w:pPr w14:paraId="0000D0FB" w14:textId="0000D0FC">
              <w:pStyle w:val="Body"/>
            </w:pPr>
            <w:r>
              <w:t>0.707</w:t>
            </w:r>
          </w:p>
        </w:tc>
        <w:tc>
          <w:tcPr>
            <w:tcW w:w="1800" w:type="dxa"/>
          </w:tcPr>
          <w:p>
            <w:pPr w14:paraId="0000D0FD" w14:textId="0000D0FE">
              <w:pStyle w:val="Body"/>
            </w:pPr>
            <w:r>
              <w:t>0.445</w:t>
            </w:r>
          </w:p>
        </w:tc>
        <w:tc>
          <w:tcPr>
            <w:tcW w:w="1800" w:type="dxa"/>
          </w:tcPr>
          <w:p>
            <w:pPr w14:paraId="0000D0FF" w14:textId="0000D100">
              <w:pStyle w:val="Body"/>
            </w:pPr>
            <w:r>
              <w:t>0.386</w:t>
            </w:r>
          </w:p>
        </w:tc>
      </w:tr>
      <w:tr>
        <w:tc>
          <w:tcPr>
            <w:tcW w:w="1800" w:type="dxa"/>
          </w:tcPr>
          <w:p>
            <w:pPr w14:paraId="0000D101" w14:textId="0000D102">
              <w:pStyle w:val="Body"/>
            </w:pPr>
            <w:r>
              <w:t>Collection (9)</w:t>
            </w:r>
          </w:p>
        </w:tc>
        <w:tc>
          <w:tcPr>
            <w:tcW w:w="1800" w:type="dxa"/>
          </w:tcPr>
          <w:p>
            <w:pPr w14:paraId="0000D103" w14:textId="0000D104">
              <w:pStyle w:val="Body"/>
            </w:pPr>
            <w:r>
              <w:t>0.774</w:t>
            </w:r>
          </w:p>
        </w:tc>
        <w:tc>
          <w:tcPr>
            <w:tcW w:w="1800" w:type="dxa"/>
          </w:tcPr>
          <w:p>
            <w:pPr w14:paraId="0000D105" w14:textId="0000D106">
              <w:pStyle w:val="Body"/>
            </w:pPr>
            <w:r>
              <w:t>0.717</w:t>
            </w:r>
          </w:p>
        </w:tc>
        <w:tc>
          <w:tcPr>
            <w:tcW w:w="1800" w:type="dxa"/>
          </w:tcPr>
          <w:p>
            <w:pPr w14:paraId="0000D107" w14:textId="0000D108">
              <w:pStyle w:val="Body"/>
            </w:pPr>
            <w:r>
              <w:t>0.523</w:t>
            </w:r>
          </w:p>
        </w:tc>
        <w:tc>
          <w:tcPr>
            <w:tcW w:w="1800" w:type="dxa"/>
          </w:tcPr>
          <w:p>
            <w:pPr w14:paraId="0000D109" w14:textId="0000D10A">
              <w:pStyle w:val="Body"/>
            </w:pPr>
            <w:r>
              <w:t>0.512</w:t>
            </w:r>
          </w:p>
        </w:tc>
      </w:tr>
      <w:t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resampling its 316 domains instead, [+0.019, +0.062]):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135 sites that no earlier step had used: 40 news, magazine and engineering-blog sites, 25 forums and question-and-answer sites, 30 listing and category pages and 40 service and software landing sites. A fixed script fetched 328 pages from the 106 sites that responded (130 articles, 56 forum threads, 30 listings, 112 service pages; robots.txt respected). For each page, a judge saw the page's visible text and two outputs, ChromeRAG (balanced) and Trafilatura, in random order with tool names hidden (ChromeRAG's front-matter removed, long outputs shortened alike),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pPr>
      <w:r>
        <w:t>Table 3. Net score of ChromeRAG against Trafilatura (+1 = always preferred) on the 328 fresh pages and on the 367 WCXB test pages absent from dev/ that both outputs cover.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0"/>
        <w:gridCol w:w="2250"/>
        <w:gridCol w:w="2250"/>
        <w:gridCol w:w="2250"/>
      </w:tblGrid>
      <w:tr>
        <w:tc>
          <w:tcPr>
            <w:tcW w:w="2250" w:type="dxa"/>
          </w:tcPr>
          <w:p>
            <w:pPr w14:paraId="0000D127" w14:textId="0000D128">
              <w:pStyle w:val="Body"/>
            </w:pPr>
            <w:r>
              <w:rPr>
                <w:b/>
              </w:rPr>
              <w:t>Set (pages)</w:t>
            </w:r>
          </w:p>
        </w:tc>
        <w:tc>
          <w:tcPr>
            <w:tcW w:w="2250" w:type="dxa"/>
          </w:tcPr>
          <w:p>
            <w:pPr w14:paraId="0000D129" w14:textId="0000D12A">
              <w:pStyle w:val="Body"/>
            </w:pPr>
            <w:r>
              <w:rPr>
                <w:b/>
              </w:rPr>
              <w:t>Claude</w:t>
            </w:r>
          </w:p>
        </w:tc>
        <w:tc>
          <w:tcPr>
            <w:tcW w:w="2250" w:type="dxa"/>
          </w:tcPr>
          <w:p>
            <w:pPr w14:paraId="0000D12B" w14:textId="0000D12C">
              <w:pStyle w:val="Body"/>
            </w:pPr>
            <w:r>
              <w:rPr>
                <w:b/>
              </w:rPr>
              <w:t>GPT</w:t>
            </w:r>
          </w:p>
        </w:tc>
        <w:tc>
          <w:tcPr>
            <w:tcW w:w="2250" w:type="dxa"/>
          </w:tcPr>
          <w:p>
            <w:pPr w14:paraId="0000D12D" w14:textId="0000D12E">
              <w:pStyle w:val="Body"/>
            </w:pPr>
            <w:r>
              <w:rPr>
                <w:b/>
              </w:rPr>
              <w:t>Gemini</w:t>
            </w:r>
          </w:p>
        </w:tc>
      </w:tr>
      <w:tr>
        <w:tc>
          <w:tcPr>
            <w:tcW w:w="2250" w:type="dxa"/>
          </w:tcPr>
          <w:p>
            <w:pPr w14:paraId="0000D12F" w14:textId="0000D130">
              <w:pStyle w:val="Body"/>
            </w:pPr>
            <w:r>
              <w:t>Fresh, all (328)</w:t>
            </w:r>
          </w:p>
        </w:tc>
        <w:tc>
          <w:tcPr>
            <w:tcW w:w="2250" w:type="dxa"/>
          </w:tcPr>
          <w:p>
            <w:pPr w14:paraId="0000D131" w14:textId="0000D132">
              <w:pStyle w:val="Body"/>
            </w:pPr>
            <w:r>
              <w:t>+0.41 [+0.33, +0.50]</w:t>
            </w:r>
          </w:p>
        </w:tc>
        <w:tc>
          <w:tcPr>
            <w:tcW w:w="2250" w:type="dxa"/>
          </w:tcPr>
          <w:p>
            <w:pPr w14:paraId="0000D133" w14:textId="0000D134">
              <w:pStyle w:val="Body"/>
            </w:pPr>
            <w:r>
              <w:t>+0.19 [+0.09, +0.29]</w:t>
            </w:r>
          </w:p>
        </w:tc>
        <w:tc>
          <w:tcPr>
            <w:tcW w:w="2250" w:type="dxa"/>
          </w:tcPr>
          <w:p>
            <w:pPr w14:paraId="0000D135" w14:textId="0000D136">
              <w:pStyle w:val="Body"/>
            </w:pPr>
            <w:r>
              <w:t>+0.45 [+0.35, +0.54]</w:t>
            </w:r>
          </w:p>
        </w:tc>
      </w:tr>
      <w:tr>
        <w:tc>
          <w:tcPr>
            <w:tcW w:w="2250" w:type="dxa"/>
          </w:tcPr>
          <w:p>
            <w:pPr w14:paraId="0000D137" w14:textId="0000D138">
              <w:pStyle w:val="Body"/>
            </w:pPr>
            <w:r>
              <w:t>Articles (130)</w:t>
            </w:r>
          </w:p>
        </w:tc>
        <w:tc>
          <w:tcPr>
            <w:tcW w:w="2250" w:type="dxa"/>
          </w:tcPr>
          <w:p>
            <w:pPr w14:paraId="0000D139" w14:textId="0000D13A">
              <w:pStyle w:val="Body"/>
            </w:pPr>
            <w:r>
              <w:t>+0.32 [+0.18, +0.45]</w:t>
            </w:r>
          </w:p>
        </w:tc>
        <w:tc>
          <w:tcPr>
            <w:tcW w:w="2250" w:type="dxa"/>
          </w:tcPr>
          <w:p>
            <w:pPr w14:paraId="0000D13B" w14:textId="0000D13C">
              <w:pStyle w:val="Body"/>
            </w:pPr>
            <w:r>
              <w:t>+0.07 [-0.08, +0.23]</w:t>
            </w:r>
          </w:p>
        </w:tc>
        <w:tc>
          <w:tcPr>
            <w:tcW w:w="2250" w:type="dxa"/>
          </w:tcPr>
          <w:p>
            <w:pPr w14:paraId="0000D13D" w14:textId="0000D13E">
              <w:pStyle w:val="Body"/>
            </w:pPr>
            <w:r>
              <w:t>+0.37 [+0.22, +0.52]</w:t>
            </w:r>
          </w:p>
        </w:tc>
      </w:tr>
      <w:tr>
        <w:tc>
          <w:tcPr>
            <w:tcW w:w="2250" w:type="dxa"/>
          </w:tcPr>
          <w:p>
            <w:pPr w14:paraId="0000D13F" w14:textId="0000D140">
              <w:pStyle w:val="Body"/>
            </w:pPr>
            <w:r>
              <w:t>Forums (56)</w:t>
            </w:r>
          </w:p>
        </w:tc>
        <w:tc>
          <w:tcPr>
            <w:tcW w:w="2250" w:type="dxa"/>
          </w:tcPr>
          <w:p>
            <w:pPr w14:paraId="0000D141" w14:textId="0000D142">
              <w:pStyle w:val="Body"/>
            </w:pPr>
            <w:r>
              <w:t>+0.93 [+0.84, +1.00]</w:t>
            </w:r>
          </w:p>
        </w:tc>
        <w:tc>
          <w:tcPr>
            <w:tcW w:w="2250" w:type="dxa"/>
          </w:tcPr>
          <w:p>
            <w:pPr w14:paraId="0000D143" w14:textId="0000D144">
              <w:pStyle w:val="Body"/>
            </w:pPr>
            <w:r>
              <w:t>+0.48 [+0.25, +0.70]</w:t>
            </w:r>
          </w:p>
        </w:tc>
        <w:tc>
          <w:tcPr>
            <w:tcW w:w="2250" w:type="dxa"/>
          </w:tcPr>
          <w:p>
            <w:pPr w14:paraId="0000D145" w14:textId="0000D146">
              <w:pStyle w:val="Body"/>
            </w:pPr>
            <w:r>
              <w:t>+0.91 [+0.80, +1.00]</w:t>
            </w:r>
          </w:p>
        </w:tc>
      </w:tr>
      <w:tr>
        <w:tc>
          <w:tcPr>
            <w:tcW w:w="2250" w:type="dxa"/>
          </w:tcPr>
          <w:p>
            <w:pPr w14:paraId="0000D147" w14:textId="0000D148">
              <w:pStyle w:val="Body"/>
            </w:pPr>
            <w:r>
              <w:t>Listings (30)</w:t>
            </w:r>
          </w:p>
        </w:tc>
        <w:tc>
          <w:tcPr>
            <w:tcW w:w="2250" w:type="dxa"/>
          </w:tcPr>
          <w:p>
            <w:pPr w14:paraId="0000D149" w14:textId="0000D14A">
              <w:pStyle w:val="Body"/>
            </w:pPr>
            <w:r>
              <w:t>+0.27 [-0.07, +0.57]</w:t>
            </w:r>
          </w:p>
        </w:tc>
        <w:tc>
          <w:tcPr>
            <w:tcW w:w="2250" w:type="dxa"/>
          </w:tcPr>
          <w:p>
            <w:pPr w14:paraId="0000D14B" w14:textId="0000D14C">
              <w:pStyle w:val="Body"/>
            </w:pPr>
            <w:r>
              <w:t>+0.27 [-0.07, +0.60]</w:t>
            </w:r>
          </w:p>
        </w:tc>
        <w:tc>
          <w:tcPr>
            <w:tcW w:w="2250" w:type="dxa"/>
          </w:tcPr>
          <w:p>
            <w:pPr w14:paraId="0000D14D" w14:textId="0000D14E">
              <w:pStyle w:val="Body"/>
            </w:pPr>
            <w:r>
              <w:t>+0.33 [0.00, +0.67]</w:t>
            </w:r>
          </w:p>
        </w:tc>
      </w:tr>
      <w:tr>
        <w:tc>
          <w:tcPr>
            <w:tcW w:w="2250" w:type="dxa"/>
          </w:tcPr>
          <w:p>
            <w:pPr w14:paraId="0000D14F" w14:textId="0000D150">
              <w:pStyle w:val="Body"/>
            </w:pPr>
            <w:r>
              <w:t>Services (112)</w:t>
            </w:r>
          </w:p>
        </w:tc>
        <w:tc>
          <w:tcPr>
            <w:tcW w:w="2250" w:type="dxa"/>
          </w:tcPr>
          <w:p>
            <w:pPr w14:paraId="0000D151" w14:textId="0000D152">
              <w:pStyle w:val="Body"/>
            </w:pPr>
            <w:r>
              <w:t>+0.31 [+0.14, +0.47]</w:t>
            </w:r>
          </w:p>
        </w:tc>
        <w:tc>
          <w:tcPr>
            <w:tcW w:w="2250" w:type="dxa"/>
          </w:tcPr>
          <w:p>
            <w:pPr w14:paraId="0000D153" w14:textId="0000D154">
              <w:pStyle w:val="Body"/>
            </w:pPr>
            <w:r>
              <w:t>+0.17 [-0.01, +0.35]</w:t>
            </w:r>
          </w:p>
        </w:tc>
        <w:tc>
          <w:tcPr>
            <w:tcW w:w="2250" w:type="dxa"/>
          </w:tcPr>
          <w:p>
            <w:pPr w14:paraId="0000D155" w14:textId="0000D156">
              <w:pStyle w:val="Body"/>
            </w:pPr>
            <w:r>
              <w:t>+0.34 [+0.17, +0.51]</w:t>
            </w:r>
          </w:p>
        </w:tc>
      </w:tr>
      <w:t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[20]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 Outside feedback goes to the issue tracker.</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the known-item queries come from the pages themselves (self-retrieval, not answer accuracy);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[12, 13],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Planned work covers multilingual training data, retraining without the 139 duplicated files, human-rated judgements and an optional sentence-encoder feature [21].</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judgements, and aggregate results (evaluations/2026-10-v0.1.3/, docs/data/) are openly available at https://github.com/pedapudibhargav/ChromeRAG under the MIT license.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9D" w14:textId="0000D19E">
        <w:pStyle w:val="Body"/>
      </w:pPr>
      <w:r>
        <w:t>2. C. Kohlschütter, P. Fankhauser, and W. Nejdl, "Boilerplate Detection Using Shallow Text Features," in Proc. 3rd ACM Int. Conf. Web Search and Data Mining (WSDM), 2010, pp. 441–450. doi: 10.1145/1718487.1718542.</w:t>
      </w:r>
    </w:p>
    <w:p>
      <w:pPr w14:paraId="0000D19F" w14:textId="0000D1A0">
        <w:pStyle w:val="Body"/>
      </w:pPr>
      <w:r>
        <w:t>3. T. Vogels, O.-E. Ganea, and C. Eickhoff, "Web2Text: Deep Structured Boilerplate Removal," in Advances in Information Retrieval (ECIR 2018), LNCS, 2018, pp. 167–179. doi: 10.1007/978-3-319-76941-7_13.</w:t>
      </w:r>
    </w:p>
    <w:p>
      <w:pPr w14:paraId="0000D1A1" w14:textId="0000D1A2">
        <w:pStyle w:val="Body"/>
      </w:pPr>
      <w:r>
        <w:t>4. J. Leonhardt, A. Anand, and M. Khosla, "Boilerplate Removal using a Neural Sequence Labeling Model," in Companion Proc. The Web Conf. 2020 (WWW '20), 2020, pp. 226–229. doi: 10.1145/3366424.3383547.</w:t>
      </w:r>
    </w:p>
    <w:p>
      <w:pPr w14:paraId="0000D1A3" w14:textId="0000D1A4">
        <w:pStyle w:val="Body"/>
      </w:pPr>
      <w:r>
        <w:t>5. A. Barbaresi, "Trafilatura: A Web Scraping Library and Command-Line Tool for Text Discovery and Extraction," in Proc. ACL-IJCNLP 2021: System Demonstrations, 2021, pp. 122–131. doi: 10.18653/v1/2021.acl-demo.15.</w:t>
      </w:r>
    </w:p>
    <w:p>
      <w:pPr w14:paraId="0000D1A5" w14:textId="0000D1A6">
        <w:pStyle w:val="Body"/>
      </w:pPr>
      <w:r>
        <w:t>6. Y. Baburov et al., python-readability (readability-lxml), Python port of Arc90 Readability, GitHub, accessed 2026-10-02. [Online]. Available: https://github.com/buriy/python-readability</w:t>
      </w:r>
    </w:p>
    <w:p>
      <w:pPr w14:paraId="0000D1A7" w14:textId="0000D1A8">
        <w:pStyle w:val="Body"/>
      </w:pPr>
      <w:r>
        <w:t>7. J. Bevendorff, S. Gupta, J. Kiesel, and B. Stein, "An Empirical Comparison of Web Content Extraction Algorithms," in Proc. 46th Int. ACM SIGIR Conf., 2023, pp. 2594–2603. doi: 10.1145/3539618.3591920.</w:t>
      </w:r>
    </w:p>
    <w:p>
      <w:pPr w14:paraId="0000D1A9" w14:textId="0000D1AA">
        <w:pStyle w:val="Body"/>
      </w:pPr>
      <w:r>
        <w:t>8. Microsoft, MarkItDown: Python tool for converting files and office documents to Markdown, GitHub, accessed 2026-10-02. [Online]. Available: https://github.com/microsoft/markitdown</w:t>
      </w:r>
    </w:p>
    <w:p>
      <w:pPr w14:paraId="0000D1AB" w14:textId="0000D1AC">
        <w:pStyle w:val="Body"/>
      </w:pPr>
      <w:r>
        <w:t>9. Crawl4AI, "Fit Markdown" (PruningContentFilter), documentation, accessed 2026-10-02. [Online]. Available: https://docs.crawl4ai.com/core/fit-markdown/</w:t>
      </w:r>
    </w:p>
    <w:p>
      <w:pPr w14:paraId="0000D1AD" w14:textId="0000D1AE">
        <w:pStyle w:val="Body"/>
      </w:pPr>
      <w:r>
        <w:t>10. M. Foley, "WCXB: A Multi-Type Web Content Extraction Benchmark," arXiv: 2605.21097, May 2026. Data: CC-BY-4.0.</w:t>
      </w:r>
    </w:p>
    <w:p>
      <w:pPr w14:paraId="0000D1AF" w14:textId="0000D1B0">
        <w:pStyle w:val="Body"/>
      </w:pPr>
      <w:r>
        <w:t>11. M. Foley, rs-trafilatura: web content extraction in Rust with page-type classification, GitHub, accessed 2026-10-02. [Online]. Available: https://github.com/Murrough-Foley/rs-trafilatura</w:t>
      </w:r>
    </w:p>
    <w:p>
      <w:pPr w14:paraId="0000D1B1" w14:textId="0000D1B2">
        <w:pStyle w:val="Body"/>
      </w:pPr>
      <w:r>
        <w:t>12. M. Liu et al., "Dripper: Token-Efficient Main HTML Extraction with a Lightweight LM," arXiv: 2511.23119, 2025.</w:t>
      </w:r>
    </w:p>
    <w:p>
      <w:pPr w14:paraId="0000D1B3" w14:textId="0000D1B4">
        <w:pStyle w:val="Body"/>
      </w:pPr>
      <w:r>
        <w:t>13. F. Wang, Z. Shi, B. Wang, N. Wang, and H. Xiao, "ReaderLM-v2: Small Language Model for HTML to Markdown and JSON," arXiv: 2503.01151, 2025.</w:t>
      </w:r>
    </w:p>
    <w:p>
      <w:pPr w14:paraId="0000D1B5" w14:textId="0000D1B6">
        <w:pStyle w:val="Body"/>
      </w:pPr>
      <w:r>
        <w:t>14. Z. Bar-Yossef and S. Rajagopalan, "Template Detection via Data Mining and its Applications," in Proc. 11th Int. World Wide Web Conf. (WWW), 2002, pp. 580–591. doi: 10.1145/511446.511522.</w:t>
      </w:r>
    </w:p>
    <w:p>
      <w:pPr w14:paraId="0000D1B7" w14:textId="0000D1B8">
        <w:pStyle w:val="Body"/>
      </w:pPr>
      <w:r>
        <w:t>15. L. Yi, B. Liu, and X. Li, "Eliminating Noisy Information in Web Pages for Data Mining," in Proc. 9th ACM SIGKDD Int. Conf. Knowledge Discovery and Data Mining, 2003, pp. 296–305. doi: 10.1145/956750.956785.</w:t>
      </w:r>
    </w:p>
    <w:p>
      <w:pPr w14:paraId="0000D1B9" w14:textId="0000D1BA">
        <w:pStyle w:val="Body"/>
      </w:pPr>
      <w:r>
        <w:t>16. J. Alarte, J. Silva, and S. Tamarit, "What Web Template Extractor Should I Use? A Benchmarking and Comparison for Five Template Extractors," ACM Trans. Web, vol. 13, no. 2, Art. 9, 2019. doi: 10.1145/3316810.</w:t>
      </w:r>
    </w:p>
    <w:p>
      <w:pPr w14:paraId="0000D1BB" w14:textId="0000D1BC">
        <w:pStyle w:val="Body"/>
      </w:pPr>
      <w:r>
        <w:t>17. J. Tan, Z. Dou, W. Wang, M. Wang, W. Chen, and J.-R. Wen, "HtmlRAG: HTML is Better Than Plain Text for Modeling Retrieved Knowledge in RAG Systems," in Proc. ACM Web Conf. 2025 (WWW '25), 2025, pp. 1733–1746. doi: 10.1145/3696410.3714546.</w:t>
      </w:r>
    </w:p>
    <w:p>
      <w:pPr w14:paraId="0000D1BD" w14:textId="0000D1BE">
        <w:pStyle w:val="Body"/>
      </w:pPr>
      <w:r>
        <w:t>18. K. Weinberger, A. Dasgupta, J. Langford, A. Smola, and J. Attenberg, "Feature Hashing for Large Scale Multitask Learning," in Proc. 26th Int. Conf. Machine Learning (ICML), 2009, pp. 1113–1120. doi: 10.1145/1553374.1553516.</w:t>
      </w:r>
    </w:p>
    <w:p>
      <w:pPr w14:paraId="0000D1BF" w14:textId="0000D1C0">
        <w:pStyle w:val="Body"/>
      </w:pPr>
      <w:r>
        <w:t>19. B. C. Peddapudi, ChromeRAG, version 0.1.4, Zenodo, 2026. doi: 10.5281/zenodo.22970289 (all versions). Source: https://github.com/pedapudibhargav/ChromeRAG</w:t>
      </w:r>
    </w:p>
    <w:p>
      <w:pPr w14:paraId="0000D1C1" w14:textId="0000D1C2">
        <w:pStyle w:val="Body"/>
      </w:pPr>
      <w:r>
        <w:t>20. Anthropic, "Introducing Contextual Retrieval," 19 September 2024. [Online]. Available: https://www.anthropic.com/news/contextual-retrieval</w:t>
      </w:r>
    </w:p>
    <w:p>
      <w:pPr w14:paraId="0000D1C3" w14:textId="0000D1C4">
        <w:pStyle w:val="Body"/>
      </w:pPr>
      <w:r>
        <w:t>21. N. Reimers and I. Gurevych, "Sentence-BERT: Sentence Embeddings using Siamese BERT-Networks," in Proc. EMNLP-IJCNLP 2019, 2019, pp. 3980–3990. doi: 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2026-10-03T17:53:31Z</dcterms:created>
  <dcterms:modified xsi:type="dcterms:W3CDTF">2026-10-03T17:53:31Z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