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Vector Retrieval Drift under Corpus Growth: A Controlled Empirical Study with Metadata Filtering on EnterpriseRAG-Bench</w:t>
      </w:r>
    </w:p>
    <w:p>
      <w:r>
        <w:t>Bhargava Chary Peddapudi, Member, IEEE</w:t>
      </w:r>
    </w:p>
    <w:p>
      <w:r>
        <w:t>Independent Researcher, San Francisco Bay Area, CA, USA (e-mail: pedapudibhargav@gmail.com)</w:t>
      </w:r>
    </w:p>
    <w:p>
      <w:r>
        <w:t>ORCID: https://orcid.org/0009-0002-8523-8415</w:t>
      </w:r>
    </w:p>
    <w:p>
      <w:pPr>
        <w:pStyle w:val="Heading2"/>
      </w:pPr>
      <w:r>
        <w:t>Abstract</w:t>
      </w:r>
    </w:p>
    <w:p>
      <w:r>
        <w:t>Dense vector retrieval is a common first stage in enterprise retrieval-augmented generation (RAG), yet labeled document Hit@k can fall as the index grows even when gold answer documents remain present. We measure this vector retrieval drift on EnterpriseRAG-Bench by growing the index from N = 5k to 100k while pinning every gold document, with frozen document-level embeddings and frozen pgvector HNSW settings. With text-embedding-3-small on 200 unique eval IDs, raw Hit@1 falls from 0.600 to 0.305, MRR from 0.658 to 0.365, and Hit@10 from 0.795 to 0.510. Exact cosine search at 5k/50k/100k shows that the decline persists without approximate search (Hit@10 0.795→0.585); HNSW adds ≈0.08 Hit@10 loss at large N on this index. A second embedder, Amazon Titan Text Embeddings V2 (d = 1024), on the same pins declines from 0.785 to 0.610 Hit@10 and from 0.620 to 0.385 Hit@1; its HNSW results are identical to exact search, and under exact search the two embedders' 5k→100k drops are statistically indistinguishable (Hit@10 difference +0.035, 95% CI [−0.025, 0.10]). Okapi BM25 also declines (Hit@10 0.855→0.700), less steeply than dense retrieval. Oracle source-type filtering lifts Hit@10 by +0.08 to +0.18 under OpenAI but only +0.07 to +0.115 under Titan, and absolute filtered quality falls for both. The results characterize these frozen stacks, not a universal law; published artifacts pass duplicate-ID and Hit@10-membership integrity gates.</w:t>
      </w:r>
    </w:p>
    <w:p>
      <w:pPr>
        <w:pStyle w:val="Heading2"/>
      </w:pPr>
      <w:r>
        <w:t>Keywords</w:t>
      </w:r>
    </w:p>
    <w:p>
      <w:r>
        <w:t>Information retrieval; Nearest neighbor searches; Semantic search; Metadata; Vectors; Benchmark testing</w:t>
      </w:r>
    </w:p>
    <w:p>
      <w:pPr>
        <w:pStyle w:val="Heading2"/>
      </w:pPr>
      <w:r>
        <w:t>IMPORTANT — Word twin status</w:t>
      </w:r>
    </w:p>
    <w:p>
      <w:r>
        <w:t>CONTENT SCAFFOLD from main.tex. IEEE Access requires Word or LaTeX whose content matches the PDF EXACTLY. Prefer LaTeX+PDF. If Word is required, paste full body into IEEE_Access_Template_2024.docx and verify against rebuilt PDF. See PACKAGING_SUBMISSION.md.</w:t>
      </w:r>
    </w:p>
    <w:p>
      <w:pPr>
        <w:pStyle w:val="Heading2"/>
      </w:pPr>
      <w:r>
        <w:t>Finish checklist</w:t>
      </w:r>
    </w:p>
    <w:p>
      <w:pPr>
        <w:pStyle w:val="ListNumber"/>
      </w:pPr>
      <w:r>
        <w:t>Rebuild main.pdf from current main.tex (Overleaf Access template or MacTeX pdflatex x2).</w:t>
      </w:r>
    </w:p>
    <w:p>
      <w:pPr>
        <w:pStyle w:val="ListNumber"/>
      </w:pPr>
      <w:r>
        <w:t>Submit LaTeX package + matching PDF when possible.</w:t>
      </w:r>
    </w:p>
    <w:p>
      <w:pPr>
        <w:pStyle w:val="ListNumber"/>
      </w:pPr>
      <w:r>
        <w:t>If Word required: copy sections into IEEE_Access_Template_2024.docx.</w:t>
      </w:r>
    </w:p>
    <w:p>
      <w:pPr>
        <w:pStyle w:val="ListNumber"/>
      </w:pPr>
      <w:r>
        <w:t>Insert author.jpg (600x750 @ 300 dpi) in biography.</w:t>
      </w:r>
    </w:p>
    <w:p>
      <w:pPr>
        <w:pStyle w:val="ListNumber"/>
      </w:pPr>
      <w:r>
        <w:t>Run PDF eXpress + CrossCheck / Paperpal before Author Portal upload.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