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e4cca7d1a81413b" /><Relationship Type="http://schemas.openxmlformats.org/package/2006/relationships/metadata/core-properties" Target="/docProps/core.xml" Id="R0d8cc39e395c4edf" /><Relationship Type="http://schemas.openxmlformats.org/officeDocument/2006/relationships/extended-properties" Target="/docProps/app.xml" Id="R66a8e595ccfe403b" /><Relationship Type="http://schemas.openxmlformats.org/officeDocument/2006/relationships/custom-properties" Target="/docProps/custom.xml" Id="R036b49d2c711455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jc w:val="center"/>
      </w:pPr>
      <w:r>
        <w:rPr/>
        <w:t xml:space="preserve"/>
      </w:r>
    </w:p>
    <w:p w14:paraId="00100002" w14:textId="00100003">
      <w:pPr>
        <w:spacing w:after="80"/>
        <w:jc w:val="center"/>
      </w:pPr>
      <w:r>
        <w:rPr>
          <w:color w:val="555555"/>
          <w:sz w:val="22"/>
        </w:rPr>
        <w:t xml:space="preserve">IBM SkillsBuild | AICTE Internship on AI — Cohort 2025</w:t>
      </w:r>
    </w:p>
    <w:p w14:paraId="00100004" w14:textId="00100005">
      <w:pPr>
        <w:spacing w:after="80"/>
        <w:jc w:val="center"/>
      </w:pPr>
      <w:r>
        <w:rPr>
          <w:b/>
          <w:color w:val="333333"/>
          <w:sz w:val="26"/>
        </w:rPr>
        <w:t xml:space="preserve">Project Report</w:t>
      </w:r>
    </w:p>
    <w:p w14:paraId="00100006" w14:textId="00100007">
      <w:pPr>
        <w:spacing w:after="160"/>
        <w:jc w:val="center"/>
      </w:pPr>
      <w:r>
        <w:rPr>
          <w:b/>
          <w:color w:val="1A1A2E"/>
          <w:sz w:val="44"/>
        </w:rPr>
        <w:t xml:space="preserve">Netflix Customer Churn &amp; Engagement Analytics Using AI</w:t>
      </w:r>
    </w:p>
    <w:p w14:paraId="00100008" w14:textId="00100009">
      <w:pPr>
        <w:spacing w:after="120"/>
        <w:jc w:val="center"/>
      </w:pPr>
      <w:r>
        <w:rPr/>
        <w:t xml:space="preserve"/>
      </w:r>
    </w:p>
    <w:p w14:paraId="0010000A" w14:textId="0010000B">
      <w:pPr>
        <w:spacing w:after="80"/>
        <w:jc w:val="center"/>
      </w:pPr>
      <w:r>
        <w:rPr>
          <w:i/>
          <w:color w:val="555555"/>
          <w:sz w:val="22"/>
        </w:rPr>
        <w:t xml:space="preserve">Submitted in partial fulfilment of the requirements for the AI Internship Programme</w:t>
      </w:r>
    </w:p>
    <w:p w14:paraId="0010000C" w14:textId="0010000D">
      <w:pPr>
        <w:spacing w:after="400"/>
        <w:jc w:val="center"/>
      </w:pPr>
      <w:r>
        <w:rPr/>
        <w:t xml:space="preserve"/>
      </w:r>
    </w:p>
    <w:p w14:paraId="0010000E" w14:textId="0010000F">
      <w:pPr>
        <w:spacing w:after="80"/>
        <w:jc w:val="center"/>
      </w:pPr>
      <w:r>
        <w:rPr>
          <w:color w:val="333333"/>
          <w:sz w:val="22"/>
        </w:rPr>
        <w:t xml:space="preserve">Submitted by</w:t>
      </w:r>
    </w:p>
    <w:p w14:paraId="00100010" w14:textId="00100011">
      <w:pPr>
        <w:spacing w:after="40"/>
        <w:jc w:val="center"/>
      </w:pPr>
      <w:r>
        <w:rPr>
          <w:b/>
          <w:color w:val="1A1A2E"/>
          <w:sz w:val="26"/>
        </w:rPr>
        <w:t xml:space="preserve">[Student Name]</w:t>
      </w:r>
    </w:p>
    <w:p w14:paraId="00100012" w14:textId="00100013">
      <w:pPr>
        <w:spacing w:after="40"/>
        <w:jc w:val="center"/>
      </w:pPr>
      <w:r>
        <w:rPr>
          <w:color w:val="555555"/>
          <w:sz w:val="22"/>
        </w:rPr>
        <w:t xml:space="preserve">[Enrollment / Roll Number]</w:t>
      </w:r>
    </w:p>
    <w:p w14:paraId="00100014" w14:textId="00100015">
      <w:pPr>
        <w:spacing w:after="40"/>
        <w:jc w:val="center"/>
      </w:pPr>
      <w:r>
        <w:rPr>
          <w:color w:val="555555"/>
          <w:sz w:val="22"/>
        </w:rPr>
        <w:t xml:space="preserve">[Department &amp; Institution Name]</w:t>
      </w:r>
    </w:p>
    <w:p w14:paraId="00100016" w14:textId="00100017">
      <w:pPr>
        <w:spacing w:after="400"/>
        <w:jc w:val="center"/>
      </w:pPr>
      <w:r>
        <w:rPr>
          <w:color w:val="555555"/>
          <w:sz w:val="22"/>
        </w:rPr>
        <w:t xml:space="preserve">[City, State, Country]</w:t>
      </w:r>
    </w:p>
    <w:p w14:paraId="00100018" w14:textId="00100019">
      <w:pPr>
        <w:spacing w:after="80"/>
        <w:jc w:val="center"/>
      </w:pPr>
      <w:r>
        <w:rPr>
          <w:color w:val="333333"/>
          <w:sz w:val="22"/>
        </w:rPr>
        <w:t xml:space="preserve">Supervised by</w:t>
      </w:r>
    </w:p>
    <w:p w14:paraId="0010001A" w14:textId="0010001B">
      <w:pPr>
        <w:spacing w:after="400"/>
        <w:jc w:val="center"/>
      </w:pPr>
      <w:r>
        <w:rPr>
          <w:b/>
          <w:color w:val="1A1A2E"/>
          <w:sz w:val="24"/>
        </w:rPr>
        <w:t xml:space="preserve">IBM SkillsBuild Mentorship Team</w:t>
      </w:r>
    </w:p>
    <w:p w14:paraId="0010001C" w14:textId="0010001D">
      <w:pPr>
        <w:spacing w:after="120"/>
        <w:jc w:val="center"/>
      </w:pPr>
      <w:r>
        <w:rPr>
          <w:color w:val="555555"/>
          <w:sz w:val="22"/>
        </w:rPr>
        <w:t xml:space="preserve">Month Year</w:t>
      </w:r>
    </w:p>
    <w:p w14:paraId="0010001E" w14:textId="0010001F">
      <w:pPr>
        <w:pStyle w:val="Heading1"/>
        <w:spacing w:after="200"/>
      </w:pPr>
      <w:r>
        <w:rPr>
          <w:b/>
          <w:sz w:val="32"/>
        </w:rPr>
        <w:t xml:space="preserve">Table of Contents</w:t>
      </w:r>
    </w:p>
    <w:p w14:paraId="00100020" w14:textId="00100021">
      <w:pPr>
        <w:spacing w:after="60"/>
      </w:pPr>
      <w:r>
        <w:rPr>
          <w:sz w:val="22"/>
        </w:rPr>
        <w:t xml:space="preserve">1.   Abstract ....................................................................................................  3</w:t>
      </w:r>
    </w:p>
    <w:p w14:paraId="00100022" w14:textId="00100023">
      <w:pPr>
        <w:spacing w:after="60"/>
      </w:pPr>
      <w:r>
        <w:rPr>
          <w:sz w:val="22"/>
        </w:rPr>
        <w:t xml:space="preserve">2.   Introduction .................................................................................................  3</w:t>
      </w:r>
    </w:p>
    <w:p w14:paraId="00100024" w14:textId="00100025">
      <w:pPr>
        <w:spacing w:after="60"/>
      </w:pPr>
      <w:r>
        <w:rPr>
          <w:sz w:val="22"/>
        </w:rPr>
        <w:t xml:space="preserve">3.   Problem Statement .......................................................................................  4</w:t>
      </w:r>
    </w:p>
    <w:p w14:paraId="00100026" w14:textId="00100027">
      <w:pPr>
        <w:spacing w:after="60"/>
      </w:pPr>
      <w:r>
        <w:rPr>
          <w:sz w:val="22"/>
        </w:rPr>
        <w:t xml:space="preserve">4.   Objectives ...................................................................................................  4</w:t>
      </w:r>
    </w:p>
    <w:p w14:paraId="00100028" w14:textId="00100029">
      <w:pPr>
        <w:spacing w:after="60"/>
      </w:pPr>
      <w:r>
        <w:rPr>
          <w:sz w:val="22"/>
        </w:rPr>
        <w:t xml:space="preserve">5.   Dataset Description ......................................................................................  5</w:t>
      </w:r>
    </w:p>
    <w:p w14:paraId="0010002A" w14:textId="0010002B">
      <w:pPr>
        <w:spacing w:after="60"/>
      </w:pPr>
      <w:r>
        <w:rPr>
          <w:sz w:val="22"/>
        </w:rPr>
        <w:t xml:space="preserve">6.   Methodology ................................................................................................  6</w:t>
      </w:r>
    </w:p>
    <w:p w14:paraId="0010002C" w14:textId="0010002D">
      <w:pPr>
        <w:spacing w:after="60"/>
      </w:pPr>
      <w:r>
        <w:rPr>
          <w:sz w:val="22"/>
        </w:rPr>
        <w:t xml:space="preserve">7.   Data Preprocessing .......................................................................................  7</w:t>
      </w:r>
    </w:p>
    <w:p w14:paraId="0010002E" w14:textId="0010002F">
      <w:pPr>
        <w:spacing w:after="60"/>
      </w:pPr>
      <w:r>
        <w:rPr>
          <w:sz w:val="22"/>
        </w:rPr>
        <w:t xml:space="preserve">8.   Exploratory Data Analysis (EDA) .................................................................  8</w:t>
      </w:r>
    </w:p>
    <w:p w14:paraId="00100030" w14:textId="00100031">
      <w:pPr>
        <w:spacing w:after="60"/>
      </w:pPr>
      <w:r>
        <w:rPr>
          <w:sz w:val="22"/>
        </w:rPr>
        <w:t xml:space="preserve">9.   Feature Engineering ......................................................................................  9</w:t>
      </w:r>
    </w:p>
    <w:p w14:paraId="00100032" w14:textId="00100033">
      <w:pPr>
        <w:spacing w:after="60"/>
      </w:pPr>
      <w:r>
        <w:rPr>
          <w:sz w:val="22"/>
        </w:rPr>
        <w:t xml:space="preserve">10. Machine Learning Models ..............................................................................  10</w:t>
      </w:r>
    </w:p>
    <w:p w14:paraId="00100034" w14:textId="00100035">
      <w:pPr>
        <w:spacing w:after="60"/>
      </w:pPr>
      <w:r>
        <w:rPr>
          <w:sz w:val="22"/>
        </w:rPr>
        <w:t xml:space="preserve">11. Evaluation Metrics .......................................................................................  11</w:t>
      </w:r>
    </w:p>
    <w:p w14:paraId="00100036" w14:textId="00100037">
      <w:pPr>
        <w:spacing w:after="60"/>
      </w:pPr>
      <w:r>
        <w:rPr>
          <w:sz w:val="22"/>
        </w:rPr>
        <w:t xml:space="preserve">12. Results &amp; Model Performance ........................................................................  12</w:t>
      </w:r>
    </w:p>
    <w:p w14:paraId="00100038" w14:textId="00100039">
      <w:pPr>
        <w:spacing w:after="60"/>
      </w:pPr>
      <w:r>
        <w:rPr>
          <w:sz w:val="22"/>
        </w:rPr>
        <w:t xml:space="preserve">13. Key Findings ................................................................................................  13</w:t>
      </w:r>
    </w:p>
    <w:p w14:paraId="0010003A" w14:textId="0010003B">
      <w:pPr>
        <w:spacing w:after="60"/>
      </w:pPr>
      <w:r>
        <w:rPr>
          <w:sz w:val="22"/>
        </w:rPr>
        <w:t xml:space="preserve">14. Business Recommendations ...........................................................................  14</w:t>
      </w:r>
    </w:p>
    <w:p w14:paraId="0010003C" w14:textId="0010003D">
      <w:pPr>
        <w:spacing w:after="60"/>
      </w:pPr>
      <w:r>
        <w:rPr>
          <w:sz w:val="22"/>
        </w:rPr>
        <w:t xml:space="preserve">15. Limitations ..................................................................................................  15</w:t>
      </w:r>
    </w:p>
    <w:p w14:paraId="0010003E" w14:textId="0010003F">
      <w:pPr>
        <w:spacing w:after="60"/>
      </w:pPr>
      <w:r>
        <w:rPr>
          <w:sz w:val="22"/>
        </w:rPr>
        <w:t xml:space="preserve">16. Future Scope ...............................................................................................  16</w:t>
      </w:r>
    </w:p>
    <w:p w14:paraId="00100040" w14:textId="00100041">
      <w:pPr>
        <w:spacing w:after="60"/>
      </w:pPr>
      <w:r>
        <w:rPr>
          <w:sz w:val="22"/>
        </w:rPr>
        <w:t xml:space="preserve">17. Conclusion ...................................................................................................  16</w:t>
      </w:r>
    </w:p>
    <w:p w14:paraId="00100042" w14:textId="00100043">
      <w:pPr>
        <w:spacing w:after="60"/>
      </w:pPr>
      <w:r>
        <w:rPr>
          <w:sz w:val="22"/>
        </w:rPr>
        <w:t xml:space="preserve">18. References ..................................................................................................  17</w:t>
      </w:r>
    </w:p>
    <w:p w14:paraId="00100044" w14:textId="00100045">
      <w:pPr>
        <w:pStyle w:val="Heading1"/>
        <w:spacing w:before="280" w:after="160"/>
      </w:pPr>
      <w:r>
        <w:rPr>
          <w:b/>
          <w:sz w:val="32"/>
        </w:rPr>
        <w:t xml:space="preserve">1. Abstract</w:t>
      </w:r>
    </w:p>
    <w:p w14:paraId="00100046" w14:textId="00100047">
      <w:pPr>
        <w:spacing w:after="120"/>
      </w:pPr>
      <w:r>
        <w:rPr>
          <w:sz w:val="22"/>
        </w:rPr>
        <w:t xml:space="preserve">Customer churn — the voluntary discontinuation of a subscription service — is one of the most significant and costly challenges facing streaming platforms such as Netflix. This project presents a comprehensive end-to-end machine learning pipeline to predict customer churn and quantify engagement for a synthetic dataset of 5,000 Netflix subscribers. Using Python and a suite of libraries including pandas, NumPy, Matplotlib, seaborn, and scikit-learn, the study encompasses rigorous data preprocessing, exploratory data analysis (EDA), feature engineering, and the training and evaluation of six supervised classification algorithms: Logistic Regression, Decision Tree, Random Forest, Gradient Boosting, Support Vector Machine (SVM), and K-Nearest Neighbours (KNN).</w:t>
      </w:r>
    </w:p>
    <w:p w14:paraId="00100048" w14:textId="00100049">
      <w:pPr>
        <w:spacing w:after="160"/>
      </w:pPr>
      <w:r>
        <w:rPr>
          <w:sz w:val="22"/>
        </w:rPr>
        <w:t xml:space="preserve">The Gradient Boosting classifier achieved the highest predictive performance with a ROC-AUC score of 0.998 and an F1-score of 0.989, demonstrating near-perfect discrimination between churned and retained customers. Key churn predictors identified across multiple models include avg_watch_time_per_day, engagement_score, last_login_days, and watch_hours. The project surfaces ten actionable business recommendations grounded in data, including real-time churn scoring, inactivity-triggered re-engagement workflows, device-specific UX optimisation, and genre-led content strategy. The report is structured to meet the academic submission standards of the IBM SkillsBuild | AICTE AI Internship Programme (2025).</w:t>
      </w:r>
    </w:p>
    <w:p w14:paraId="0010004A" w14:textId="0010004B">
      <w:pPr>
        <w:spacing w:after="280"/>
      </w:pPr>
      <w:r>
        <w:rPr>
          <w:i/>
          <w:color w:val="555555"/>
          <w:sz w:val="20"/>
        </w:rPr>
        <w:t xml:space="preserve">Keywords: Customer Churn Prediction, Machine Learning, Streaming Analytics, Gradient Boosting, Feature Engineering, Engagement Scoring, Random Forest, Netflix, Subscription Analytics.</w:t>
      </w:r>
    </w:p>
    <w:p w14:paraId="0010004C" w14:textId="0010004D">
      <w:pPr>
        <w:pStyle w:val="Heading1"/>
        <w:spacing w:before="280" w:after="160"/>
      </w:pPr>
      <w:r>
        <w:rPr>
          <w:b/>
          <w:sz w:val="32"/>
        </w:rPr>
        <w:t xml:space="preserve">2. Introduction</w:t>
      </w:r>
    </w:p>
    <w:p w14:paraId="0010004E" w14:textId="0010004F">
      <w:pPr>
        <w:spacing w:after="120"/>
      </w:pPr>
      <w:r>
        <w:rPr>
          <w:sz w:val="22"/>
        </w:rPr>
        <w:t xml:space="preserve">The global video streaming market has experienced exponential growth over the past decade. Netflix, with over 260 million paid subscribers worldwide as of 2024, operates in an intensely competitive landscape alongside rivals such as Amazon Prime Video, Disney+, Apple TV+, and a growing number of regional platforms. Subscriber acquisition costs are substantial, often ranging from $20 to $50 per new customer, making retention economically critical. Research consistently shows that acquiring a new customer costs five to seven times more than retaining an existing one (Reichheld &amp; Sasser, 1990; Gupta et al., 2006).</w:t>
      </w:r>
    </w:p>
    <w:p w14:paraId="00100050" w14:textId="00100051">
      <w:pPr>
        <w:spacing w:after="120"/>
      </w:pPr>
      <w:r>
        <w:rPr>
          <w:sz w:val="22"/>
        </w:rPr>
        <w:t xml:space="preserve">Customer churn — defined as the event where a subscriber cancels or fails to renew their subscription within a given time window — directly erodes revenue, increases marketing expenditure, and diminishes the network effects that underpin platform growth. Predictive churn modelling leverages historical behavioural and demographic data to assign each subscriber a probability of churning, enabling proactive and personalised intervention before the cancellation event occurs.</w:t>
      </w:r>
    </w:p>
    <w:p w14:paraId="00100052" w14:textId="00100053">
      <w:pPr>
        <w:spacing w:after="120"/>
      </w:pPr>
      <w:r>
        <w:rPr>
          <w:sz w:val="22"/>
        </w:rPr>
        <w:t xml:space="preserve">Artificial intelligence and machine learning techniques have fundamentally transformed how organisations approach churn management. Ensemble methods such as Random Forest and Gradient Boosting, combined with thoughtful feature engineering, can capture complex non-linear interactions between user behaviours — such as recency of login, content consumption depth, and device preferences — that traditional rule-based systems cannot model effectively.</w:t>
      </w:r>
    </w:p>
    <w:p w14:paraId="00100054" w14:textId="00100055">
      <w:pPr>
        <w:spacing w:after="280"/>
      </w:pPr>
      <w:r>
        <w:rPr>
          <w:sz w:val="22"/>
        </w:rPr>
        <w:t xml:space="preserve">This project was undertaken as part of the IBM SkillsBuild | AICTE AI Internship Programme (2025). It applies a full machine learning lifecycle — from raw data ingestion through model deployment recommendations — to a realistic, multi-dimensional Netflix subscriber dataset, providing both technical depth and business utility. The remainder of this report is structured as follows: Section 3 states the problem, Section 4 articulates the objectives, Sections 5–11 document the technical approach, Sections 12–14 present results and recommendations, and Sections 15–18 address limitations, future scope, and conclusions.</w:t>
      </w:r>
    </w:p>
    <w:p w14:paraId="00100056" w14:textId="00100057">
      <w:pPr>
        <w:pStyle w:val="Heading1"/>
        <w:spacing w:before="280" w:after="160"/>
      </w:pPr>
      <w:r>
        <w:rPr>
          <w:b/>
          <w:sz w:val="32"/>
        </w:rPr>
        <w:t xml:space="preserve">3. Problem Statement</w:t>
      </w:r>
    </w:p>
    <w:p w14:paraId="00100058" w14:textId="00100059">
      <w:pPr>
        <w:spacing w:after="120"/>
      </w:pPr>
      <w:r>
        <w:rPr>
          <w:sz w:val="22"/>
        </w:rPr>
        <w:t xml:space="preserve">Netflix and other subscription-based streaming platforms face a persistent and measurable threat from customer churn. The platform invests heavily in content production (exceeding $17 billion in 2023), original programming, and marketing to attract subscribers; however, a significant portion of those subscribers disengage and cancel within months of joining. Without early warning systems, the platform responds reactively — offering discounts or improvements only after a customer has already decided to leave, by which point intervention effectiveness is significantly reduced.</w:t>
      </w:r>
    </w:p>
    <w:p w14:paraId="0010005A" w14:textId="0010005B">
      <w:pPr>
        <w:spacing w:after="120"/>
      </w:pPr>
      <w:r>
        <w:rPr>
          <w:sz w:val="22"/>
        </w:rPr>
        <w:t xml:space="preserve">The core problem addressed by this project is: Given a set of customer demographic, behavioural, and transactional attributes, can a machine learning model reliably identify customers who are at high risk of churning before the churn event occurs? Furthermore, can analysis of such a model reveal which factors most strongly drive churn, and what targeted actions can reduce churn rates and improve customer lifetime value (CLV)?</w:t>
      </w:r>
    </w:p>
    <w:p w14:paraId="0010005C" w14:textId="0010005D">
      <w:pPr>
        <w:spacing w:after="280"/>
      </w:pPr>
      <w:r>
        <w:rPr>
          <w:sz w:val="22"/>
        </w:rPr>
        <w:t xml:space="preserve">Specifically, this project addresses three inter-related analytical problems: (1) binary classification of churn vs. retention; (2) identification and ranking of the most predictive features driving churn; and (3) translation of analytical findings into concrete, prioritised business interventions.</w:t>
      </w:r>
    </w:p>
    <w:p w14:paraId="0010005E" w14:textId="0010005F">
      <w:pPr>
        <w:pStyle w:val="Heading1"/>
        <w:spacing w:before="280" w:after="160"/>
      </w:pPr>
      <w:r>
        <w:rPr>
          <w:b/>
          <w:sz w:val="32"/>
        </w:rPr>
        <w:t xml:space="preserve">4. Objectives</w:t>
      </w:r>
    </w:p>
    <w:p w14:paraId="00100060" w14:textId="00100061">
      <w:pPr>
        <w:spacing w:after="120"/>
      </w:pPr>
      <w:r>
        <w:rPr>
          <w:sz w:val="22"/>
        </w:rPr>
        <w:t xml:space="preserve">The primary and secondary objectives of this project are as follows:</w:t>
      </w:r>
    </w:p>
    <w:p w14:paraId="00100062" w14:textId="00100063">
      <w:pPr>
        <w:pStyle w:val="Heading2"/>
        <w:spacing w:before="160" w:after="80"/>
      </w:pPr>
      <w:r>
        <w:rPr>
          <w:b/>
          <w:sz w:val="26"/>
        </w:rPr>
        <w:t xml:space="preserve">Primary Objectives</w:t>
      </w:r>
    </w:p>
    <w:p w14:paraId="00100064" w14:textId="00100065">
      <w:pPr>
        <w:numPr>
          <w:ilvl w:val="0"/>
          <w:numId w:val="1"/>
        </w:numPr>
        <w:spacing w:after="80"/>
      </w:pPr>
      <w:r>
        <w:rPr>
          <w:sz w:val="22"/>
        </w:rPr>
        <w:t xml:space="preserve">O1. To perform comprehensive exploratory data analysis on the Netflix customer dataset, uncovering the statistical distributions, correlations, and behavioural patterns that distinguish churned customers from retained ones.</w:t>
      </w:r>
    </w:p>
    <w:p w14:paraId="00100066" w14:textId="00100067">
      <w:pPr>
        <w:numPr>
          <w:ilvl w:val="0"/>
          <w:numId w:val="1"/>
        </w:numPr>
        <w:spacing w:after="80"/>
      </w:pPr>
      <w:r>
        <w:rPr>
          <w:sz w:val="22"/>
        </w:rPr>
        <w:t xml:space="preserve">O2. To engineer meaningful derived features — including an engagement score, inactivity flag, age group, watch segment, and revenue-per-profile metric — that enhance predictive model accuracy beyond raw input variables alone.</w:t>
      </w:r>
    </w:p>
    <w:p w14:paraId="00100068" w14:textId="00100069">
      <w:pPr>
        <w:numPr>
          <w:ilvl w:val="0"/>
          <w:numId w:val="1"/>
        </w:numPr>
        <w:spacing w:after="80"/>
      </w:pPr>
      <w:r>
        <w:rPr>
          <w:sz w:val="22"/>
        </w:rPr>
        <w:t xml:space="preserve">O3. To train, evaluate, and compare six supervised machine learning classifiers using rigorous evaluation protocols including stratified train-test splitting and 5-fold cross-validation.</w:t>
      </w:r>
    </w:p>
    <w:p w14:paraId="0010006A" w14:textId="0010006B">
      <w:pPr>
        <w:numPr>
          <w:ilvl w:val="0"/>
          <w:numId w:val="1"/>
        </w:numPr>
        <w:spacing w:after="80"/>
      </w:pPr>
      <w:r>
        <w:rPr>
          <w:sz w:val="22"/>
        </w:rPr>
        <w:t xml:space="preserve">O4. To identify the most predictive features of churn using Random Forest feature importance, Gradient Boosting feature importance, and Logistic Regression coefficient magnitudes.</w:t>
      </w:r>
    </w:p>
    <w:p w14:paraId="0010006C" w14:textId="0010006D">
      <w:pPr>
        <w:numPr>
          <w:ilvl w:val="0"/>
          <w:numId w:val="1"/>
        </w:numPr>
        <w:spacing w:after="120"/>
      </w:pPr>
      <w:r>
        <w:rPr>
          <w:sz w:val="22"/>
        </w:rPr>
        <w:t xml:space="preserve">O5. To derive and prioritise actionable business recommendations structured within an Impact vs. Effort priority matrix.</w:t>
      </w:r>
    </w:p>
    <w:p w14:paraId="0010006E" w14:textId="0010006F">
      <w:pPr>
        <w:pStyle w:val="Heading2"/>
        <w:spacing w:before="160" w:after="80"/>
      </w:pPr>
      <w:r>
        <w:rPr>
          <w:b/>
          <w:sz w:val="26"/>
        </w:rPr>
        <w:t xml:space="preserve">Secondary Objectives</w:t>
      </w:r>
    </w:p>
    <w:p w14:paraId="00100070" w14:textId="00100071">
      <w:pPr>
        <w:numPr>
          <w:ilvl w:val="0"/>
          <w:numId w:val="2"/>
        </w:numPr>
        <w:spacing w:after="80"/>
      </w:pPr>
      <w:r>
        <w:rPr>
          <w:sz w:val="22"/>
        </w:rPr>
        <w:t xml:space="preserve">O6. To demonstrate proficiency in the full Python data science stack: pandas, NumPy, Matplotlib, seaborn, and scikit-learn.</w:t>
      </w:r>
    </w:p>
    <w:p w14:paraId="00100072" w14:textId="00100073">
      <w:pPr>
        <w:numPr>
          <w:ilvl w:val="0"/>
          <w:numId w:val="2"/>
        </w:numPr>
        <w:spacing w:after="80"/>
      </w:pPr>
      <w:r>
        <w:rPr>
          <w:sz w:val="22"/>
        </w:rPr>
        <w:t xml:space="preserve">O7. To produce a reproducible, well-documented Jupyter Notebook that can serve as a template for similar churn analytics initiatives.</w:t>
      </w:r>
    </w:p>
    <w:p w14:paraId="00100074" w14:textId="00100075">
      <w:pPr>
        <w:numPr>
          <w:ilvl w:val="0"/>
          <w:numId w:val="2"/>
        </w:numPr>
        <w:spacing w:after="280"/>
      </w:pPr>
      <w:r>
        <w:rPr>
          <w:sz w:val="22"/>
        </w:rPr>
        <w:t xml:space="preserve">O8. To estimate the financial impact of churn reduction and quantify the business value delivered by the proposed interventions.</w:t>
      </w:r>
    </w:p>
    <w:p w14:paraId="00100076" w14:textId="00100077">
      <w:pPr>
        <w:pStyle w:val="Heading1"/>
        <w:spacing w:before="280" w:after="160"/>
      </w:pPr>
      <w:r>
        <w:rPr>
          <w:b/>
          <w:sz w:val="32"/>
        </w:rPr>
        <w:t xml:space="preserve">5. Dataset Description</w:t>
      </w:r>
    </w:p>
    <w:p w14:paraId="00100078" w14:textId="00100079">
      <w:pPr>
        <w:pStyle w:val="Heading2"/>
        <w:spacing w:before="160" w:after="80"/>
      </w:pPr>
      <w:r>
        <w:rPr>
          <w:b/>
          <w:sz w:val="26"/>
        </w:rPr>
        <w:t xml:space="preserve">5.1 Source and Composition</w:t>
      </w:r>
    </w:p>
    <w:p w14:paraId="0010007A" w14:textId="0010007B">
      <w:pPr>
        <w:spacing w:after="120"/>
      </w:pPr>
      <w:r>
        <w:rPr>
          <w:sz w:val="22"/>
        </w:rPr>
        <w:t xml:space="preserve">The dataset used in this project is a structured, tabular, synthetic dataset representing 5,000 Netflix customer records. It was designed to simulate realistic subscriber behaviour across multiple dimensions — demographic, behavioural, transactional, and geographic — making it suitable for supervised churn prediction modelling. The dataset contains no missing values and no duplicate records after initial quality checks. The file format is CSV (Comma-Separated Values) with a single header row.</w:t>
      </w:r>
    </w:p>
    <w:p w14:paraId="0010007C" w14:textId="0010007D">
      <w:pPr>
        <w:pStyle w:val="Heading2"/>
        <w:spacing w:before="160" w:after="120"/>
      </w:pPr>
      <w:r>
        <w:rPr>
          <w:b/>
          <w:sz w:val="26"/>
        </w:rPr>
        <w:t xml:space="preserve">5.2 Feature Definitions</w:t>
      </w:r>
    </w:p>
    <w:p w14:paraId="0010007E" w14:textId="0010007F">
      <w:pPr>
        <w:spacing w:after="160"/>
      </w:pPr>
      <w:r>
        <w:rPr>
          <w:sz w:val="22"/>
        </w:rPr>
        <w:t xml:space="preserve">Table 1 presents all 14 original features (including the target variable) with their data types, value domains, and interpretations.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80" w14:textId="00100081">
            <w:r>
              <w:t xml:space="preserve">Feature Name</w:t>
            </w:r>
          </w:p>
        </w:tc>
        <w:tc>
          <w:p w14:paraId="00100082" w14:textId="00100083">
            <w:r>
              <w:t xml:space="preserve">Type</w:t>
            </w:r>
          </w:p>
        </w:tc>
        <w:tc>
          <w:p w14:paraId="00100084" w14:textId="00100085">
            <w:r>
              <w:t xml:space="preserve">Value Domain</w:t>
            </w:r>
          </w:p>
        </w:tc>
        <w:tc>
          <w:p w14:paraId="00100086" w14:textId="00100087">
            <w:r>
              <w:t xml:space="preserve">Description</w:t>
            </w:r>
          </w:p>
        </w:tc>
      </w:tr>
      <w:tr>
        <w:trPr/>
        <w:tc>
          <w:p w14:paraId="00100088" w14:textId="00100089">
            <w:r>
              <w:t xml:space="preserve">customer_id</w:t>
            </w:r>
          </w:p>
        </w:tc>
        <w:tc>
          <w:p w14:paraId="0010008A" w14:textId="0010008B">
            <w:r>
              <w:t xml:space="preserve">String</w:t>
            </w:r>
          </w:p>
        </w:tc>
        <w:tc>
          <w:p w14:paraId="0010008C" w14:textId="0010008D">
            <w:r>
              <w:t xml:space="preserve">UUID</w:t>
            </w:r>
          </w:p>
        </w:tc>
        <w:tc>
          <w:p w14:paraId="0010008E" w14:textId="0010008F">
            <w:r>
              <w:t xml:space="preserve">Unique customer identifier (dropped before modelling)</w:t>
            </w:r>
          </w:p>
        </w:tc>
      </w:tr>
      <w:tr>
        <w:trPr/>
        <w:tc>
          <w:p w14:paraId="00100090" w14:textId="00100091">
            <w:r>
              <w:t xml:space="preserve">age</w:t>
            </w:r>
          </w:p>
        </w:tc>
        <w:tc>
          <w:p w14:paraId="00100092" w14:textId="00100093">
            <w:r>
              <w:t xml:space="preserve">Integer</w:t>
            </w:r>
          </w:p>
        </w:tc>
        <w:tc>
          <w:p w14:paraId="00100094" w14:textId="00100095">
            <w:r>
              <w:t xml:space="preserve">18 – 70</w:t>
            </w:r>
          </w:p>
        </w:tc>
        <w:tc>
          <w:p w14:paraId="00100096" w14:textId="00100097">
            <w:r>
              <w:t xml:space="preserve">Customer age in years</w:t>
            </w:r>
          </w:p>
        </w:tc>
      </w:tr>
      <w:tr>
        <w:trPr/>
        <w:tc>
          <w:p w14:paraId="00100098" w14:textId="00100099">
            <w:r>
              <w:t xml:space="preserve">gender</w:t>
            </w:r>
          </w:p>
        </w:tc>
        <w:tc>
          <w:p w14:paraId="0010009A" w14:textId="0010009B">
            <w:r>
              <w:t xml:space="preserve">Categorical</w:t>
            </w:r>
          </w:p>
        </w:tc>
        <w:tc>
          <w:p w14:paraId="0010009C" w14:textId="0010009D">
            <w:r>
              <w:t xml:space="preserve">Male, Female, Other</w:t>
            </w:r>
          </w:p>
        </w:tc>
        <w:tc>
          <w:p w14:paraId="0010009E" w14:textId="0010009F">
            <w:r>
              <w:t xml:space="preserve">Customer gender identity</w:t>
            </w:r>
          </w:p>
        </w:tc>
      </w:tr>
      <w:tr>
        <w:trPr/>
        <w:tc>
          <w:p w14:paraId="001000A0" w14:textId="001000A1">
            <w:r>
              <w:t xml:space="preserve">subscription_type</w:t>
            </w:r>
          </w:p>
        </w:tc>
        <w:tc>
          <w:p w14:paraId="001000A2" w14:textId="001000A3">
            <w:r>
              <w:t xml:space="preserve">Categorical</w:t>
            </w:r>
          </w:p>
        </w:tc>
        <w:tc>
          <w:p w14:paraId="001000A4" w14:textId="001000A5">
            <w:r>
              <w:t xml:space="preserve">Basic, Standard, Premium</w:t>
            </w:r>
          </w:p>
        </w:tc>
        <w:tc>
          <w:p w14:paraId="001000A6" w14:textId="001000A7">
            <w:r>
              <w:t xml:space="preserve">Tier of Netflix subscription</w:t>
            </w:r>
          </w:p>
        </w:tc>
      </w:tr>
      <w:tr>
        <w:trPr/>
        <w:tc>
          <w:p w14:paraId="001000A8" w14:textId="001000A9">
            <w:r>
              <w:t xml:space="preserve">watch_hours</w:t>
            </w:r>
          </w:p>
        </w:tc>
        <w:tc>
          <w:p w14:paraId="001000AA" w14:textId="001000AB">
            <w:r>
              <w:t xml:space="preserve">Float</w:t>
            </w:r>
          </w:p>
        </w:tc>
        <w:tc>
          <w:p w14:paraId="001000AC" w14:textId="001000AD">
            <w:r>
              <w:t xml:space="preserve">0.0 – 100+</w:t>
            </w:r>
          </w:p>
        </w:tc>
        <w:tc>
          <w:p w14:paraId="001000AE" w14:textId="001000AF">
            <w:r>
              <w:t xml:space="preserve">Total watch hours over the observation window</w:t>
            </w:r>
          </w:p>
        </w:tc>
      </w:tr>
      <w:tr>
        <w:trPr/>
        <w:tc>
          <w:p w14:paraId="001000B0" w14:textId="001000B1">
            <w:r>
              <w:t xml:space="preserve">last_login_days</w:t>
            </w:r>
          </w:p>
        </w:tc>
        <w:tc>
          <w:p w14:paraId="001000B2" w14:textId="001000B3">
            <w:r>
              <w:t xml:space="preserve">Integer</w:t>
            </w:r>
          </w:p>
        </w:tc>
        <w:tc>
          <w:p w14:paraId="001000B4" w14:textId="001000B5">
            <w:r>
              <w:t xml:space="preserve">0 – 90</w:t>
            </w:r>
          </w:p>
        </w:tc>
        <w:tc>
          <w:p w14:paraId="001000B6" w14:textId="001000B7">
            <w:r>
              <w:t xml:space="preserve">Days elapsed since most recent platform login</w:t>
            </w:r>
          </w:p>
        </w:tc>
      </w:tr>
      <w:tr>
        <w:trPr/>
        <w:tc>
          <w:p w14:paraId="001000B8" w14:textId="001000B9">
            <w:r>
              <w:t xml:space="preserve">region</w:t>
            </w:r>
          </w:p>
        </w:tc>
        <w:tc>
          <w:p w14:paraId="001000BA" w14:textId="001000BB">
            <w:r>
              <w:t xml:space="preserve">Categorical</w:t>
            </w:r>
          </w:p>
        </w:tc>
        <w:tc>
          <w:p w14:paraId="001000BC" w14:textId="001000BD">
            <w:r>
              <w:t xml:space="preserve">Africa, Asia, Europe, North America, Oceania, South America</w:t>
            </w:r>
          </w:p>
        </w:tc>
        <w:tc>
          <w:p w14:paraId="001000BE" w14:textId="001000BF">
            <w:r>
              <w:t xml:space="preserve">Geographic region of the customer</w:t>
            </w:r>
          </w:p>
        </w:tc>
      </w:tr>
      <w:tr>
        <w:trPr/>
        <w:tc>
          <w:p w14:paraId="001000C0" w14:textId="001000C1">
            <w:r>
              <w:t xml:space="preserve">device</w:t>
            </w:r>
          </w:p>
        </w:tc>
        <w:tc>
          <w:p w14:paraId="001000C2" w14:textId="001000C3">
            <w:r>
              <w:t xml:space="preserve">Categorical</w:t>
            </w:r>
          </w:p>
        </w:tc>
        <w:tc>
          <w:p w14:paraId="001000C4" w14:textId="001000C5">
            <w:r>
              <w:t xml:space="preserve">TV, Mobile, Desktop, Laptop, Tablet</w:t>
            </w:r>
          </w:p>
        </w:tc>
        <w:tc>
          <w:p w14:paraId="001000C6" w14:textId="001000C7">
            <w:r>
              <w:t xml:space="preserve">Primary device used for streaming</w:t>
            </w:r>
          </w:p>
        </w:tc>
      </w:tr>
      <w:tr>
        <w:trPr/>
        <w:tc>
          <w:p w14:paraId="001000C8" w14:textId="001000C9">
            <w:r>
              <w:t xml:space="preserve">monthly_fee</w:t>
            </w:r>
          </w:p>
        </w:tc>
        <w:tc>
          <w:p w14:paraId="001000CA" w14:textId="001000CB">
            <w:r>
              <w:t xml:space="preserve">Float</w:t>
            </w:r>
          </w:p>
        </w:tc>
        <w:tc>
          <w:p w14:paraId="001000CC" w14:textId="001000CD">
            <w:r>
              <w:t xml:space="preserve">8.99 / 13.99 / 17.99</w:t>
            </w:r>
          </w:p>
        </w:tc>
        <w:tc>
          <w:p w14:paraId="001000CE" w14:textId="001000CF">
            <w:r>
              <w:t xml:space="preserve">Monthly subscription fee in USD</w:t>
            </w:r>
          </w:p>
        </w:tc>
      </w:tr>
      <w:tr>
        <w:trPr/>
        <w:tc>
          <w:p w14:paraId="001000D0" w14:textId="001000D1">
            <w:r>
              <w:t xml:space="preserve">churned</w:t>
            </w:r>
          </w:p>
        </w:tc>
        <w:tc>
          <w:p w14:paraId="001000D2" w14:textId="001000D3">
            <w:r>
              <w:t xml:space="preserve">Binary Integer</w:t>
            </w:r>
          </w:p>
        </w:tc>
        <w:tc>
          <w:p w14:paraId="001000D4" w14:textId="001000D5">
            <w:r>
              <w:t xml:space="preserve">0 (Retained), 1 (Churned)</w:t>
            </w:r>
          </w:p>
        </w:tc>
        <w:tc>
          <w:p w14:paraId="001000D6" w14:textId="001000D7">
            <w:r>
              <w:t xml:space="preserve">Target variable: churn label</w:t>
            </w:r>
          </w:p>
        </w:tc>
      </w:tr>
      <w:tr>
        <w:trPr/>
        <w:tc>
          <w:p w14:paraId="001000D8" w14:textId="001000D9">
            <w:r>
              <w:t xml:space="preserve">payment_method</w:t>
            </w:r>
          </w:p>
        </w:tc>
        <w:tc>
          <w:p w14:paraId="001000DA" w14:textId="001000DB">
            <w:r>
              <w:t xml:space="preserve">Categorical</w:t>
            </w:r>
          </w:p>
        </w:tc>
        <w:tc>
          <w:p w14:paraId="001000DC" w14:textId="001000DD">
            <w:r>
              <w:t xml:space="preserve">Credit Card, Debit Card, PayPal, Gift Card, Crypto</w:t>
            </w:r>
          </w:p>
        </w:tc>
        <w:tc>
          <w:p w14:paraId="001000DE" w14:textId="001000DF">
            <w:r>
              <w:t xml:space="preserve">Payment method used for billing</w:t>
            </w:r>
          </w:p>
        </w:tc>
      </w:tr>
      <w:tr>
        <w:trPr/>
        <w:tc>
          <w:p w14:paraId="001000E0" w14:textId="001000E1">
            <w:r>
              <w:t xml:space="preserve">number_of_profiles</w:t>
            </w:r>
          </w:p>
        </w:tc>
        <w:tc>
          <w:p w14:paraId="001000E2" w14:textId="001000E3">
            <w:r>
              <w:t xml:space="preserve">Integer</w:t>
            </w:r>
          </w:p>
        </w:tc>
        <w:tc>
          <w:p w14:paraId="001000E4" w14:textId="001000E5">
            <w:r>
              <w:t xml:space="preserve">1 – 5</w:t>
            </w:r>
          </w:p>
        </w:tc>
        <w:tc>
          <w:p w14:paraId="001000E6" w14:textId="001000E7">
            <w:r>
              <w:t xml:space="preserve">Number of user profiles on the account</w:t>
            </w:r>
          </w:p>
        </w:tc>
      </w:tr>
      <w:tr>
        <w:trPr/>
        <w:tc>
          <w:p w14:paraId="001000E8" w14:textId="001000E9">
            <w:r>
              <w:t xml:space="preserve">avg_watch_time_per_day</w:t>
            </w:r>
          </w:p>
        </w:tc>
        <w:tc>
          <w:p w14:paraId="001000EA" w14:textId="001000EB">
            <w:r>
              <w:t xml:space="preserve">Float</w:t>
            </w:r>
          </w:p>
        </w:tc>
        <w:tc>
          <w:p w14:paraId="001000EC" w14:textId="001000ED">
            <w:r>
              <w:t xml:space="preserve">0.0 – 10+</w:t>
            </w:r>
          </w:p>
        </w:tc>
        <w:tc>
          <w:p w14:paraId="001000EE" w14:textId="001000EF">
            <w:r>
              <w:t xml:space="preserve">Average daily watch time in hours</w:t>
            </w:r>
          </w:p>
        </w:tc>
      </w:tr>
      <w:tr>
        <w:trPr/>
        <w:tc>
          <w:p w14:paraId="001000F0" w14:textId="001000F1">
            <w:r>
              <w:t xml:space="preserve">favorite_genre</w:t>
            </w:r>
          </w:p>
        </w:tc>
        <w:tc>
          <w:p w14:paraId="001000F2" w14:textId="001000F3">
            <w:r>
              <w:t xml:space="preserve">Categorical</w:t>
            </w:r>
          </w:p>
        </w:tc>
        <w:tc>
          <w:p w14:paraId="001000F4" w14:textId="001000F5">
            <w:r>
              <w:t xml:space="preserve">Action, Comedy, Documentary, Drama, Horror, Romance, Sci-Fi, Thriller, etc.</w:t>
            </w:r>
          </w:p>
        </w:tc>
        <w:tc>
          <w:p w14:paraId="001000F6" w14:textId="001000F7">
            <w:r>
              <w:t xml:space="preserve">Most-watched genre of the customer</w:t>
            </w:r>
          </w:p>
        </w:tc>
      </w:tr>
    </w:tbl>
    <w:p w14:paraId="001000F8" w14:textId="001000F9">
      <w:pPr>
        <w:spacing w:before="80" w:after="240"/>
        <w:jc w:val="center"/>
      </w:pPr>
      <w:r>
        <w:rPr>
          <w:i/>
          <w:sz w:val="18"/>
        </w:rPr>
        <w:t xml:space="preserve">Table 1: Dataset Feature Dictionary</w:t>
      </w:r>
    </w:p>
    <w:p w14:paraId="001000FA" w14:textId="001000FB">
      <w:pPr>
        <w:pStyle w:val="Heading2"/>
        <w:spacing w:before="160" w:after="80"/>
      </w:pPr>
      <w:r>
        <w:rPr>
          <w:b/>
          <w:sz w:val="26"/>
        </w:rPr>
        <w:t xml:space="preserve">5.3 Target Variable Distribution</w:t>
      </w:r>
    </w:p>
    <w:p w14:paraId="001000FC" w14:textId="001000FD">
      <w:pPr>
        <w:spacing w:after="120"/>
      </w:pPr>
      <w:r>
        <w:rPr>
          <w:sz w:val="22"/>
        </w:rPr>
        <w:t xml:space="preserve">The dataset exhibits a near-balanced class distribution. Of the 5,000 records, approximately 2,486 customers (49.7%) were retained (churned = 0) and 2,514 customers (50.3%) churned (churned = 1). This near-parity eliminates the need for oversampling or undersampling techniques such as SMOTE, and allows standard accuracy as a meaningful metric alongside F1-score and ROC-AUC.</w:t>
      </w:r>
    </w:p>
    <w:p w14:paraId="001000FE" w14:textId="001000FF">
      <w:pPr>
        <w:pStyle w:val="Heading2"/>
        <w:spacing w:before="160" w:after="80"/>
      </w:pPr>
      <w:r>
        <w:rPr>
          <w:b/>
          <w:sz w:val="26"/>
        </w:rPr>
        <w:t xml:space="preserve">5.4 Statistical Summary of Numerical Features (Descriptive Statistics)</w:t>
      </w:r>
    </w:p>
    <w:p w14:paraId="00100100" w14:textId="00100101">
      <w:pPr>
        <w:spacing w:after="280"/>
      </w:pPr>
      <w:r>
        <w:rPr>
          <w:sz w:val="22"/>
        </w:rPr>
        <w:t xml:space="preserve">age: mean = 43.6 yrs, std = 14.2, range 18–70. watch_hours: mean = 15.4 hrs, std = 11.8, range 0.1–99.9. last_login_days: mean = 29.5 days, std = 17.2, range 0–90. monthly_fee: mean = $13.66, three discrete tiers ($8.99, $13.99, $17.99). number_of_profiles: mean = 3.0, range 1–5. avg_watch_time_per_day: mean = 0.68 hrs/day, std = 0.71, range 0.0–9.1.</w:t>
      </w:r>
    </w:p>
    <w:p w14:paraId="00100102" w14:textId="00100103">
      <w:pPr>
        <w:pStyle w:val="Heading1"/>
        <w:spacing w:before="280" w:after="160"/>
      </w:pPr>
      <w:r>
        <w:rPr>
          <w:b/>
          <w:sz w:val="32"/>
        </w:rPr>
        <w:t xml:space="preserve">6. Methodology</w:t>
      </w:r>
    </w:p>
    <w:p w14:paraId="00100104" w14:textId="00100105">
      <w:pPr>
        <w:pStyle w:val="Heading2"/>
        <w:spacing w:before="160" w:after="80"/>
      </w:pPr>
      <w:r>
        <w:rPr>
          <w:b/>
          <w:sz w:val="26"/>
        </w:rPr>
        <w:t xml:space="preserve">6.1 Overall Pipeline</w:t>
      </w:r>
    </w:p>
    <w:p w14:paraId="00100106" w14:textId="00100107">
      <w:pPr>
        <w:spacing w:after="120"/>
      </w:pPr>
      <w:r>
        <w:rPr>
          <w:sz w:val="22"/>
        </w:rPr>
        <w:t xml:space="preserve">The project follows the CRISP-DM (Cross-Industry Standard Process for Data Mining) framework, adapted for an AI-first implementation in Python. The end-to-end pipeline comprises seven sequential phases: (1) Data Ingestion, (2) Data Cleaning and Quality Assurance, (3) Exploratory Data Analysis, (4) Feature Engineering, (5) Model Training and Selection, (6) Model Evaluation and Interpretation, and (7) Business Insight Generation. Figure 1 illustrates the pipeline.</w:t>
      </w:r>
    </w:p>
    <w:p w14:paraId="00100108" w14:textId="00100109">
      <w:pPr>
        <w:spacing w:before="80" w:after="80"/>
        <w:jc w:val="center"/>
      </w:pPr>
      <w:r>
        <w:rPr>
          <w:i/>
          <w:color w:val="555555"/>
          <w:sz w:val="20"/>
        </w:rPr>
        <w:t xml:space="preserve">[Data Loading] -&gt; [Cleaning] -&gt; [EDA] -&gt; [Feature Engineering] -&gt; [Model Training] -&gt; [Evaluation] -&gt; [Insights &amp; Recommendations]</w:t>
      </w:r>
    </w:p>
    <w:p w14:paraId="0010010A" w14:textId="0010010B">
      <w:pPr>
        <w:spacing w:after="200"/>
        <w:jc w:val="center"/>
      </w:pPr>
      <w:r>
        <w:rPr>
          <w:i/>
          <w:sz w:val="18"/>
        </w:rPr>
        <w:t xml:space="preserve">Figure 1: End-to-End Machine Learning Pipeline (CRISP-DM Framework)</w:t>
      </w:r>
    </w:p>
    <w:p w14:paraId="0010010C" w14:textId="0010010D">
      <w:pPr>
        <w:pStyle w:val="Heading2"/>
        <w:spacing w:before="160" w:after="80"/>
      </w:pPr>
      <w:r>
        <w:rPr>
          <w:b/>
          <w:sz w:val="26"/>
        </w:rPr>
        <w:t xml:space="preserve">6.2 Tools and Technologies</w:t>
      </w:r>
    </w:p>
    <w:p w14:paraId="0010010E" w14:textId="0010010F">
      <w:pPr>
        <w:spacing w:after="160"/>
      </w:pPr>
      <w:r>
        <w:rPr>
          <w:sz w:val="22"/>
        </w:rPr>
        <w:t xml:space="preserve">All development was performed in Python 3.13 within a Jupyter Notebook environment. Table 3 summarises the primary libraries employed.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0" w14:textId="00100111">
            <w:r>
              <w:t xml:space="preserve">Library</w:t>
            </w:r>
          </w:p>
        </w:tc>
        <w:tc>
          <w:p w14:paraId="00100112" w14:textId="00100113">
            <w:r>
              <w:t xml:space="preserve">Version</w:t>
            </w:r>
          </w:p>
        </w:tc>
        <w:tc>
          <w:p w14:paraId="00100114" w14:textId="00100115">
            <w:r>
              <w:t xml:space="preserve">Purpose</w:t>
            </w:r>
          </w:p>
        </w:tc>
      </w:tr>
      <w:tr>
        <w:trPr/>
        <w:tc>
          <w:p w14:paraId="00100116" w14:textId="00100117">
            <w:r>
              <w:t xml:space="preserve">Python</w:t>
            </w:r>
          </w:p>
        </w:tc>
        <w:tc>
          <w:p w14:paraId="00100118" w14:textId="00100119">
            <w:r>
              <w:t xml:space="preserve">3.13</w:t>
            </w:r>
          </w:p>
        </w:tc>
        <w:tc>
          <w:p w14:paraId="0010011A" w14:textId="0010011B">
            <w:r>
              <w:t xml:space="preserve">Core programming language</w:t>
            </w:r>
          </w:p>
        </w:tc>
      </w:tr>
      <w:tr>
        <w:trPr/>
        <w:tc>
          <w:p w14:paraId="0010011C" w14:textId="0010011D">
            <w:r>
              <w:t xml:space="preserve">pandas</w:t>
            </w:r>
          </w:p>
        </w:tc>
        <w:tc>
          <w:p w14:paraId="0010011E" w14:textId="0010011F">
            <w:r>
              <w:t xml:space="preserve">3.0.6</w:t>
            </w:r>
          </w:p>
        </w:tc>
        <w:tc>
          <w:p w14:paraId="00100120" w14:textId="00100121">
            <w:r>
              <w:t xml:space="preserve">Data loading, manipulation, and aggregation</w:t>
            </w:r>
          </w:p>
        </w:tc>
      </w:tr>
      <w:tr>
        <w:trPr/>
        <w:tc>
          <w:p w14:paraId="00100122" w14:textId="00100123">
            <w:r>
              <w:t xml:space="preserve">NumPy</w:t>
            </w:r>
          </w:p>
        </w:tc>
        <w:tc>
          <w:p w14:paraId="00100124" w14:textId="00100125">
            <w:r>
              <w:t xml:space="preserve">2.4.2</w:t>
            </w:r>
          </w:p>
        </w:tc>
        <w:tc>
          <w:p w14:paraId="00100126" w14:textId="00100127">
            <w:r>
              <w:t xml:space="preserve">Numerical computation and array operations</w:t>
            </w:r>
          </w:p>
        </w:tc>
      </w:tr>
      <w:tr>
        <w:trPr/>
        <w:tc>
          <w:p w14:paraId="00100128" w14:textId="00100129">
            <w:r>
              <w:t xml:space="preserve">Matplotlib</w:t>
            </w:r>
          </w:p>
        </w:tc>
        <w:tc>
          <w:p w14:paraId="0010012A" w14:textId="0010012B">
            <w:r>
              <w:t xml:space="preserve">3.11.2</w:t>
            </w:r>
          </w:p>
        </w:tc>
        <w:tc>
          <w:p w14:paraId="0010012C" w14:textId="0010012D">
            <w:r>
              <w:t xml:space="preserve">Static and composite visualisation</w:t>
            </w:r>
          </w:p>
        </w:tc>
      </w:tr>
      <w:tr>
        <w:trPr/>
        <w:tc>
          <w:p w14:paraId="0010012E" w14:textId="0010012F">
            <w:r>
              <w:t xml:space="preserve">seaborn</w:t>
            </w:r>
          </w:p>
        </w:tc>
        <w:tc>
          <w:p w14:paraId="00100130" w14:textId="00100131">
            <w:r>
              <w:t xml:space="preserve">0.13.2</w:t>
            </w:r>
          </w:p>
        </w:tc>
        <w:tc>
          <w:p w14:paraId="00100132" w14:textId="00100133">
            <w:r>
              <w:t xml:space="preserve">Statistical visualisation (KDE, heatmaps, box plots)</w:t>
            </w:r>
          </w:p>
        </w:tc>
      </w:tr>
      <w:tr>
        <w:trPr/>
        <w:tc>
          <w:p w14:paraId="00100134" w14:textId="00100135">
            <w:r>
              <w:t xml:space="preserve">scikit-learn</w:t>
            </w:r>
          </w:p>
        </w:tc>
        <w:tc>
          <w:p w14:paraId="00100136" w14:textId="00100137">
            <w:r>
              <w:t xml:space="preserve">1.9.1</w:t>
            </w:r>
          </w:p>
        </w:tc>
        <w:tc>
          <w:p w14:paraId="00100138" w14:textId="00100139">
            <w:r>
              <w:t xml:space="preserve">ML models, preprocessing, and evaluation metrics</w:t>
            </w:r>
          </w:p>
        </w:tc>
      </w:tr>
      <w:tr>
        <w:trPr/>
        <w:tc>
          <w:p w14:paraId="0010013A" w14:textId="0010013B">
            <w:r>
              <w:t xml:space="preserve">Jupyter Notebook</w:t>
            </w:r>
          </w:p>
        </w:tc>
        <w:tc>
          <w:p w14:paraId="0010013C" w14:textId="0010013D">
            <w:r>
              <w:t xml:space="preserve">7.6.3</w:t>
            </w:r>
          </w:p>
        </w:tc>
        <w:tc>
          <w:p w14:paraId="0010013E" w14:textId="0010013F">
            <w:r>
              <w:t xml:space="preserve">Interactive development and reproducible analysis environment</w:t>
            </w:r>
          </w:p>
        </w:tc>
      </w:tr>
    </w:tbl>
    <w:p w14:paraId="00100140" w14:textId="00100141">
      <w:pPr>
        <w:spacing w:before="80" w:after="200"/>
        <w:jc w:val="center"/>
      </w:pPr>
      <w:r>
        <w:rPr>
          <w:i/>
          <w:sz w:val="18"/>
        </w:rPr>
        <w:t xml:space="preserve">Table 3: Technology Stack</w:t>
      </w:r>
    </w:p>
    <w:p w14:paraId="00100142" w14:textId="00100143">
      <w:pPr>
        <w:pStyle w:val="Heading2"/>
        <w:spacing w:before="160" w:after="80"/>
      </w:pPr>
      <w:r>
        <w:rPr>
          <w:b/>
          <w:sz w:val="26"/>
        </w:rPr>
        <w:t xml:space="preserve">6.3 Experimental Design</w:t>
      </w:r>
    </w:p>
    <w:p w14:paraId="00100144" w14:textId="00100145">
      <w:pPr>
        <w:spacing w:after="280"/>
      </w:pPr>
      <w:r>
        <w:rPr>
          <w:sz w:val="22"/>
        </w:rPr>
        <w:t xml:space="preserve">The 5,000-record dataset was divided into a stratified train-test split of 80% (4,000 records) for training and 20% (1,000 records) for testing, with a fixed random seed of 42 to ensure reproducibility. Stratification preserves the 50.3% churn rate in both splits. For tree-based ensemble models (Decision Tree, Random Forest, Gradient Boosting), raw unscaled features were used, as these algorithms are invariant to feature scale. For distance- and gradient-based models (Logistic Regression, SVM, KNN), features were standardised using scikit-learn's StandardScaler, which removes the mean and scales to unit variance. Model generalisation was further validated using stratified 5-fold cross-validation on the full dataset, reporting mean and standard deviation of ROC-AUC scores.</w:t>
      </w:r>
    </w:p>
    <w:p w14:paraId="00100146" w14:textId="00100147">
      <w:pPr>
        <w:pStyle w:val="Heading1"/>
        <w:spacing w:before="280" w:after="160"/>
      </w:pPr>
      <w:r>
        <w:rPr>
          <w:b/>
          <w:sz w:val="32"/>
        </w:rPr>
        <w:t xml:space="preserve">7. Data Preprocessing</w:t>
      </w:r>
    </w:p>
    <w:p w14:paraId="00100148" w14:textId="00100149">
      <w:pPr>
        <w:pStyle w:val="Heading2"/>
        <w:spacing w:before="160" w:after="80"/>
      </w:pPr>
      <w:r>
        <w:rPr>
          <w:b/>
          <w:sz w:val="26"/>
        </w:rPr>
        <w:t xml:space="preserve">7.1 Data Quality Assessment</w:t>
      </w:r>
    </w:p>
    <w:p w14:paraId="0010014A" w14:textId="0010014B">
      <w:pPr>
        <w:spacing w:after="120"/>
      </w:pPr>
      <w:r>
        <w:rPr>
          <w:sz w:val="22"/>
        </w:rPr>
        <w:t xml:space="preserve">The raw dataset was subjected to a systematic quality audit covering the following dimensions: (a) Missing Values — no null values were detected across all 14 columns, confirming complete data coverage; (b) Duplicate Records — zero duplicate rows were identified; (c) Data Type Validation — all numerical columns (age, watch_hours, last_login_days, monthly_fee, number_of_profiles, avg_watch_time_per_day) were confirmed as numeric dtypes; categorical columns were stored as object strings; the target variable (churned) was correctly typed as integer; (d) Range and Sanity Checks — all feature values fell within expected logical bounds.</w:t>
      </w:r>
    </w:p>
    <w:p w14:paraId="0010014C" w14:textId="0010014D">
      <w:pPr>
        <w:pStyle w:val="Heading2"/>
        <w:spacing w:before="160" w:after="80"/>
      </w:pPr>
      <w:r>
        <w:rPr>
          <w:b/>
          <w:sz w:val="26"/>
        </w:rPr>
        <w:t xml:space="preserve">7.2 Cleaning Steps Applied</w:t>
      </w:r>
    </w:p>
    <w:p w14:paraId="0010014E" w14:textId="0010014F">
      <w:pPr>
        <w:numPr>
          <w:ilvl w:val="0"/>
          <w:numId w:val="3"/>
        </w:numPr>
        <w:spacing w:after="80"/>
      </w:pPr>
      <w:r>
        <w:rPr>
          <w:sz w:val="22"/>
        </w:rPr>
        <w:t xml:space="preserve">Identifier removal: The customer_id column (UUID format) was dropped as it carries no predictive signal and would introduce spurious dimensionality if one-hot encoded.</w:t>
      </w:r>
    </w:p>
    <w:p w14:paraId="00100150" w14:textId="00100151">
      <w:pPr>
        <w:numPr>
          <w:ilvl w:val="0"/>
          <w:numId w:val="3"/>
        </w:numPr>
        <w:spacing w:after="80"/>
      </w:pPr>
      <w:r>
        <w:rPr>
          <w:sz w:val="22"/>
        </w:rPr>
        <w:t xml:space="preserve">Whitespace normalisation: Leading and trailing whitespace characters were stripped from all string-typed columns using a vectorised pandas operation to prevent category mismatch errors during grouping and encoding.</w:t>
      </w:r>
    </w:p>
    <w:p w14:paraId="00100152" w14:textId="00100153">
      <w:pPr>
        <w:numPr>
          <w:ilvl w:val="0"/>
          <w:numId w:val="3"/>
        </w:numPr>
        <w:spacing w:after="120"/>
      </w:pPr>
      <w:r>
        <w:rPr>
          <w:sz w:val="22"/>
        </w:rPr>
        <w:t xml:space="preserve">No imputation required: Given the absence of missing values, no mean/median/mode imputation was necessary.</w:t>
      </w:r>
    </w:p>
    <w:p w14:paraId="00100154" w14:textId="00100155">
      <w:pPr>
        <w:pStyle w:val="Heading2"/>
        <w:spacing w:before="160" w:after="80"/>
      </w:pPr>
      <w:r>
        <w:rPr>
          <w:b/>
          <w:sz w:val="26"/>
        </w:rPr>
        <w:t xml:space="preserve">7.3 Encoding Strategy</w:t>
      </w:r>
    </w:p>
    <w:p w14:paraId="00100156" w14:textId="00100157">
      <w:pPr>
        <w:spacing w:after="280"/>
      </w:pPr>
      <w:r>
        <w:rPr>
          <w:sz w:val="22"/>
        </w:rPr>
        <w:t xml:space="preserve">All eight categorical columns (gender, subscription_type, region, device, payment_method, favorite_genre, and the two engineered categorical features age_group and watch_segment) were encoded using scikit-learn's LabelEncoder prior to modelling. LabelEncoder was chosen over one-hot encoding because (a) tree-based models can handle integer-coded categories natively without introducing multicollinearity, and (b) the low cardinality of all categorical features (2–8 unique values each) means no meaningful distance distortion is introduced for the scaled models.</w:t>
      </w:r>
    </w:p>
    <w:p w14:paraId="00100158" w14:textId="00100159">
      <w:pPr>
        <w:pStyle w:val="Heading1"/>
        <w:spacing w:before="280" w:after="160"/>
      </w:pPr>
      <w:r>
        <w:rPr>
          <w:b/>
          <w:sz w:val="32"/>
        </w:rPr>
        <w:t xml:space="preserve">8. Exploratory Data Analysis (EDA)</w:t>
      </w:r>
    </w:p>
    <w:p w14:paraId="0010015A" w14:textId="0010015B">
      <w:pPr>
        <w:pStyle w:val="Heading2"/>
        <w:spacing w:before="160" w:after="80"/>
      </w:pPr>
      <w:r>
        <w:rPr>
          <w:b/>
          <w:sz w:val="26"/>
        </w:rPr>
        <w:t xml:space="preserve">8.1 Churn Rate Overview</w:t>
      </w:r>
    </w:p>
    <w:p w14:paraId="0010015C" w14:textId="0010015D">
      <w:pPr>
        <w:spacing w:after="120"/>
      </w:pPr>
      <w:r>
        <w:rPr>
          <w:sz w:val="22"/>
        </w:rPr>
        <w:t xml:space="preserve">The overall churn rate across the dataset is 50.3%, indicating that exactly half the subscriber base discontinued their subscription within the observation window. This unusually high churn rate (real-world streaming churn typically runs 5–15% annually) reflects the synthetic nature of the data and makes the classification problem inherently challenging, providing a rigorous test of model discrimination.</w:t>
      </w:r>
    </w:p>
    <w:p w14:paraId="0010015E" w14:textId="0010015F">
      <w:pPr>
        <w:pStyle w:val="Heading2"/>
        <w:spacing w:before="160" w:after="80"/>
      </w:pPr>
      <w:r>
        <w:rPr>
          <w:b/>
          <w:sz w:val="26"/>
        </w:rPr>
        <w:t xml:space="preserve">8.2 Numerical Feature Analysis</w:t>
      </w:r>
    </w:p>
    <w:p w14:paraId="00100160" w14:textId="00100161">
      <w:pPr>
        <w:spacing w:after="120"/>
      </w:pPr>
      <w:r>
        <w:rPr>
          <w:sz w:val="22"/>
        </w:rPr>
        <w:t xml:space="preserve">Histogram overlays and box plots comparing churned vs. retained customers across the six numerical features revealed the following patterns: (a) watch_hours — churned customers had markedly lower mean watch hours (~10 hrs) compared to retained customers (~20 hrs), confirming that low content consumption is a strong churn signal; (b) avg_watch_time_per_day — the single strongest individual numerical discriminator; churned customers averaged 0.35 hrs/day vs. 1.01 hrs/day for retained customers; (c) last_login_days — KDE analysis showed churned customers were more concentrated in the 30–90 day inactivity range, while retained customers were more prevalent in the 0–20 day range; (d) age, monthly_fee, and number_of_profiles exhibited broadly similar distributions between both classes, suggesting weaker direct predictive power individually, though they contribute through interaction effects captured by ensemble models.</w:t>
      </w:r>
    </w:p>
    <w:p w14:paraId="00100162" w14:textId="00100163">
      <w:pPr>
        <w:pStyle w:val="Heading2"/>
        <w:spacing w:before="160" w:after="80"/>
      </w:pPr>
      <w:r>
        <w:rPr>
          <w:b/>
          <w:sz w:val="26"/>
        </w:rPr>
        <w:t xml:space="preserve">8.3 Categorical Feature Analysis</w:t>
      </w:r>
    </w:p>
    <w:p w14:paraId="00100164" w14:textId="00100165">
      <w:pPr>
        <w:spacing w:after="120"/>
      </w:pPr>
      <w:r>
        <w:rPr>
          <w:sz w:val="22"/>
        </w:rPr>
        <w:t xml:space="preserve">Churn rates were computed for each unique value within every categorical feature. Key observations: Subscription Type — the Basic tier exhibited the highest churn rate, suggesting that price-sensitive customers who select entry-level plans are at greatest risk; Region — churn rates varied meaningfully across regions, with certain regions consistently showing elevated churn, indicating possible content localisation gaps or competitive substitution; Device — customers primarily streaming on certain device types showed elevated churn, pointing to potential UX friction points on those platforms; Payment Method — Gift Card and Crypto payment methods were associated with slightly higher churn rates, potentially indicating transient or exploratory subscribers; Favorite Genre — genres with less content depth on the platform correlated with higher churn, suggesting content investment opportunities; Gender — all three gender categories (Male, Female, Other) showed comparable churn rates, indicating gender is not a primary churn driver.</w:t>
      </w:r>
    </w:p>
    <w:p w14:paraId="00100166" w14:textId="00100167">
      <w:pPr>
        <w:pStyle w:val="Heading2"/>
        <w:spacing w:before="160" w:after="80"/>
      </w:pPr>
      <w:r>
        <w:rPr>
          <w:b/>
          <w:sz w:val="26"/>
        </w:rPr>
        <w:t xml:space="preserve">8.4 Correlation Analysis</w:t>
      </w:r>
    </w:p>
    <w:p w14:paraId="00100168" w14:textId="00100169">
      <w:pPr>
        <w:spacing w:after="280"/>
      </w:pPr>
      <w:r>
        <w:rPr>
          <w:sz w:val="22"/>
        </w:rPr>
        <w:t xml:space="preserve">A Pearson correlation heatmap of all numerical features against the churn target revealed: avg_watch_time_per_day was negatively correlated with churn (r = -0.51), the strongest direct linear relationship; watch_hours was moderately negatively correlated (r = -0.32); last_login_days was positively correlated with churn (r = +0.18), confirming that longer inactivity predicts higher churn risk; age, monthly_fee, and number_of_profiles showed weak correlations (|r| &lt; 0.10) with the target. The correlation matrix also confirmed that watch_hours and avg_watch_time_per_day are highly correlated with each other (r = +0.78), indicating some redundancy between them that ensemble feature importance can resolve.</w:t>
      </w:r>
    </w:p>
    <w:p w14:paraId="0010016A" w14:textId="0010016B">
      <w:pPr>
        <w:pStyle w:val="Heading1"/>
        <w:spacing w:before="280" w:after="160"/>
      </w:pPr>
      <w:r>
        <w:rPr>
          <w:b/>
          <w:sz w:val="32"/>
        </w:rPr>
        <w:t xml:space="preserve">9. Feature Engineering</w:t>
      </w:r>
    </w:p>
    <w:p w14:paraId="0010016C" w14:textId="0010016D">
      <w:pPr>
        <w:spacing w:after="160"/>
      </w:pPr>
      <w:r>
        <w:rPr>
          <w:sz w:val="22"/>
        </w:rPr>
        <w:t xml:space="preserve">Feature engineering transformed the 13 raw input variables into 18 final model features by creating 6 derived attributes. Each new feature was motivated by domain knowledge of streaming platform behaviour and validated through visual analysis of its relationship with the churn target.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6E" w14:textId="0010016F">
            <w:r>
              <w:t xml:space="preserve">Feature</w:t>
            </w:r>
          </w:p>
        </w:tc>
        <w:tc>
          <w:p w14:paraId="00100170" w14:textId="00100171">
            <w:r>
              <w:t xml:space="preserve">Formula / Method</w:t>
            </w:r>
          </w:p>
        </w:tc>
        <w:tc>
          <w:p w14:paraId="00100172" w14:textId="00100173">
            <w:r>
              <w:t xml:space="preserve">Type</w:t>
            </w:r>
          </w:p>
        </w:tc>
        <w:tc>
          <w:p w14:paraId="00100174" w14:textId="00100175">
            <w:r>
              <w:t xml:space="preserve">Rationale</w:t>
            </w:r>
          </w:p>
        </w:tc>
      </w:tr>
      <w:tr>
        <w:trPr/>
        <w:tc>
          <w:p w14:paraId="00100176" w14:textId="00100177">
            <w:r>
              <w:t xml:space="preserve">engagement_score</w:t>
            </w:r>
          </w:p>
        </w:tc>
        <w:tc>
          <w:p w14:paraId="00100178" w14:textId="00100179">
            <w:r>
              <w:t xml:space="preserve">watch_hours x 0.4 + avg_watch_time_per_day x 10 - last_login_days x 0.5</w:t>
            </w:r>
          </w:p>
        </w:tc>
        <w:tc>
          <w:p w14:paraId="0010017A" w14:textId="0010017B">
            <w:r>
              <w:t xml:space="preserve">Continuous</w:t>
            </w:r>
          </w:p>
        </w:tc>
        <w:tc>
          <w:p w14:paraId="0010017C" w14:textId="0010017D">
            <w:r>
              <w:t xml:space="preserve">Composite engagement index rewarding high consumption and penalising inactivity</w:t>
            </w:r>
          </w:p>
        </w:tc>
      </w:tr>
      <w:tr>
        <w:trPr/>
        <w:tc>
          <w:p w14:paraId="0010017E" w14:textId="0010017F">
            <w:r>
              <w:t xml:space="preserve">high_watcher</w:t>
            </w:r>
          </w:p>
        </w:tc>
        <w:tc>
          <w:p w14:paraId="00100180" w14:textId="00100181">
            <w:r>
              <w:t xml:space="preserve">1 if watch_hours &gt; median(watch_hours), else 0</w:t>
            </w:r>
          </w:p>
        </w:tc>
        <w:tc>
          <w:p w14:paraId="00100182" w14:textId="00100183">
            <w:r>
              <w:t xml:space="preserve">Binary</w:t>
            </w:r>
          </w:p>
        </w:tc>
        <w:tc>
          <w:p w14:paraId="00100184" w14:textId="00100185">
            <w:r>
              <w:t xml:space="preserve">Identifies customers above median content consumption — a proxy for platform embeddedness</w:t>
            </w:r>
          </w:p>
        </w:tc>
      </w:tr>
      <w:tr>
        <w:trPr/>
        <w:tc>
          <w:p w14:paraId="00100186" w14:textId="00100187">
            <w:r>
              <w:t xml:space="preserve">inactive_30d</w:t>
            </w:r>
          </w:p>
        </w:tc>
        <w:tc>
          <w:p w14:paraId="00100188" w14:textId="00100189">
            <w:r>
              <w:t xml:space="preserve">1 if last_login_days &gt;= 30, else 0</w:t>
            </w:r>
          </w:p>
        </w:tc>
        <w:tc>
          <w:p w14:paraId="0010018A" w14:textId="0010018B">
            <w:r>
              <w:t xml:space="preserve">Binary</w:t>
            </w:r>
          </w:p>
        </w:tc>
        <w:tc>
          <w:p w14:paraId="0010018C" w14:textId="0010018D">
            <w:r>
              <w:t xml:space="preserve">Early warning flag for disengagement; 30 days without login is a strong churn precursor</w:t>
            </w:r>
          </w:p>
        </w:tc>
      </w:tr>
      <w:tr>
        <w:trPr/>
        <w:tc>
          <w:p w14:paraId="0010018E" w14:textId="0010018F">
            <w:r>
              <w:t xml:space="preserve">age_group</w:t>
            </w:r>
          </w:p>
        </w:tc>
        <w:tc>
          <w:p w14:paraId="00100190" w14:textId="00100191">
            <w:r>
              <w:t xml:space="preserve">pd.cut into 5 bins: &lt;25, 25-35, 35-45, 45-55, 55+</w:t>
            </w:r>
          </w:p>
        </w:tc>
        <w:tc>
          <w:p w14:paraId="00100192" w14:textId="00100193">
            <w:r>
              <w:t xml:space="preserve">Ordinal</w:t>
            </w:r>
          </w:p>
        </w:tc>
        <w:tc>
          <w:p w14:paraId="00100194" w14:textId="00100195">
            <w:r>
              <w:t xml:space="preserve">Captures non-linear age effects; lifecycle stage may influence viewing patterns and price sensitivity</w:t>
            </w:r>
          </w:p>
        </w:tc>
      </w:tr>
      <w:tr>
        <w:trPr/>
        <w:tc>
          <w:p w14:paraId="00100196" w14:textId="00100197">
            <w:r>
              <w:t xml:space="preserve">fee_per_profile</w:t>
            </w:r>
          </w:p>
        </w:tc>
        <w:tc>
          <w:p w14:paraId="00100198" w14:textId="00100199">
            <w:r>
              <w:t xml:space="preserve">monthly_fee / number_of_profiles</w:t>
            </w:r>
          </w:p>
        </w:tc>
        <w:tc>
          <w:p w14:paraId="0010019A" w14:textId="0010019B">
            <w:r>
              <w:t xml:space="preserve">Continuous</w:t>
            </w:r>
          </w:p>
        </w:tc>
        <w:tc>
          <w:p w14:paraId="0010019C" w14:textId="0010019D">
            <w:r>
              <w:t xml:space="preserve">Measures per-user cost efficiency; lower values indicate better value perception</w:t>
            </w:r>
          </w:p>
        </w:tc>
      </w:tr>
      <w:tr>
        <w:trPr/>
        <w:tc>
          <w:p w14:paraId="0010019E" w14:textId="0010019F">
            <w:r>
              <w:t xml:space="preserve">watch_segment</w:t>
            </w:r>
          </w:p>
        </w:tc>
        <w:tc>
          <w:p w14:paraId="001001A0" w14:textId="001001A1">
            <w:r>
              <w:t xml:space="preserve">pd.qcut into 4 quartile-based bins</w:t>
            </w:r>
          </w:p>
        </w:tc>
        <w:tc>
          <w:p w14:paraId="001001A2" w14:textId="001001A3">
            <w:r>
              <w:t xml:space="preserve">Ordinal</w:t>
            </w:r>
          </w:p>
        </w:tc>
        <w:tc>
          <w:p w14:paraId="001001A4" w14:textId="001001A5">
            <w:r>
              <w:t xml:space="preserve">Groups customers by consumption quartile: Low / Medium / High / Very High</w:t>
            </w:r>
          </w:p>
        </w:tc>
      </w:tr>
      <w:tr>
        <w:trPr/>
        <w:tc>
          <w:p w14:paraId="001001A6" w14:textId="001001A7">
            <w:r>
              <w:t xml:space="preserve">(All original 12 features)</w:t>
            </w:r>
          </w:p>
        </w:tc>
        <w:tc>
          <w:p w14:paraId="001001A8" w14:textId="001001A9">
            <w:r>
              <w:t xml:space="preserve">Passed through unchanged</w:t>
            </w:r>
          </w:p>
        </w:tc>
        <w:tc>
          <w:p w14:paraId="001001AA" w14:textId="001001AB">
            <w:r>
              <w:t xml:space="preserve">Mixed</w:t>
            </w:r>
          </w:p>
        </w:tc>
        <w:tc>
          <w:p w14:paraId="001001AC" w14:textId="001001AD">
            <w:r>
              <w:t xml:space="preserve">Raw features retained to allow models to learn from base signals directly</w:t>
            </w:r>
          </w:p>
        </w:tc>
      </w:tr>
    </w:tbl>
    <w:p w14:paraId="001001AE" w14:textId="001001AF">
      <w:pPr>
        <w:spacing w:before="80" w:after="200"/>
        <w:jc w:val="center"/>
      </w:pPr>
      <w:r>
        <w:rPr>
          <w:i/>
          <w:sz w:val="18"/>
        </w:rPr>
        <w:t xml:space="preserve">Table 4: Engineered Features</w:t>
      </w:r>
    </w:p>
    <w:p w14:paraId="001001B0" w14:textId="001001B1">
      <w:pPr>
        <w:spacing w:after="280"/>
      </w:pPr>
      <w:r>
        <w:rPr>
          <w:sz w:val="22"/>
        </w:rPr>
        <w:t xml:space="preserve">Engagement Score was the most analytically valuable engineered feature. Customers in the bottom quartile of engagement_score churned at over twice the rate of those in the top quartile, demonstrating that the composite signal carries substantially more predictive power than any single raw feature alone. The inactivity flag (inactive_30d) produced the sharpest binary churn rate differential: customers inactive for 30 or more days showed a churn rate approximately 1.8 times higher than active customers. The watch_segment quartile grouping revealed a clear monotonic relationship — churn rate decreases consistently from the Low segment to the Very High segment, confirming a strong dose-response relationship between content consumption and retention.</w:t>
      </w:r>
    </w:p>
    <w:p w14:paraId="001001B2" w14:textId="001001B3">
      <w:pPr>
        <w:pStyle w:val="Heading1"/>
        <w:spacing w:before="280" w:after="160"/>
      </w:pPr>
      <w:r>
        <w:rPr>
          <w:b/>
          <w:sz w:val="32"/>
        </w:rPr>
        <w:t xml:space="preserve">10. Machine Learning Models</w:t>
      </w:r>
    </w:p>
    <w:p w14:paraId="001001B4" w14:textId="001001B5">
      <w:pPr>
        <w:spacing w:after="160"/>
      </w:pPr>
      <w:r>
        <w:rPr>
          <w:sz w:val="22"/>
        </w:rPr>
        <w:t xml:space="preserve">Six supervised classification algorithms were trained and evaluated. Each model was selected to represent a distinct algorithmic family, enabling a comprehensive comparison of linear, tree-based, kernel-based, and instance-based approaches to churn prediction.</w:t>
      </w:r>
    </w:p>
    <w:p w14:paraId="001001B6" w14:textId="001001B7">
      <w:pPr>
        <w:pStyle w:val="Heading2"/>
        <w:spacing w:before="160" w:after="80"/>
      </w:pPr>
      <w:r>
        <w:rPr>
          <w:b/>
          <w:sz w:val="26"/>
        </w:rPr>
        <w:t xml:space="preserve">10.1 Logistic Regression</w:t>
      </w:r>
    </w:p>
    <w:p w14:paraId="001001B8" w14:textId="001001B9">
      <w:pPr>
        <w:spacing w:after="120"/>
      </w:pPr>
      <w:r>
        <w:rPr>
          <w:sz w:val="22"/>
        </w:rPr>
        <w:t xml:space="preserve">Logistic Regression serves as the interpretable linear baseline. It models the log-odds of churn as a linear combination of input features, producing probability estimates via the sigmoid function. Key hyperparameters: max_iter = 500, solver = lbfgs, C = 1.0 (default regularisation). Features were standardised prior to training. The model's coefficients provide direct interpretability — features with large positive coefficients increase churn probability, while negative coefficients indicate protective factors against churn.</w:t>
      </w:r>
    </w:p>
    <w:p w14:paraId="001001BA" w14:textId="001001BB">
      <w:pPr>
        <w:pStyle w:val="Heading2"/>
        <w:spacing w:before="160" w:after="80"/>
      </w:pPr>
      <w:r>
        <w:rPr>
          <w:b/>
          <w:sz w:val="26"/>
        </w:rPr>
        <w:t xml:space="preserve">10.2 Decision Tree</w:t>
      </w:r>
    </w:p>
    <w:p w14:paraId="001001BC" w14:textId="001001BD">
      <w:pPr>
        <w:spacing w:after="120"/>
      </w:pPr>
      <w:r>
        <w:rPr>
          <w:sz w:val="22"/>
        </w:rPr>
        <w:t xml:space="preserve">A single Decision Tree classifier was included as a fully interpretable non-linear model. It learns axis-aligned binary splits on feature values to partition the data. Hyperparameter: max_depth = 6, which prevents overfitting while retaining sufficient capacity to capture meaningful feature interactions. Decision Trees are scale-invariant and were trained on unscaled features.</w:t>
      </w:r>
    </w:p>
    <w:p w14:paraId="001001BE" w14:textId="001001BF">
      <w:pPr>
        <w:pStyle w:val="Heading2"/>
        <w:spacing w:before="160" w:after="80"/>
      </w:pPr>
      <w:r>
        <w:rPr>
          <w:b/>
          <w:sz w:val="26"/>
        </w:rPr>
        <w:t xml:space="preserve">10.3 Random Forest</w:t>
      </w:r>
    </w:p>
    <w:p w14:paraId="001001C0" w14:textId="001001C1">
      <w:pPr>
        <w:spacing w:after="120"/>
      </w:pPr>
      <w:r>
        <w:rPr>
          <w:sz w:val="22"/>
        </w:rPr>
        <w:t xml:space="preserve">Random Forest is a bagging ensemble of 200 decision trees, each trained on a bootstrapped sample with random feature subsets at each split (max_depth = 10). This combination of data diversification and feature randomness reduces variance substantially compared to a single tree, making it robust to noise and overfitting. Feature importances are computed as the mean decrease in Gini impurity across all trees, providing a reliable signal of global feature relevance. Parallelised training was used (n_jobs = -1).</w:t>
      </w:r>
    </w:p>
    <w:p w14:paraId="001001C2" w14:textId="001001C3">
      <w:pPr>
        <w:pStyle w:val="Heading2"/>
        <w:spacing w:before="160" w:after="80"/>
      </w:pPr>
      <w:r>
        <w:rPr>
          <w:b/>
          <w:sz w:val="26"/>
        </w:rPr>
        <w:t xml:space="preserve">10.4 Gradient Boosting</w:t>
      </w:r>
    </w:p>
    <w:p w14:paraId="001001C4" w14:textId="001001C5">
      <w:pPr>
        <w:spacing w:after="120"/>
      </w:pPr>
      <w:r>
        <w:rPr>
          <w:sz w:val="22"/>
        </w:rPr>
        <w:t xml:space="preserve">Gradient Boosting is a sequential boosting ensemble of 200 shallow trees (max_depth = 5), with a learning rate of 0.08. Each new tree corrects the residual errors of the previous ensemble by minimising a differentiable loss function (binary cross-entropy). This iterative error correction mechanism makes Gradient Boosting among the most powerful tabular ML algorithms available, consistently achieving state-of-the-art results on structured datasets. It was the best-performing model in this study with a ROC-AUC of 0.998.</w:t>
      </w:r>
    </w:p>
    <w:p w14:paraId="001001C6" w14:textId="001001C7">
      <w:pPr>
        <w:pStyle w:val="Heading2"/>
        <w:spacing w:before="160" w:after="80"/>
      </w:pPr>
      <w:r>
        <w:rPr>
          <w:b/>
          <w:sz w:val="26"/>
        </w:rPr>
        <w:t xml:space="preserve">10.5 Support Vector Machine (SVM)</w:t>
      </w:r>
    </w:p>
    <w:p w14:paraId="001001C8" w14:textId="001001C9">
      <w:pPr>
        <w:spacing w:after="120"/>
      </w:pPr>
      <w:r>
        <w:rPr>
          <w:sz w:val="22"/>
        </w:rPr>
        <w:t xml:space="preserve">The SVM with RBF (Radial Basis Function) kernel finds the maximum-margin hyperplane in a high-dimensional feature space, implicitly defined by the kernel function. It is well-suited to binary classification tasks with non-linear decision boundaries. SVM requires feature standardisation (applied), and probability calibration was enabled (probability=True) via Platt scaling to generate ROC-AUC-compatible probability estimates.</w:t>
      </w:r>
    </w:p>
    <w:p w14:paraId="001001CA" w14:textId="001001CB">
      <w:pPr>
        <w:pStyle w:val="Heading2"/>
        <w:spacing w:before="160" w:after="80"/>
      </w:pPr>
      <w:r>
        <w:rPr>
          <w:b/>
          <w:sz w:val="26"/>
        </w:rPr>
        <w:t xml:space="preserve">10.6 K-Nearest Neighbours (KNN)</w:t>
      </w:r>
    </w:p>
    <w:p w14:paraId="001001CC" w14:textId="001001CD">
      <w:pPr>
        <w:spacing w:after="280"/>
      </w:pPr>
      <w:r>
        <w:rPr>
          <w:sz w:val="22"/>
        </w:rPr>
        <w:t xml:space="preserve">KNN is a non-parametric, lazy-learning algorithm that classifies each test instance based on the majority class among its k nearest neighbours in feature space (k = 7). It is highly sensitive to feature scaling (applied) and can capture local data structures that global models miss. It served as a useful lower-bound comparison for the ensemble methods.</w:t>
      </w:r>
    </w:p>
    <w:p w14:paraId="001001CE" w14:textId="001001CF">
      <w:pPr>
        <w:pStyle w:val="Heading1"/>
        <w:spacing w:before="280" w:after="160"/>
      </w:pPr>
      <w:r>
        <w:rPr>
          <w:b/>
          <w:sz w:val="32"/>
        </w:rPr>
        <w:t xml:space="preserve">11. Evaluation Metrics</w:t>
      </w:r>
    </w:p>
    <w:p w14:paraId="001001D0" w14:textId="001001D1">
      <w:pPr>
        <w:spacing w:after="160"/>
      </w:pPr>
      <w:r>
        <w:rPr>
          <w:sz w:val="22"/>
        </w:rPr>
        <w:t xml:space="preserve">Five complementary metrics were used to evaluate model performance. Each captures a distinct aspect of classifier behaviour, providing a comprehensive and nuanced assessment.</w:t>
      </w:r>
    </w:p>
    <w:p w14:paraId="001001D2" w14:textId="001001D3">
      <w:pPr>
        <w:numPr>
          <w:ilvl w:val="0"/>
          <w:numId w:val="4"/>
        </w:numPr>
        <w:spacing w:after="80"/>
      </w:pPr>
      <w:r>
        <w:rPr>
          <w:sz w:val="22"/>
        </w:rPr>
        <w:t xml:space="preserve">Accuracy (ACC): Proportion of total predictions that are correct: ACC = (TP + TN) / (TP + TN + FP + FN). Appropriate for balanced datasets such as ours. A model that randomly guesses achieves 50% accuracy; hence, models must significantly exceed this baseline.</w:t>
      </w:r>
    </w:p>
    <w:p w14:paraId="001001D4" w14:textId="001001D5">
      <w:pPr>
        <w:numPr>
          <w:ilvl w:val="0"/>
          <w:numId w:val="4"/>
        </w:numPr>
        <w:spacing w:after="80"/>
      </w:pPr>
      <w:r>
        <w:rPr>
          <w:sz w:val="22"/>
        </w:rPr>
        <w:t xml:space="preserve">Precision: Of all customers predicted to churn, what fraction actually churned: Precision = TP / (TP + FP). High precision minimises false alarms, ensuring retention resources are directed at genuinely at-risk customers.</w:t>
      </w:r>
    </w:p>
    <w:p w14:paraId="001001D6" w14:textId="001001D7">
      <w:pPr>
        <w:numPr>
          <w:ilvl w:val="0"/>
          <w:numId w:val="4"/>
        </w:numPr>
        <w:spacing w:after="80"/>
      </w:pPr>
      <w:r>
        <w:rPr>
          <w:sz w:val="22"/>
        </w:rPr>
        <w:t xml:space="preserve">Recall (Sensitivity): Of all customers who actually churned, what fraction did the model correctly identify: Recall = TP / (TP + FN). High recall minimises missed churners. In a business context, missing a churner (false negative) is typically more costly than a false alarm.</w:t>
      </w:r>
    </w:p>
    <w:p w14:paraId="001001D8" w14:textId="001001D9">
      <w:pPr>
        <w:numPr>
          <w:ilvl w:val="0"/>
          <w:numId w:val="4"/>
        </w:numPr>
        <w:spacing w:after="80"/>
      </w:pPr>
      <w:r>
        <w:rPr>
          <w:sz w:val="22"/>
        </w:rPr>
        <w:t xml:space="preserve">F1-Score: The harmonic mean of Precision and Recall: F1 = 2 x (Precision x Recall) / (Precision + Recall). Provides a single balanced measure that penalises extreme imbalances between precision and recall.</w:t>
      </w:r>
    </w:p>
    <w:p w14:paraId="001001DA" w14:textId="001001DB">
      <w:pPr>
        <w:numPr>
          <w:ilvl w:val="0"/>
          <w:numId w:val="4"/>
        </w:numPr>
        <w:spacing w:after="280"/>
      </w:pPr>
      <w:r>
        <w:rPr>
          <w:sz w:val="22"/>
        </w:rPr>
        <w:t xml:space="preserve">ROC-AUC (Area Under the Receiver Operating Characteristic Curve): Measures the model's ability to discriminate between classes across all possible classification thresholds. AUC = 1.0 indicates perfect discrimination; AUC = 0.5 indicates random performance. ROC-AUC is the primary ranking metric used to select the best model in this study, as it is threshold-independent and robust to class imbalance.</w:t>
      </w:r>
    </w:p>
    <w:p w14:paraId="001001DC" w14:textId="001001DD">
      <w:pPr>
        <w:pStyle w:val="Heading1"/>
        <w:spacing w:before="280" w:after="160"/>
      </w:pPr>
      <w:r>
        <w:rPr>
          <w:b/>
          <w:sz w:val="32"/>
        </w:rPr>
        <w:t xml:space="preserve">12. Results &amp; Model Performance</w:t>
      </w:r>
    </w:p>
    <w:p w14:paraId="001001DE" w14:textId="001001DF">
      <w:pPr>
        <w:pStyle w:val="Heading2"/>
        <w:spacing w:before="160" w:after="80"/>
      </w:pPr>
      <w:r>
        <w:rPr>
          <w:b/>
          <w:sz w:val="26"/>
        </w:rPr>
        <w:t xml:space="preserve">12.1 Comparative Performance Summary</w:t>
      </w:r>
    </w:p>
    <w:p w14:paraId="001001E0" w14:textId="001001E1">
      <w:pPr>
        <w:spacing w:after="160"/>
      </w:pPr>
      <w:r>
        <w:rPr>
          <w:sz w:val="22"/>
        </w:rPr>
        <w:t xml:space="preserve">Table 5 presents the test-set performance of all six models, ranked by ROC-AUC in descending order.</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E2" w14:textId="001001E3">
            <w:r>
              <w:t xml:space="preserve">Model</w:t>
            </w:r>
          </w:p>
        </w:tc>
        <w:tc>
          <w:p w14:paraId="001001E4" w14:textId="001001E5">
            <w:r>
              <w:t xml:space="preserve">Accuracy</w:t>
            </w:r>
          </w:p>
        </w:tc>
        <w:tc>
          <w:p w14:paraId="001001E6" w14:textId="001001E7">
            <w:r>
              <w:t xml:space="preserve">Precision</w:t>
            </w:r>
          </w:p>
        </w:tc>
        <w:tc>
          <w:p w14:paraId="001001E8" w14:textId="001001E9">
            <w:r>
              <w:t xml:space="preserve">Recall</w:t>
            </w:r>
          </w:p>
        </w:tc>
        <w:tc>
          <w:p w14:paraId="001001EA" w14:textId="001001EB">
            <w:r>
              <w:t xml:space="preserve">F1-Score</w:t>
            </w:r>
          </w:p>
        </w:tc>
        <w:tc>
          <w:p w14:paraId="001001EC" w14:textId="001001ED">
            <w:r>
              <w:t xml:space="preserve">ROC-AUC</w:t>
            </w:r>
          </w:p>
        </w:tc>
      </w:tr>
      <w:tr>
        <w:trPr/>
        <w:tc>
          <w:p w14:paraId="001001EE" w14:textId="001001EF">
            <w:r>
              <w:t xml:space="preserve">Gradient Boosting</w:t>
            </w:r>
          </w:p>
        </w:tc>
        <w:tc>
          <w:p w14:paraId="001001F0" w14:textId="001001F1">
            <w:r>
              <w:t xml:space="preserve">0.989</w:t>
            </w:r>
          </w:p>
        </w:tc>
        <w:tc>
          <w:p w14:paraId="001001F2" w14:textId="001001F3">
            <w:r>
              <w:t xml:space="preserve">0.990</w:t>
            </w:r>
          </w:p>
        </w:tc>
        <w:tc>
          <w:p w14:paraId="001001F4" w14:textId="001001F5">
            <w:r>
              <w:t xml:space="preserve">0.989</w:t>
            </w:r>
          </w:p>
        </w:tc>
        <w:tc>
          <w:p w14:paraId="001001F6" w14:textId="001001F7">
            <w:r>
              <w:t xml:space="preserve">0.989</w:t>
            </w:r>
          </w:p>
        </w:tc>
        <w:tc>
          <w:p w14:paraId="001001F8" w14:textId="001001F9">
            <w:r>
              <w:t xml:space="preserve">0.998</w:t>
            </w:r>
          </w:p>
        </w:tc>
      </w:tr>
      <w:tr>
        <w:trPr/>
        <w:tc>
          <w:p w14:paraId="001001FA" w14:textId="001001FB">
            <w:r>
              <w:t xml:space="preserve">Random Forest</w:t>
            </w:r>
          </w:p>
        </w:tc>
        <w:tc>
          <w:p w14:paraId="001001FC" w14:textId="001001FD">
            <w:r>
              <w:t xml:space="preserve">0.963</w:t>
            </w:r>
          </w:p>
        </w:tc>
        <w:tc>
          <w:p w14:paraId="001001FE" w14:textId="001001FF">
            <w:r>
              <w:t xml:space="preserve">0.964</w:t>
            </w:r>
          </w:p>
        </w:tc>
        <w:tc>
          <w:p w14:paraId="00100200" w14:textId="00100201">
            <w:r>
              <w:t xml:space="preserve">0.963</w:t>
            </w:r>
          </w:p>
        </w:tc>
        <w:tc>
          <w:p w14:paraId="00100202" w14:textId="00100203">
            <w:r>
              <w:t xml:space="preserve">0.963</w:t>
            </w:r>
          </w:p>
        </w:tc>
        <w:tc>
          <w:p w14:paraId="00100204" w14:textId="00100205">
            <w:r>
              <w:t xml:space="preserve">0.995</w:t>
            </w:r>
          </w:p>
        </w:tc>
      </w:tr>
      <w:tr>
        <w:trPr/>
        <w:tc>
          <w:p w14:paraId="00100206" w14:textId="00100207">
            <w:r>
              <w:t xml:space="preserve">Decision Tree</w:t>
            </w:r>
          </w:p>
        </w:tc>
        <w:tc>
          <w:p w14:paraId="00100208" w14:textId="00100209">
            <w:r>
              <w:t xml:space="preserve">0.926</w:t>
            </w:r>
          </w:p>
        </w:tc>
        <w:tc>
          <w:p w14:paraId="0010020A" w14:textId="0010020B">
            <w:r>
              <w:t xml:space="preserve">0.926</w:t>
            </w:r>
          </w:p>
        </w:tc>
        <w:tc>
          <w:p w14:paraId="0010020C" w14:textId="0010020D">
            <w:r>
              <w:t xml:space="preserve">0.925</w:t>
            </w:r>
          </w:p>
        </w:tc>
        <w:tc>
          <w:p w14:paraId="0010020E" w14:textId="0010020F">
            <w:r>
              <w:t xml:space="preserve">0.925</w:t>
            </w:r>
          </w:p>
        </w:tc>
        <w:tc>
          <w:p w14:paraId="00100210" w14:textId="00100211">
            <w:r>
              <w:t xml:space="preserve">0.971</w:t>
            </w:r>
          </w:p>
        </w:tc>
      </w:tr>
      <w:tr>
        <w:trPr/>
        <w:tc>
          <w:p w14:paraId="00100212" w14:textId="00100213">
            <w:r>
              <w:t xml:space="preserve">SVM (RBF)</w:t>
            </w:r>
          </w:p>
        </w:tc>
        <w:tc>
          <w:p w14:paraId="00100214" w14:textId="00100215">
            <w:r>
              <w:t xml:space="preserve">0.906</w:t>
            </w:r>
          </w:p>
        </w:tc>
        <w:tc>
          <w:p w14:paraId="00100216" w14:textId="00100217">
            <w:r>
              <w:t xml:space="preserve">0.907</w:t>
            </w:r>
          </w:p>
        </w:tc>
        <w:tc>
          <w:p w14:paraId="00100218" w14:textId="00100219">
            <w:r>
              <w:t xml:space="preserve">0.906</w:t>
            </w:r>
          </w:p>
        </w:tc>
        <w:tc>
          <w:p w14:paraId="0010021A" w14:textId="0010021B">
            <w:r>
              <w:t xml:space="preserve">0.906</w:t>
            </w:r>
          </w:p>
        </w:tc>
        <w:tc>
          <w:p w14:paraId="0010021C" w14:textId="0010021D">
            <w:r>
              <w:t xml:space="preserve">0.972</w:t>
            </w:r>
          </w:p>
        </w:tc>
      </w:tr>
      <w:tr>
        <w:trPr/>
        <w:tc>
          <w:p w14:paraId="0010021E" w14:textId="0010021F">
            <w:r>
              <w:t xml:space="preserve">Logistic Regression</w:t>
            </w:r>
          </w:p>
        </w:tc>
        <w:tc>
          <w:p w14:paraId="00100220" w14:textId="00100221">
            <w:r>
              <w:t xml:space="preserve">0.895</w:t>
            </w:r>
          </w:p>
        </w:tc>
        <w:tc>
          <w:p w14:paraId="00100222" w14:textId="00100223">
            <w:r>
              <w:t xml:space="preserve">0.896</w:t>
            </w:r>
          </w:p>
        </w:tc>
        <w:tc>
          <w:p w14:paraId="00100224" w14:textId="00100225">
            <w:r>
              <w:t xml:space="preserve">0.895</w:t>
            </w:r>
          </w:p>
        </w:tc>
        <w:tc>
          <w:p w14:paraId="00100226" w14:textId="00100227">
            <w:r>
              <w:t xml:space="preserve">0.896</w:t>
            </w:r>
          </w:p>
        </w:tc>
        <w:tc>
          <w:p w14:paraId="00100228" w14:textId="00100229">
            <w:r>
              <w:t xml:space="preserve">0.966</w:t>
            </w:r>
          </w:p>
        </w:tc>
      </w:tr>
      <w:tr>
        <w:trPr/>
        <w:tc>
          <w:p w14:paraId="0010022A" w14:textId="0010022B">
            <w:r>
              <w:t xml:space="preserve">K-Nearest Neighbours</w:t>
            </w:r>
          </w:p>
        </w:tc>
        <w:tc>
          <w:p w14:paraId="0010022C" w14:textId="0010022D">
            <w:r>
              <w:t xml:space="preserve">0.865</w:t>
            </w:r>
          </w:p>
        </w:tc>
        <w:tc>
          <w:p w14:paraId="0010022E" w14:textId="0010022F">
            <w:r>
              <w:t xml:space="preserve">0.865</w:t>
            </w:r>
          </w:p>
        </w:tc>
        <w:tc>
          <w:p w14:paraId="00100230" w14:textId="00100231">
            <w:r>
              <w:t xml:space="preserve">0.866</w:t>
            </w:r>
          </w:p>
        </w:tc>
        <w:tc>
          <w:p w14:paraId="00100232" w14:textId="00100233">
            <w:r>
              <w:t xml:space="preserve">0.866</w:t>
            </w:r>
          </w:p>
        </w:tc>
        <w:tc>
          <w:p w14:paraId="00100234" w14:textId="00100235">
            <w:r>
              <w:t xml:space="preserve">0.943</w:t>
            </w:r>
          </w:p>
        </w:tc>
      </w:tr>
      <w:tr>
        <w:trPr/>
        <w:tc>
          <w:p w14:paraId="00100236" w14:textId="00100237">
            <w:r>
              <w:t xml:space="preserve">Random Classifier (Baseline)</w:t>
            </w:r>
          </w:p>
        </w:tc>
        <w:tc>
          <w:p w14:paraId="00100238" w14:textId="00100239">
            <w:r>
              <w:t xml:space="preserve">0.500</w:t>
            </w:r>
          </w:p>
        </w:tc>
        <w:tc>
          <w:p w14:paraId="0010023A" w14:textId="0010023B">
            <w:r>
              <w:t xml:space="preserve">0.500</w:t>
            </w:r>
          </w:p>
        </w:tc>
        <w:tc>
          <w:p w14:paraId="0010023C" w14:textId="0010023D">
            <w:r>
              <w:t xml:space="preserve">0.500</w:t>
            </w:r>
          </w:p>
        </w:tc>
        <w:tc>
          <w:p w14:paraId="0010023E" w14:textId="0010023F">
            <w:r>
              <w:t xml:space="preserve">0.500</w:t>
            </w:r>
          </w:p>
        </w:tc>
        <w:tc>
          <w:p w14:paraId="00100240" w14:textId="00100241">
            <w:r>
              <w:t xml:space="preserve">0.500</w:t>
            </w:r>
          </w:p>
        </w:tc>
      </w:tr>
    </w:tbl>
    <w:p w14:paraId="00100242" w14:textId="00100243">
      <w:pPr>
        <w:spacing w:before="80" w:after="200"/>
        <w:jc w:val="center"/>
      </w:pPr>
      <w:r>
        <w:rPr>
          <w:i/>
          <w:sz w:val="18"/>
        </w:rPr>
        <w:t xml:space="preserve">Table 5: Model Performance Comparison (Test Set, n = 1,000)</w:t>
      </w:r>
    </w:p>
    <w:p w14:paraId="00100244" w14:textId="00100245">
      <w:pPr>
        <w:pStyle w:val="Heading2"/>
        <w:spacing w:before="160" w:after="80"/>
      </w:pPr>
      <w:r>
        <w:rPr>
          <w:b/>
          <w:sz w:val="26"/>
        </w:rPr>
        <w:t xml:space="preserve">12.2 Best Model Analysis — Gradient Boosting</w:t>
      </w:r>
    </w:p>
    <w:p w14:paraId="00100246" w14:textId="00100247">
      <w:pPr>
        <w:spacing w:after="120"/>
      </w:pPr>
      <w:r>
        <w:rPr>
          <w:sz w:val="22"/>
        </w:rPr>
        <w:t xml:space="preserve">The Gradient Boosting classifier achieved the highest performance across all five metrics, with an ROC-AUC of 0.998 and an F1-score of 0.989. These results indicate near-perfect discrimination: on the 1,000-record test set, the model correctly classified approximately 989 out of 1,000 customers, misclassifying only around 11 records (approximately 5–6 false positives and 5–6 false negatives per class). The confusion matrix showed a highly concentrated diagonal, confirming that both retained and churned customers are identified with very high fidelity.</w:t>
      </w:r>
    </w:p>
    <w:p w14:paraId="00100248" w14:textId="00100249">
      <w:pPr>
        <w:pStyle w:val="Heading2"/>
        <w:spacing w:before="160" w:after="80"/>
      </w:pPr>
      <w:r>
        <w:rPr>
          <w:b/>
          <w:sz w:val="26"/>
        </w:rPr>
        <w:t xml:space="preserve">12.3 Cross-Validation Results</w:t>
      </w:r>
    </w:p>
    <w:p w14:paraId="0010024A" w14:textId="0010024B">
      <w:pPr>
        <w:spacing w:after="120"/>
      </w:pPr>
      <w:r>
        <w:rPr>
          <w:sz w:val="22"/>
        </w:rPr>
        <w:t xml:space="preserve">Stratified 5-fold cross-validation on the full 5,000-record dataset confirmed model stability. The Gradient Boosting model achieved a mean ROC-AUC of 0.997 (std = 0.001) across all five folds, demonstrating that the high test-set performance is not an artefact of a favourable train-test split but reflects genuine generalisation to unseen data. The Random Forest model similarly achieved a stable 5-fold AUC of 0.994 (std = 0.002), confirming ensemble methods' robustness.</w:t>
      </w:r>
    </w:p>
    <w:p w14:paraId="0010024C" w14:textId="0010024D">
      <w:pPr>
        <w:pStyle w:val="Heading2"/>
        <w:spacing w:before="160" w:after="80"/>
      </w:pPr>
      <w:r>
        <w:rPr>
          <w:b/>
          <w:sz w:val="26"/>
        </w:rPr>
        <w:t xml:space="preserve">12.4 Feature Importance Results</w:t>
      </w:r>
    </w:p>
    <w:p w14:paraId="0010024E" w14:textId="0010024F">
      <w:pPr>
        <w:spacing w:after="280"/>
      </w:pPr>
      <w:r>
        <w:rPr>
          <w:sz w:val="22"/>
        </w:rPr>
        <w:t xml:space="preserve">Feature importance analysis using both Random Forest (mean decrease in Gini impurity) and Gradient Boosting (mean decrease in loss) converged on a consistent set of top predictors. The top five features by importance rank are: (1) avg_watch_time_per_day — the single strongest predictor across both models; low daily watch time is the clearest behavioural signature of impending churn; (2) engagement_score — the engineered composite feature ranks second, validating the feature engineering investment; (3) watch_hours — total accumulated watch time provides a complementary signal to daily intensity; (4) last_login_days — recency of platform use is the strongest time-based predictor; (5) watch_segment — the quartile grouping of watch_hours captures non-linear threshold effects. Logistic Regression coefficient analysis confirmed avg_watch_time_per_day and engagement_score as the dominant linear predictors, while last_login_days contributed the strongest positive coefficient (increasing churn probability).</w:t>
      </w:r>
    </w:p>
    <w:p w14:paraId="00100250" w14:textId="00100251">
      <w:pPr>
        <w:pStyle w:val="Heading1"/>
        <w:spacing w:before="280" w:after="160"/>
      </w:pPr>
      <w:r>
        <w:rPr>
          <w:b/>
          <w:sz w:val="32"/>
        </w:rPr>
        <w:t xml:space="preserve">13. Key Findings</w:t>
      </w:r>
    </w:p>
    <w:p w14:paraId="00100252" w14:textId="00100253">
      <w:pPr>
        <w:spacing w:after="120"/>
      </w:pPr>
      <w:r>
        <w:rPr>
          <w:sz w:val="22"/>
        </w:rPr>
        <w:t xml:space="preserve">The following key findings emerged from the combined EDA, feature importance analysis, and model evaluation phases of the project:</w:t>
      </w:r>
    </w:p>
    <w:p w14:paraId="00100254" w14:textId="00100255">
      <w:pPr>
        <w:numPr>
          <w:ilvl w:val="0"/>
          <w:numId w:val="5"/>
        </w:numPr>
        <w:spacing w:after="80"/>
      </w:pPr>
      <w:r>
        <w:rPr>
          <w:sz w:val="22"/>
        </w:rPr>
        <w:t xml:space="preserve">F1 — Engagement Is the Primary Retention Driver: avg_watch_time_per_day and watch_hours are the two most important churn predictors. Customers who watch less than 0.35 hours per day are disproportionately likely to churn. Content consumption depth is the single most powerful lever of retention.</w:t>
      </w:r>
    </w:p>
    <w:p w14:paraId="00100256" w14:textId="00100257">
      <w:pPr>
        <w:numPr>
          <w:ilvl w:val="0"/>
          <w:numId w:val="5"/>
        </w:numPr>
        <w:spacing w:after="80"/>
      </w:pPr>
      <w:r>
        <w:rPr>
          <w:sz w:val="22"/>
        </w:rPr>
        <w:t xml:space="preserve">F2 — Inactivity Is a Leading Churn Indicator: Customers who have not logged in for 30 or more days show a churn rate approximately 1.8x higher than active customers. The inactivity threshold of 30 days functions as a reliable early warning trigger.</w:t>
      </w:r>
    </w:p>
    <w:p w14:paraId="00100258" w14:textId="00100259">
      <w:pPr>
        <w:numPr>
          <w:ilvl w:val="0"/>
          <w:numId w:val="5"/>
        </w:numPr>
        <w:spacing w:after="80"/>
      </w:pPr>
      <w:r>
        <w:rPr>
          <w:sz w:val="22"/>
        </w:rPr>
        <w:t xml:space="preserve">F3 — Engagement Score Validates Feature Engineering: The composite engagement_score, ranked second in both RF and GB importance rankings, demonstrates that multi-variable feature synthesis adds significant predictive value beyond individual raw features.</w:t>
      </w:r>
    </w:p>
    <w:p w14:paraId="0010025A" w14:textId="0010025B">
      <w:pPr>
        <w:numPr>
          <w:ilvl w:val="0"/>
          <w:numId w:val="5"/>
        </w:numPr>
        <w:spacing w:after="80"/>
      </w:pPr>
      <w:r>
        <w:rPr>
          <w:sz w:val="22"/>
        </w:rPr>
        <w:t xml:space="preserve">F4 — Subscription Tier Moderates Churn Risk: Basic-tier subscribers exhibit higher churn rates than Standard or Premium subscribers. Lower-tier customers are more price-sensitive and less deeply integrated into the platform ecosystem.</w:t>
      </w:r>
    </w:p>
    <w:p w14:paraId="0010025C" w14:textId="0010025D">
      <w:pPr>
        <w:numPr>
          <w:ilvl w:val="0"/>
          <w:numId w:val="5"/>
        </w:numPr>
        <w:spacing w:after="80"/>
      </w:pPr>
      <w:r>
        <w:rPr>
          <w:sz w:val="22"/>
        </w:rPr>
        <w:t xml:space="preserve">F5 — Device Type Reveals UX Friction: Elevated churn on specific device types indicates friction in the streaming experience on those platforms, pointing to targeted UX investment opportunities.</w:t>
      </w:r>
    </w:p>
    <w:p w14:paraId="0010025E" w14:textId="0010025F">
      <w:pPr>
        <w:numPr>
          <w:ilvl w:val="0"/>
          <w:numId w:val="5"/>
        </w:numPr>
        <w:spacing w:after="80"/>
      </w:pPr>
      <w:r>
        <w:rPr>
          <w:sz w:val="22"/>
        </w:rPr>
        <w:t xml:space="preserve">F6 — Multi-Profile Accounts Are More Sticky: Customers with more profiles (3–5) show lower churn rates than single-profile accounts, suggesting that household embedding increases switching costs and platform lock-in.</w:t>
      </w:r>
    </w:p>
    <w:p w14:paraId="00100260" w14:textId="00100261">
      <w:pPr>
        <w:numPr>
          <w:ilvl w:val="0"/>
          <w:numId w:val="5"/>
        </w:numPr>
        <w:spacing w:after="80"/>
      </w:pPr>
      <w:r>
        <w:rPr>
          <w:sz w:val="22"/>
        </w:rPr>
        <w:t xml:space="preserve">F7 — Genre Gaps Drive Content-Led Churn: Certain favourite genres are associated with higher churn, indicating insufficient content depth in those categories and presenting a targeted content investment opportunity.</w:t>
      </w:r>
    </w:p>
    <w:p w14:paraId="00100262" w14:textId="00100263">
      <w:pPr>
        <w:numPr>
          <w:ilvl w:val="0"/>
          <w:numId w:val="5"/>
        </w:numPr>
        <w:spacing w:after="80"/>
      </w:pPr>
      <w:r>
        <w:rPr>
          <w:sz w:val="22"/>
        </w:rPr>
        <w:t xml:space="preserve">F8 — Gradient Boosting Dominates: With ROC-AUC = 0.998 and F1 = 0.989, the Gradient Boosting model is the recommended production classifier. The ensemble's iterative error correction is uniquely effective at modelling the complex interaction patterns that drive churn in multi-dimensional subscriber data.</w:t>
      </w:r>
    </w:p>
    <w:p w14:paraId="00100264" w14:textId="00100265">
      <w:pPr>
        <w:numPr>
          <w:ilvl w:val="0"/>
          <w:numId w:val="5"/>
        </w:numPr>
        <w:spacing w:after="80"/>
      </w:pPr>
      <w:r>
        <w:rPr>
          <w:sz w:val="22"/>
        </w:rPr>
        <w:t xml:space="preserve">F9 — All Models Substantially Outperform the Baseline: Even the weakest model (KNN, AUC = 0.943) substantially exceeds random classification (AUC = 0.500), confirming that the dataset contains strong and learnable churn signals across multiple feature dimensions.</w:t>
      </w:r>
    </w:p>
    <w:p w14:paraId="00100266" w14:textId="00100267">
      <w:pPr>
        <w:numPr>
          <w:ilvl w:val="0"/>
          <w:numId w:val="5"/>
        </w:numPr>
        <w:spacing w:after="280"/>
      </w:pPr>
      <w:r>
        <w:rPr>
          <w:sz w:val="22"/>
        </w:rPr>
        <w:t xml:space="preserve">F10 — Geographic and Demographic Variables Contribute via Interactions: While region, age, and gender show weak direct correlations with churn, ensemble models assign them non-trivial importance scores, indicating that they contribute through interaction effects (e.g., age x subscription_type, region x device) that linear models cannot capture.</w:t>
      </w:r>
    </w:p>
    <w:p w14:paraId="00100268" w14:textId="00100269">
      <w:pPr>
        <w:pStyle w:val="Heading1"/>
        <w:spacing w:before="280" w:after="160"/>
      </w:pPr>
      <w:r>
        <w:rPr>
          <w:b/>
          <w:sz w:val="32"/>
        </w:rPr>
        <w:t xml:space="preserve">14. Business Recommendations</w:t>
      </w:r>
    </w:p>
    <w:p w14:paraId="0010026A" w14:textId="0010026B">
      <w:pPr>
        <w:spacing w:after="160"/>
      </w:pPr>
      <w:r>
        <w:rPr>
          <w:sz w:val="22"/>
        </w:rPr>
        <w:t xml:space="preserve">Ten prioritised business recommendations are derived directly from the analytical findings. Each is grounded in a specific data insight and accompanied by an estimated implementation effort and projected impact.</w:t>
      </w:r>
    </w:p>
    <w:p w14:paraId="0010026C" w14:textId="0010026D">
      <w:pPr>
        <w:spacing w:after="40"/>
      </w:pPr>
      <w:r>
        <w:rPr>
          <w:b/>
          <w:sz w:val="22"/>
        </w:rPr>
        <w:t xml:space="preserve">R1 — Deploy Real-Time Churn Scoring (Impact: High | Effort: Medium)</w:t>
      </w:r>
    </w:p>
    <w:p w14:paraId="0010026E" w14:textId="0010026F">
      <w:pPr>
        <w:spacing w:after="160"/>
      </w:pPr>
      <w:r>
        <w:rPr>
          <w:sz w:val="22"/>
        </w:rPr>
        <w:t xml:space="preserve">Deploy the Gradient Boosting model as a REST API microservice, scoring all active subscribers daily. Customers with a churn probability exceeding 0.65 should be flagged for immediate retention intervention. Integration with the CRM system enables automated workflow triggers within 24 hours of scoring.</w:t>
      </w:r>
    </w:p>
    <w:p w14:paraId="00100270" w14:textId="00100271">
      <w:pPr>
        <w:spacing w:after="40"/>
      </w:pPr>
      <w:r>
        <w:rPr>
          <w:b/>
          <w:sz w:val="22"/>
        </w:rPr>
        <w:t xml:space="preserve">R2 — Inactivity-Triggered Re-Engagement Programme (Impact: High | Effort: Low)</w:t>
      </w:r>
    </w:p>
    <w:p w14:paraId="00100272" w14:textId="00100273">
      <w:pPr>
        <w:spacing w:after="160"/>
      </w:pPr>
      <w:r>
        <w:rPr>
          <w:sz w:val="22"/>
        </w:rPr>
        <w:t xml:space="preserve">Deploy automated personalised re-engagement communications at days 15, 22, and 28 of inactivity. Messages should be content-personalised based on favorite_genre and recent watch history. Proven tactics include 'New arrivals in [Genre]', 'Continue watching [Last title]', and limited-time promotional offers.</w:t>
      </w:r>
    </w:p>
    <w:p w14:paraId="00100274" w14:textId="00100275">
      <w:pPr>
        <w:spacing w:after="40"/>
      </w:pPr>
      <w:r>
        <w:rPr>
          <w:b/>
          <w:sz w:val="22"/>
        </w:rPr>
        <w:t xml:space="preserve">R3 — Subscription Tier Upgrade Incentives (Impact: High | Effort: Medium)</w:t>
      </w:r>
    </w:p>
    <w:p w14:paraId="00100276" w14:textId="00100277">
      <w:pPr>
        <w:spacing w:after="160"/>
      </w:pPr>
      <w:r>
        <w:rPr>
          <w:sz w:val="22"/>
        </w:rPr>
        <w:t xml:space="preserve">Target Basic-tier subscribers with personalised upgrade offers (e.g., 'Try Premium free for 30 days'). Customers who upgrade increase their platform investment and switching cost, reducing churn probability. A/B testing of offer types (price-based vs. feature-based) will optimise conversion rates.</w:t>
      </w:r>
    </w:p>
    <w:p w14:paraId="00100278" w14:textId="00100279">
      <w:pPr>
        <w:spacing w:after="40"/>
      </w:pPr>
      <w:r>
        <w:rPr>
          <w:b/>
          <w:sz w:val="22"/>
        </w:rPr>
        <w:t xml:space="preserve">R4 — Device-Specific UX Remediation (Impact: Medium | Effort: High)</w:t>
      </w:r>
    </w:p>
    <w:p w14:paraId="0010027A" w14:textId="0010027B">
      <w:pPr>
        <w:spacing w:after="160"/>
      </w:pPr>
      <w:r>
        <w:rPr>
          <w:sz w:val="22"/>
        </w:rPr>
        <w:t xml:space="preserve">Conduct UX audits and exit-survey analysis on the device types exhibiting elevated churn rates. Commission targeted A/B tests on content discovery, playback performance, and UI navigation for those platforms. Reducing friction on high-churn device types has a direct and measurable impact on retention.</w:t>
      </w:r>
    </w:p>
    <w:p w14:paraId="0010027C" w14:textId="0010027D">
      <w:pPr>
        <w:spacing w:after="40"/>
      </w:pPr>
      <w:r>
        <w:rPr>
          <w:b/>
          <w:sz w:val="22"/>
        </w:rPr>
        <w:t xml:space="preserve">R5 — Regional Content Localisation Investment (Impact: High | Effort: High)</w:t>
      </w:r>
    </w:p>
    <w:p w14:paraId="0010027E" w14:textId="0010027F">
      <w:pPr>
        <w:spacing w:after="160"/>
      </w:pPr>
      <w:r>
        <w:rPr>
          <w:sz w:val="22"/>
        </w:rPr>
        <w:t xml:space="preserve">Regions with elevated churn rates should receive increased content localisation investment — including local-language subtitles, regional originals, and culturally relevant licensed content. Regional churn differentials exceeding 5 percentage points above the global mean warrant immediate content strategy review.</w:t>
      </w:r>
    </w:p>
    <w:p w14:paraId="00100280" w14:textId="00100281">
      <w:pPr>
        <w:spacing w:after="40"/>
      </w:pPr>
      <w:r>
        <w:rPr>
          <w:b/>
          <w:sz w:val="22"/>
        </w:rPr>
        <w:t xml:space="preserve">R6 — Operationalise Engagement Score as a Weekly KPI (Impact: High | Effort: Low)</w:t>
      </w:r>
    </w:p>
    <w:p w14:paraId="00100282" w14:textId="00100283">
      <w:pPr>
        <w:spacing w:after="160"/>
      </w:pPr>
      <w:r>
        <w:rPr>
          <w:sz w:val="22"/>
        </w:rPr>
        <w:t xml:space="preserve">Compute engagement_score weekly for all active subscribers and track its trend at the cohort level. Customers whose score drops below the 25th percentile for two consecutive weeks should enter an automated retention workflow. Set up executive dashboard reporting on engagement score distributions by subscription tier, region, and device.</w:t>
      </w:r>
    </w:p>
    <w:p w14:paraId="00100284" w14:textId="00100285">
      <w:pPr>
        <w:spacing w:after="40"/>
      </w:pPr>
      <w:r>
        <w:rPr>
          <w:b/>
          <w:sz w:val="22"/>
        </w:rPr>
        <w:t xml:space="preserve">R7 — Genre-Led Content Strategy (Impact: Medium | Effort: High)</w:t>
      </w:r>
    </w:p>
    <w:p w14:paraId="00100286" w14:textId="00100287">
      <w:pPr>
        <w:spacing w:after="160"/>
      </w:pPr>
      <w:r>
        <w:rPr>
          <w:sz w:val="22"/>
        </w:rPr>
        <w:t xml:space="preserve">High-churn genres represent content gaps where subscriber expectations are not being met. Prioritise commissioning or licensing additional titles in these categories. Feature new genre-specific releases prominently on the home screen for subscribers whose favorite_genre aligns with the gap area.</w:t>
      </w:r>
    </w:p>
    <w:p w14:paraId="00100288" w14:textId="00100289">
      <w:pPr>
        <w:spacing w:after="40"/>
      </w:pPr>
      <w:r>
        <w:rPr>
          <w:b/>
          <w:sz w:val="22"/>
        </w:rPr>
        <w:t xml:space="preserve">R8 — Multi-Profile Household Incentives (Impact: Medium | Effort: Low)</w:t>
      </w:r>
    </w:p>
    <w:p w14:paraId="0010028A" w14:textId="0010028B">
      <w:pPr>
        <w:spacing w:after="160"/>
      </w:pPr>
      <w:r>
        <w:rPr>
          <w:sz w:val="22"/>
        </w:rPr>
        <w:t xml:space="preserve">Single-profile accounts show higher churn. Offer free additional profile slots or reduced-price family plan upgrades to single-profile subscribers. Increasing the number of household users embedded in a single account substantially increases switching costs and reduces individual churn probability.</w:t>
      </w:r>
    </w:p>
    <w:p w14:paraId="0010028C" w14:textId="0010028D">
      <w:pPr>
        <w:spacing w:after="40"/>
      </w:pPr>
      <w:r>
        <w:rPr>
          <w:b/>
          <w:sz w:val="22"/>
        </w:rPr>
        <w:t xml:space="preserve">R9 — Payment Friction Reduction (Impact: Medium | Effort: Low)</w:t>
      </w:r>
    </w:p>
    <w:p w14:paraId="0010028E" w14:textId="0010028F">
      <w:pPr>
        <w:spacing w:after="160"/>
      </w:pPr>
      <w:r>
        <w:rPr>
          <w:sz w:val="22"/>
        </w:rPr>
        <w:t xml:space="preserve">Gift Card and Crypto payment methods are associated with slightly elevated churn, likely due to payment expiry and failed renewal processing. Implement proactive payment expiry notifications (14, 7, and 3 days before expiry), one-click payment method update flows, and intelligent retry logic for failed transactions to prevent involuntary churn.</w:t>
      </w:r>
    </w:p>
    <w:p w14:paraId="00100290" w14:textId="00100291">
      <w:pPr>
        <w:spacing w:after="40"/>
      </w:pPr>
      <w:r>
        <w:rPr>
          <w:b/>
          <w:sz w:val="22"/>
        </w:rPr>
        <w:t xml:space="preserve">R10 — Continuous Model Retraining Pipeline (Impact: High | Effort: Medium)</w:t>
      </w:r>
    </w:p>
    <w:p w14:paraId="00100292" w14:textId="00100293">
      <w:pPr>
        <w:spacing w:after="120"/>
      </w:pPr>
      <w:r>
        <w:rPr>
          <w:sz w:val="22"/>
        </w:rPr>
        <w:t xml:space="preserve">Retrain the churn model on a rolling monthly basis incorporating fresh subscriber behaviour data. Implement automated data drift monitoring on the five most important features (avg_watch_time_per_day, engagement_score, watch_hours, last_login_days, watch_segment). Trigger model retraining when feature distribution shift exceeds a predefined KS-statistic threshold.</w:t>
      </w:r>
    </w:p>
    <w:p w14:paraId="00100294" w14:textId="00100295">
      <w:pPr>
        <w:spacing w:after="280"/>
      </w:pPr>
      <w:r>
        <w:rPr>
          <w:i/>
          <w:color w:val="1A1A2E"/>
          <w:sz w:val="22"/>
        </w:rPr>
        <w:t xml:space="preserve">Estimated Financial Impact: A conservative 10% relative reduction in churn applied to 2,514 churned customers at an average monthly fee of $13.66 yields approximately $3,434 in monthly recurring revenue recovery, or ~$41,200 annually — from a single 5,000-subscriber segment alone.</w:t>
      </w:r>
    </w:p>
    <w:p w14:paraId="00100296" w14:textId="00100297">
      <w:pPr>
        <w:pStyle w:val="Heading1"/>
        <w:spacing w:before="280" w:after="160"/>
      </w:pPr>
      <w:r>
        <w:rPr>
          <w:b/>
          <w:sz w:val="32"/>
        </w:rPr>
        <w:t xml:space="preserve">15. Limitations</w:t>
      </w:r>
    </w:p>
    <w:p w14:paraId="00100298" w14:textId="00100299">
      <w:pPr>
        <w:spacing w:after="120"/>
      </w:pPr>
      <w:r>
        <w:rPr>
          <w:sz w:val="22"/>
        </w:rPr>
        <w:t xml:space="preserve">The following limitations should be considered when interpreting the results of this study:</w:t>
      </w:r>
    </w:p>
    <w:p w14:paraId="0010029A" w14:textId="0010029B">
      <w:pPr>
        <w:numPr>
          <w:ilvl w:val="0"/>
          <w:numId w:val="6"/>
        </w:numPr>
        <w:spacing w:after="80"/>
      </w:pPr>
      <w:r>
        <w:rPr>
          <w:sz w:val="22"/>
        </w:rPr>
        <w:t xml:space="preserve">L1 — Synthetic Data: The dataset is synthetically generated and does not reflect real Netflix subscriber behaviour. Relationships between features and the churn target may be simpler and more cleanly separable than in real-world data, which would explain the exceptionally high model accuracy metrics (AUC = 0.998). Real-world churn models typically achieve AUC values of 0.70–0.85.</w:t>
      </w:r>
    </w:p>
    <w:p w14:paraId="0010029C" w14:textId="0010029D">
      <w:pPr>
        <w:numPr>
          <w:ilvl w:val="0"/>
          <w:numId w:val="6"/>
        </w:numPr>
        <w:spacing w:after="80"/>
      </w:pPr>
      <w:r>
        <w:rPr>
          <w:sz w:val="22"/>
        </w:rPr>
        <w:t xml:space="preserve">L2 — Static Snapshot: The dataset represents a single point-in-time snapshot rather than a longitudinal time series. In practice, churn prediction benefits significantly from temporal features such as month-over-month engagement trends, seasonal viewing patterns, and time since subscription start.</w:t>
      </w:r>
    </w:p>
    <w:p w14:paraId="0010029E" w14:textId="0010029F">
      <w:pPr>
        <w:numPr>
          <w:ilvl w:val="0"/>
          <w:numId w:val="6"/>
        </w:numPr>
        <w:spacing w:after="80"/>
      </w:pPr>
      <w:r>
        <w:rPr>
          <w:sz w:val="22"/>
        </w:rPr>
        <w:t xml:space="preserve">L3 — No Content-Level Data: The dataset lacks title-level viewing data (e.g., specific shows watched, completion rates, rewatching behaviour) that are among the strongest real-world churn predictors at Netflix. Favourite genre is a coarse proxy for this richer signal.</w:t>
      </w:r>
    </w:p>
    <w:p w14:paraId="001002A0" w14:textId="001002A1">
      <w:pPr>
        <w:numPr>
          <w:ilvl w:val="0"/>
          <w:numId w:val="6"/>
        </w:numPr>
        <w:spacing w:after="80"/>
      </w:pPr>
      <w:r>
        <w:rPr>
          <w:sz w:val="22"/>
        </w:rPr>
        <w:t xml:space="preserve">L4 — Label Encoding Assumption: LabelEncoder imposes an arbitrary ordinal ordering on nominal categorical variables (e.g., Africa &lt; Asia &lt; Europe). While tree-based models are robust to this, linear models (Logistic Regression) and distance-based models (KNN, SVM) may be affected. One-hot encoding would be more appropriate for these model families in a production setting.</w:t>
      </w:r>
    </w:p>
    <w:p w14:paraId="001002A2" w14:textId="001002A3">
      <w:pPr>
        <w:numPr>
          <w:ilvl w:val="0"/>
          <w:numId w:val="6"/>
        </w:numPr>
        <w:spacing w:after="80"/>
      </w:pPr>
      <w:r>
        <w:rPr>
          <w:sz w:val="22"/>
        </w:rPr>
        <w:t xml:space="preserve">L5 — No Hyperparameter Optimisation: Models were trained with manually selected hyperparameters rather than exhaustive grid search or Bayesian optimisation. Systematic hyperparameter tuning would likely improve performance, particularly for Logistic Regression (regularisation strength), SVM (C and gamma), and KNN (k value).</w:t>
      </w:r>
    </w:p>
    <w:p w14:paraId="001002A4" w14:textId="001002A5">
      <w:pPr>
        <w:numPr>
          <w:ilvl w:val="0"/>
          <w:numId w:val="6"/>
        </w:numPr>
        <w:spacing w:after="80"/>
      </w:pPr>
      <w:r>
        <w:rPr>
          <w:sz w:val="22"/>
        </w:rPr>
        <w:t xml:space="preserve">L6 — No Interpretability Framework: Advanced model explainability tools such as SHAP (SHapley Additive exPlanations) or LIME (Local Interpretable Model-agnostic Explanations) were not applied. SHAP values would provide per-customer, per-feature explanations of churn predictions, substantially enhancing actionability for customer success teams.</w:t>
      </w:r>
    </w:p>
    <w:p w14:paraId="001002A6" w14:textId="001002A7">
      <w:pPr>
        <w:numPr>
          <w:ilvl w:val="0"/>
          <w:numId w:val="6"/>
        </w:numPr>
        <w:spacing w:after="280"/>
      </w:pPr>
      <w:r>
        <w:rPr>
          <w:sz w:val="22"/>
        </w:rPr>
        <w:t xml:space="preserve">L7 — No Causal Inference: The analysis establishes statistical associations between features and churn but does not establish causal relationships. For example, low watch_hours may be caused by a poor experience driving churn, or it may be a symptom of an already-decided churn intention rather than a cause.</w:t>
      </w:r>
    </w:p>
    <w:p w14:paraId="001002A8" w14:textId="001002A9">
      <w:pPr>
        <w:pStyle w:val="Heading1"/>
        <w:spacing w:before="280" w:after="160"/>
      </w:pPr>
      <w:r>
        <w:rPr>
          <w:b/>
          <w:sz w:val="32"/>
        </w:rPr>
        <w:t xml:space="preserve">16. Future Scope</w:t>
      </w:r>
    </w:p>
    <w:p w14:paraId="001002AA" w14:textId="001002AB">
      <w:pPr>
        <w:spacing w:after="120"/>
      </w:pPr>
      <w:r>
        <w:rPr>
          <w:sz w:val="22"/>
        </w:rPr>
        <w:t xml:space="preserve">This project establishes a solid foundation for advanced churn analytics. The following extensions would substantially enhance its real-world applicability:</w:t>
      </w:r>
    </w:p>
    <w:p w14:paraId="001002AC" w14:textId="001002AD">
      <w:pPr>
        <w:numPr>
          <w:ilvl w:val="0"/>
          <w:numId w:val="7"/>
        </w:numPr>
        <w:spacing w:after="80"/>
      </w:pPr>
      <w:r>
        <w:rPr>
          <w:sz w:val="22"/>
        </w:rPr>
        <w:t xml:space="preserve">FS1 — SHAP Explainability Integration: Implement SHAP values (TreeExplainer for Gradient Boosting and Random Forest) to generate per-subscriber, per-feature churn explanations. This would enable customer success agents to deliver highly personalised retention interventions backed by model rationale.</w:t>
      </w:r>
    </w:p>
    <w:p w14:paraId="001002AE" w14:textId="001002AF">
      <w:pPr>
        <w:numPr>
          <w:ilvl w:val="0"/>
          <w:numId w:val="7"/>
        </w:numPr>
        <w:spacing w:after="80"/>
      </w:pPr>
      <w:r>
        <w:rPr>
          <w:sz w:val="22"/>
        </w:rPr>
        <w:t xml:space="preserve">FS2 — Longitudinal / Time-Series Modelling: Incorporate sequential engagement data (e.g., weekly watch hours over the past 12 weeks) and apply recurrent models such as LSTM or Temporal Convolutional Networks (TCN) to capture engagement trend dynamics as churn predictors.</w:t>
      </w:r>
    </w:p>
    <w:p w14:paraId="001002B0" w14:textId="001002B1">
      <w:pPr>
        <w:numPr>
          <w:ilvl w:val="0"/>
          <w:numId w:val="7"/>
        </w:numPr>
        <w:spacing w:after="80"/>
      </w:pPr>
      <w:r>
        <w:rPr>
          <w:sz w:val="22"/>
        </w:rPr>
        <w:t xml:space="preserve">FS3 — XGBoost / LightGBM / CatBoost Benchmarking: Extend the model comparison to include gradient boosting frameworks beyond scikit-learn's native implementation. XGBoost and LightGBM typically offer better performance at scale through optimised histogram-based splitting and regularisation features.</w:t>
      </w:r>
    </w:p>
    <w:p w14:paraId="001002B2" w14:textId="001002B3">
      <w:pPr>
        <w:numPr>
          <w:ilvl w:val="0"/>
          <w:numId w:val="7"/>
        </w:numPr>
        <w:spacing w:after="80"/>
      </w:pPr>
      <w:r>
        <w:rPr>
          <w:sz w:val="22"/>
        </w:rPr>
        <w:t xml:space="preserve">FS4 — Customer Lifetime Value (CLV) Integration: Combine churn probability scores with customer lifetime value estimates to prioritise retention efforts by expected revenue impact. A high-value customer with a 60% churn probability should receive more intensive intervention than a low-value customer with an 80% probability.</w:t>
      </w:r>
    </w:p>
    <w:p w14:paraId="001002B4" w14:textId="001002B5">
      <w:pPr>
        <w:numPr>
          <w:ilvl w:val="0"/>
          <w:numId w:val="7"/>
        </w:numPr>
        <w:spacing w:after="80"/>
      </w:pPr>
      <w:r>
        <w:rPr>
          <w:sz w:val="22"/>
        </w:rPr>
        <w:t xml:space="preserve">FS5 — Real-Time Streaming Data Pipeline: Integrate with a Kafka-based real-time event stream to enable sub-hourly churn scoring updates based on immediate behavioural signals (e.g., playback abandonment, session duration drop, negative content rating).</w:t>
      </w:r>
    </w:p>
    <w:p w14:paraId="001002B6" w14:textId="001002B7">
      <w:pPr>
        <w:numPr>
          <w:ilvl w:val="0"/>
          <w:numId w:val="7"/>
        </w:numPr>
        <w:spacing w:after="80"/>
      </w:pPr>
      <w:r>
        <w:rPr>
          <w:sz w:val="22"/>
        </w:rPr>
        <w:t xml:space="preserve">FS6 — A/B Testing Framework for Interventions: Build a rigorous A/B testing infrastructure to measure the causal retention impact of each recommended intervention (R1–R10). This would enable empirical validation of model-driven recommendations and iterative optimisation of retention strategy ROI.</w:t>
      </w:r>
    </w:p>
    <w:p w14:paraId="001002B8" w14:textId="001002B9">
      <w:pPr>
        <w:numPr>
          <w:ilvl w:val="0"/>
          <w:numId w:val="7"/>
        </w:numPr>
        <w:spacing w:after="280"/>
      </w:pPr>
      <w:r>
        <w:rPr>
          <w:sz w:val="22"/>
        </w:rPr>
        <w:t xml:space="preserve">FS7 — Survival Analysis Modelling: Apply Cox Proportional Hazards or Kaplan-Meier survival models to estimate time-to-churn distributions for customer cohorts. Survival analysis provides a richer understanding of when customers are most at risk and enables time-sensitive intervention scheduling.</w:t>
      </w:r>
    </w:p>
    <w:p w14:paraId="001002BA" w14:textId="001002BB">
      <w:pPr>
        <w:pStyle w:val="Heading1"/>
        <w:spacing w:before="280" w:after="160"/>
      </w:pPr>
      <w:r>
        <w:rPr>
          <w:b/>
          <w:sz w:val="32"/>
        </w:rPr>
        <w:t xml:space="preserve">17. Conclusion</w:t>
      </w:r>
    </w:p>
    <w:p w14:paraId="001002BC" w14:textId="001002BD">
      <w:pPr>
        <w:spacing w:after="120"/>
      </w:pPr>
      <w:r>
        <w:rPr>
          <w:sz w:val="22"/>
        </w:rPr>
        <w:t xml:space="preserve">This project successfully delivered a complete, end-to-end machine learning pipeline for Netflix customer churn prediction and engagement analytics. Beginning from a 5,000-record structured dataset with 14 features, the study performed comprehensive data preprocessing, seven-visualisation exploratory data analysis, multi-dimensional feature engineering, and the training and evaluation of six distinct supervised classifiers.</w:t>
      </w:r>
    </w:p>
    <w:p w14:paraId="001002BE" w14:textId="001002BF">
      <w:pPr>
        <w:spacing w:after="120"/>
      </w:pPr>
      <w:r>
        <w:rPr>
          <w:sz w:val="22"/>
        </w:rPr>
        <w:t xml:space="preserve">The Gradient Boosting classifier emerged as the definitive best model, achieving a ROC-AUC of 0.998 and an F1-score of 0.989 on the held-out test set, with cross-validation confirming result stability (mean AUC = 0.997, std = 0.001). Feature importance analysis consistently ranked avg_watch_time_per_day, the engineered engagement_score, watch_hours, and last_login_days as the strongest churn predictors — providing a clear, data-grounded picture of the engagement drivers that separate retained subscribers from those who leave.</w:t>
      </w:r>
    </w:p>
    <w:p w14:paraId="001002C0" w14:textId="001002C1">
      <w:pPr>
        <w:spacing w:after="120"/>
      </w:pPr>
      <w:r>
        <w:rPr>
          <w:sz w:val="22"/>
        </w:rPr>
        <w:t xml:space="preserve">The ten business recommendations derived from these findings address the full retention lifecycle: from real-time churn scoring and inactivity-triggered re-engagement, through device UX optimisation and content strategy, to payment friction reduction and multi-profile incentives. The Impact vs. Effort priority matrix provides an actionable roadmap for sequential implementation, prioritising quick wins with high impact and low effort before progressing to larger strategic investments.</w:t>
      </w:r>
    </w:p>
    <w:p w14:paraId="001002C2" w14:textId="001002C3">
      <w:pPr>
        <w:spacing w:after="120"/>
      </w:pPr>
      <w:r>
        <w:rPr>
          <w:sz w:val="22"/>
        </w:rPr>
        <w:t xml:space="preserve">This project demonstrates that artificial intelligence and machine learning, applied rigorously to subscriber behavioural data, can transform reactive churn management into a proactive, personalised, and measurable retention strategy. The methodology, code, and findings are fully documented in the companion Jupyter Notebook (Netflix_Churn_Analytics.ipynb), which is reproducible from raw data to final dashboard output with a single kernel restart.</w:t>
      </w:r>
    </w:p>
    <w:p w14:paraId="001002C4" w14:textId="001002C5">
      <w:pPr>
        <w:spacing w:after="280"/>
      </w:pPr>
      <w:r>
        <w:rPr>
          <w:sz w:val="22"/>
        </w:rPr>
        <w:t xml:space="preserve">The skills developed and demonstrated through this project — data wrangling, statistical analysis, machine learning, model evaluation, and business insight generation — align directly with the competency framework of the IBM SkillsBuild | AICTE AI Internship Programme (2025), and position the author for real-world AI practitioner roles in data science, customer analytics, and applied machine learning.</w:t>
      </w:r>
    </w:p>
    <w:p w14:paraId="001002C6" w14:textId="001002C7">
      <w:pPr>
        <w:pStyle w:val="Heading1"/>
        <w:spacing w:before="280" w:after="160"/>
      </w:pPr>
      <w:r>
        <w:rPr>
          <w:b/>
          <w:sz w:val="32"/>
        </w:rPr>
        <w:t xml:space="preserve">18. References</w:t>
      </w:r>
    </w:p>
    <w:p w14:paraId="001002C8" w14:textId="001002C9">
      <w:pPr>
        <w:spacing w:after="80"/>
      </w:pPr>
      <w:r>
        <w:rPr>
          <w:sz w:val="22"/>
        </w:rPr>
        <w:t xml:space="preserve">[1] Reichheld, F. F., &amp; Sasser, W. E. (1990). Zero defections: Quality comes to services. Harvard Business Review, 68(5), 105–111.</w:t>
      </w:r>
    </w:p>
    <w:p w14:paraId="001002CA" w14:textId="001002CB">
      <w:pPr>
        <w:spacing w:after="80"/>
      </w:pPr>
      <w:r>
        <w:rPr>
          <w:sz w:val="22"/>
        </w:rPr>
        <w:t xml:space="preserve">[2] Gupta, S., Lehmann, D. R., &amp; Stuart, J. A. (2004). Valuing customers. Journal of Marketing Research, 41(1), 7–18.</w:t>
      </w:r>
    </w:p>
    <w:p w14:paraId="001002CC" w14:textId="001002CD">
      <w:pPr>
        <w:spacing w:after="80"/>
      </w:pPr>
      <w:r>
        <w:rPr>
          <w:sz w:val="22"/>
        </w:rPr>
        <w:t xml:space="preserve">[3] Breiman, L. (2001). Random forests. Machine Learning, 45(1), 5–32. https://doi.org/10.1023/A:1010933404324</w:t>
      </w:r>
    </w:p>
    <w:p w14:paraId="001002CE" w14:textId="001002CF">
      <w:pPr>
        <w:spacing w:after="80"/>
      </w:pPr>
      <w:r>
        <w:rPr>
          <w:sz w:val="22"/>
        </w:rPr>
        <w:t xml:space="preserve">[4] Friedman, J. H. (2001). Greedy function approximation: A gradient boosting machine. Annals of Statistics, 29(5), 1189–1232.</w:t>
      </w:r>
    </w:p>
    <w:p w14:paraId="001002D0" w14:textId="001002D1">
      <w:pPr>
        <w:spacing w:after="80"/>
      </w:pPr>
      <w:r>
        <w:rPr>
          <w:sz w:val="22"/>
        </w:rPr>
        <w:t xml:space="preserve">[5] Cortes, C., &amp; Vapnik, V. (1995). Support-vector networks. Machine Learning, 20(3), 273–297.</w:t>
      </w:r>
    </w:p>
    <w:p w14:paraId="001002D2" w14:textId="001002D3">
      <w:pPr>
        <w:spacing w:after="80"/>
      </w:pPr>
      <w:r>
        <w:rPr>
          <w:sz w:val="22"/>
        </w:rPr>
        <w:t xml:space="preserve">[6] Pedregosa, F., Varoquaux, G., Gramfort, A., et al. (2011). Scikit-learn: Machine learning in Python. Journal of Machine Learning Research, 12, 2825–2830.</w:t>
      </w:r>
    </w:p>
    <w:p w14:paraId="001002D4" w14:textId="001002D5">
      <w:pPr>
        <w:spacing w:after="80"/>
      </w:pPr>
      <w:r>
        <w:rPr>
          <w:sz w:val="22"/>
        </w:rPr>
        <w:t xml:space="preserve">[7] McKinney, W. (2010). Data structures for statistical computing in Python. Proceedings of the 9th Python in Science Conference (SciPy 2010), 51–56.</w:t>
      </w:r>
    </w:p>
    <w:p w14:paraId="001002D6" w14:textId="001002D7">
      <w:pPr>
        <w:spacing w:after="80"/>
      </w:pPr>
      <w:r>
        <w:rPr>
          <w:sz w:val="22"/>
        </w:rPr>
        <w:t xml:space="preserve">[8] Hunter, J. D. (2007). Matplotlib: A 2D graphics environment. Computing in Science &amp; Engineering, 9(3), 90–95.</w:t>
      </w:r>
    </w:p>
    <w:p w14:paraId="001002D8" w14:textId="001002D9">
      <w:pPr>
        <w:spacing w:after="80"/>
      </w:pPr>
      <w:r>
        <w:rPr>
          <w:sz w:val="22"/>
        </w:rPr>
        <w:t xml:space="preserve">[9] Waskom, M. L. (2021). seaborn: Statistical data visualisation. Journal of Open Source Software, 6(60), 3021.</w:t>
      </w:r>
    </w:p>
    <w:p w14:paraId="001002DA" w14:textId="001002DB">
      <w:pPr>
        <w:spacing w:after="80"/>
      </w:pPr>
      <w:r>
        <w:rPr>
          <w:sz w:val="22"/>
        </w:rPr>
        <w:t xml:space="preserve">[10] Harris, C. R., et al. (2020). Array programming with NumPy. Nature, 585, 357–362.</w:t>
      </w:r>
    </w:p>
    <w:p w14:paraId="001002DC" w14:textId="001002DD">
      <w:pPr>
        <w:spacing w:after="80"/>
      </w:pPr>
      <w:r>
        <w:rPr>
          <w:sz w:val="22"/>
        </w:rPr>
        <w:t xml:space="preserve">[11] Chapman, P., Clinton, J., Kerber, R., et al. (2000). CRISP-DM 1.0: Step-by-step data mining guide. SPSS Inc.</w:t>
      </w:r>
    </w:p>
    <w:p w14:paraId="001002DE" w14:textId="001002DF">
      <w:pPr>
        <w:spacing w:after="80"/>
      </w:pPr>
      <w:r>
        <w:rPr>
          <w:sz w:val="22"/>
        </w:rPr>
        <w:t xml:space="preserve">[12] Cover, T., &amp; Hart, P. (1967). Nearest neighbour pattern classification. IEEE Transactions on Information Theory, 13(1), 21–27.</w:t>
      </w:r>
    </w:p>
    <w:p w14:paraId="001002E0" w14:textId="001002E1">
      <w:pPr>
        <w:spacing w:after="80"/>
      </w:pPr>
      <w:r>
        <w:rPr>
          <w:sz w:val="22"/>
        </w:rPr>
        <w:t xml:space="preserve">[13] Lundberg, S. M., &amp; Lee, S.-I. (2017). A unified approach to interpreting model predictions. Advances in Neural Information Processing Systems (NeurIPS 2017), 30.</w:t>
      </w:r>
    </w:p>
    <w:p w14:paraId="001002E2" w14:textId="001002E3">
      <w:pPr>
        <w:spacing w:after="80"/>
      </w:pPr>
      <w:r>
        <w:rPr>
          <w:sz w:val="22"/>
        </w:rPr>
        <w:t xml:space="preserve">[14] IBM SkillsBuild. (2025). AI Internship Programme — AICTE Collaboration. IBM Corporation. Retrieved from https://skillsbuild.org</w:t>
      </w:r>
    </w:p>
    <w:p w14:paraId="001002E4" w14:textId="001002E5">
      <w:pPr>
        <w:spacing w:after="280"/>
      </w:pPr>
      <w:r>
        <w:rPr>
          <w:sz w:val="22"/>
        </w:rPr>
        <w:t xml:space="preserve">[15] Netflix, Inc. (2024). Netflix Q4 2023 Shareholder Letter. Investor Relations. Retrieved from https://ir.netflix.net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df6f1a760ea14bba" /><Relationship Type="http://schemas.openxmlformats.org/officeDocument/2006/relationships/styles" Target="/word/styles.xml" Id="Rac7ccc60f7d94b75" /><Relationship Type="http://schemas.openxmlformats.org/officeDocument/2006/relationships/theme" Target="/word/theme/theme1.xml" Id="R675fb70d69e84103" /><Relationship Type="http://schemas.openxmlformats.org/officeDocument/2006/relationships/numbering" Target="/word/numbering.xml" Id="Rf61811b0df2c4d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2026-09-24T07:19:04Z</dcterms:created>
  <cp:lastModifiedBy>OfficeCLI</cp:lastModifiedBy>
  <dcterms:modified xsi:type="dcterms:W3CDTF">2026-09-24T07:19:04Z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2026-09-24T07:26:31Z</vt:lpwstr>
  </op:property>
</op:Properties>
</file>