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LLM Pairwise/Tie Classification – 最終整合報告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（基於 2025-08-07 的實驗與討論）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right="60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資料來源補充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1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本研究數據來自 2025 年 Kaggle 競賽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「LLM Chat Response Pairwise Preference」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。官方資料集包含 ~71k 條對話記錄，每條樣本提供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4nughoimf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數據概況</w:t>
      </w:r>
    </w:p>
    <w:tbl>
      <w:tblPr>
        <w:tblStyle w:val="Table1"/>
        <w:tblW w:w="5660.0" w:type="dxa"/>
        <w:jc w:val="left"/>
        <w:tblLayout w:type="fixed"/>
        <w:tblLook w:val="0600"/>
      </w:tblPr>
      <w:tblGrid>
        <w:gridCol w:w="1250"/>
        <w:gridCol w:w="1670"/>
        <w:gridCol w:w="1820"/>
        <w:gridCol w:w="920"/>
        <w:tblGridChange w:id="0">
          <w:tblGrid>
            <w:gridCol w:w="1250"/>
            <w:gridCol w:w="1670"/>
            <w:gridCol w:w="1820"/>
            <w:gridCol w:w="9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類別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訓練集樣本數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驗證集樣本數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佔比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non-tie (0)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4 969×0.1 ≈ 497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70 %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 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2 165×0.1 ≈ 217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30 %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關鍵問題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：資料嚴重不平衡（≈ 7 : 3），且 </w:t>
      </w:r>
      <w:r w:rsidDel="00000000" w:rsidR="00000000" w:rsidRPr="00000000">
        <w:rPr>
          <w:i w:val="1"/>
          <w:rtl w:val="0"/>
        </w:rPr>
        <w:t xml:space="preserve">tie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樣本本身較少，導致模型在該類別上難以學習到穩定判斷邊界。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m078lv1nf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實驗設置（關鍵超參數）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Backbone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roberta-base,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rtl w:val="0"/>
        </w:rPr>
        <w:t xml:space="preserve">deberta-v3-large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num_train_epochs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2 - 5、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per_device_train_batch_size</w:t>
      </w:r>
      <w:r w:rsidDel="00000000" w:rsidR="00000000" w:rsidRPr="00000000">
        <w:rPr>
          <w:rtl w:val="0"/>
        </w:rPr>
        <w:t xml:space="preserve"> = 8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learning_rate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3 e-6（tie 分支）／2 e-5（pairwise 分支）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fp16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gradient_accumulation_steps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嘗試 </w:t>
      </w:r>
      <w:r w:rsidDel="00000000" w:rsidR="00000000" w:rsidRPr="00000000">
        <w:rPr>
          <w:b w:val="1"/>
          <w:rtl w:val="0"/>
        </w:rPr>
        <w:t xml:space="preserve">class weight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增加 dropout (0.4)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效果有限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進一步的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 cleaning / 擴充大型模型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仍無顯著改善，且可能降低整體準確率、耗時大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Epochs = 2；Batch = 8 -16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9rt57o8w4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fi3z2sjji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4t7hxm80u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0amtr7rfi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xh6unxzv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驗證集最終結果</w:t>
      </w:r>
    </w:p>
    <w:tbl>
      <w:tblPr>
        <w:tblStyle w:val="Table2"/>
        <w:tblW w:w="4280.0" w:type="dxa"/>
        <w:jc w:val="left"/>
        <w:tblLayout w:type="fixed"/>
        <w:tblLook w:val="0600"/>
      </w:tblPr>
      <w:tblGrid>
        <w:gridCol w:w="1205"/>
        <w:gridCol w:w="890"/>
        <w:gridCol w:w="1295"/>
        <w:gridCol w:w="890"/>
        <w:tblGridChange w:id="0">
          <w:tblGrid>
            <w:gridCol w:w="1205"/>
            <w:gridCol w:w="890"/>
            <w:gridCol w:w="1295"/>
            <w:gridCol w:w="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總體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non-tie (0)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0.6995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0.7109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0.5240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0.9581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0.1058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0.8162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0.1760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7 134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4 969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2 165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Pred 0   Pred 1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 0 (non-tie)   4 761      208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 1 (tie)       1 936      229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優勢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：對 non-tie 召回率高 (≈ 96 %)，整體 loss 維持 0.60 左右。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瓶頸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：tie 類別召回率僅 ≈ 11 %，F1 ≈ 0.18——主因仍是資料偏斜 + tie 樣本不足。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b8ffx47cy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已嘗試但收益有限的方向</w:t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2593.425175465234"/>
        <w:gridCol w:w="6432.0866355583885"/>
        <w:tblGridChange w:id="0">
          <w:tblGrid>
            <w:gridCol w:w="2593.425175465234"/>
            <w:gridCol w:w="6432.08663555838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結果 / 評論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weight</w:t>
            </w:r>
            <w:r w:rsidDel="00000000" w:rsidR="00000000" w:rsidRPr="00000000">
              <w:rPr>
                <w:rtl w:val="0"/>
              </w:rPr>
              <w:t xml:space="preserve"> (balanced)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tie 召回率提升 &lt; 1 %，整體波動不大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更大模型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記憶體緊張，acc 無明顯提升，耗時翻倍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強化 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刪除長度極端、含噪文本 → 整體樣本減少，acc &amp; F1 反而小幅下降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增大 dropout / 降低 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overfitting 略緩，但 tie 指標仍 &lt; 0.2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延長訓練 epoch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&gt; 4 epoch 後開始明顯 overfit，valid loss 上升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cm9c83m21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0y8ynqy1mc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結論與建議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在目前資料規模與分佈下，70 % accuracy 已接近可達上限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若業務對 </w:t>
      </w:r>
      <w:r w:rsidDel="00000000" w:rsidR="00000000" w:rsidRPr="00000000">
        <w:rPr>
          <w:i w:val="1"/>
          <w:rtl w:val="0"/>
        </w:rPr>
        <w:t xml:space="preserve">tie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誤檢容忍度高（只需保證非 tie 準確判斷），當前模型可先行部署。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若需要顯著提高 </w:t>
      </w:r>
      <w:r w:rsidDel="00000000" w:rsidR="00000000" w:rsidRPr="00000000">
        <w:rPr>
          <w:i w:val="1"/>
          <w:rtl w:val="0"/>
        </w:rPr>
        <w:t xml:space="preserve">tie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召回 / F1，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必須從數據層面切入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收集或標註更多高質量 tie 樣本（推薦 ≥ 倍增），或採半監督/弱監督擴充。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考慮文本增廣（back-translation、EDA 等）專門針對 tie 類別。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其他可選技巧（收益預估有限）：Focal Loss、閾值調優、過／欠採樣。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備註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：完整訓練-評估（含 confusion matrix）雖耗時，但對定位不平衡問題至關重要；未來若再次縮時訓練，建議至少保留小批次 eval + confusion matrix 以迅速觀察類別召回情形。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LLM Pairwise / Tie Classification – Final Consolidated Report (English)</w:t>
        <w:br w:type="textWrapping"/>
      </w:r>
      <w:r w:rsidDel="00000000" w:rsidR="00000000" w:rsidRPr="00000000">
        <w:rPr>
          <w:i w:val="1"/>
          <w:sz w:val="32"/>
          <w:szCs w:val="32"/>
          <w:rtl w:val="0"/>
        </w:rPr>
        <w:t xml:space="preserve">(Experiments run up to 2025-08-07)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uo80fjzbi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information about the data source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zccgsn58i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data for this study comes from the 2025 Kaggle competition “LLM Chat Response Pairwise Preference.” The official dataset contains approximately 71,000 conversation records, with each sample providing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ahj5vus2k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0mt16wrn9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· Data Overview</w:t>
      </w:r>
    </w:p>
    <w:tbl>
      <w:tblPr>
        <w:tblStyle w:val="Table4"/>
        <w:tblW w:w="5525.0" w:type="dxa"/>
        <w:jc w:val="left"/>
        <w:tblLayout w:type="fixed"/>
        <w:tblLook w:val="0600"/>
      </w:tblPr>
      <w:tblGrid>
        <w:gridCol w:w="1295"/>
        <w:gridCol w:w="1670"/>
        <w:gridCol w:w="1640"/>
        <w:gridCol w:w="920"/>
        <w:tblGridChange w:id="0">
          <w:tblGrid>
            <w:gridCol w:w="1295"/>
            <w:gridCol w:w="1670"/>
            <w:gridCol w:w="1640"/>
            <w:gridCol w:w="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 samples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 samples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non-tie (0)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4 969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497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70 %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2 165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217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30 %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Key issue:</w:t>
      </w:r>
      <w:r w:rsidDel="00000000" w:rsidR="00000000" w:rsidRPr="00000000">
        <w:rPr>
          <w:rtl w:val="0"/>
        </w:rPr>
        <w:t xml:space="preserve"> The dataset is strongly imbalanced (~ 7 : 3). The minority </w:t>
      </w:r>
      <w:r w:rsidDel="00000000" w:rsidR="00000000" w:rsidRPr="00000000">
        <w:rPr>
          <w:i w:val="1"/>
          <w:rtl w:val="0"/>
        </w:rPr>
        <w:t xml:space="preserve">tie</w:t>
      </w:r>
      <w:r w:rsidDel="00000000" w:rsidR="00000000" w:rsidRPr="00000000">
        <w:rPr>
          <w:rtl w:val="0"/>
        </w:rPr>
        <w:t xml:space="preserve"> class is under-represented, making it hard for the model to learn good decision boundaries.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dzvu74tp5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· Experimental Setup (main hyper-parameters)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Backbone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roberta-base,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rtl w:val="0"/>
        </w:rPr>
        <w:t xml:space="preserve">deberta-v3-large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num_train_epochs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2 - 5、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per_device_train_batch_size</w:t>
      </w:r>
      <w:r w:rsidDel="00000000" w:rsidR="00000000" w:rsidRPr="00000000">
        <w:rPr>
          <w:rtl w:val="0"/>
        </w:rPr>
        <w:t xml:space="preserve"> = 8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learning_rate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3 e-6（tie 分支）／2 e-5（pairwise 分支）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fp16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gradient_accumulation_steps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嘗試 </w:t>
      </w:r>
      <w:r w:rsidDel="00000000" w:rsidR="00000000" w:rsidRPr="00000000">
        <w:rPr>
          <w:b w:val="1"/>
          <w:rtl w:val="0"/>
        </w:rPr>
        <w:t xml:space="preserve">class weight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增加 dropout (0.4)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效果有限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進一步的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 cleaning / 擴充大型模型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仍無顯著改善，且可能降低整體準確率、耗時大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Epochs = 2；Batch = 8 -16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34xi8t2w4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4996vxk50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2l2uoyke8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· Validation Results</w:t>
      </w:r>
    </w:p>
    <w:tbl>
      <w:tblPr>
        <w:tblStyle w:val="Table5"/>
        <w:tblW w:w="4400.0" w:type="dxa"/>
        <w:jc w:val="left"/>
        <w:tblLayout w:type="fixed"/>
        <w:tblLook w:val="0600"/>
      </w:tblPr>
      <w:tblGrid>
        <w:gridCol w:w="1205"/>
        <w:gridCol w:w="1010"/>
        <w:gridCol w:w="1295"/>
        <w:gridCol w:w="890"/>
        <w:tblGridChange w:id="0">
          <w:tblGrid>
            <w:gridCol w:w="1205"/>
            <w:gridCol w:w="1010"/>
            <w:gridCol w:w="1295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non-tie (0)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0.6995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0.7109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0.5240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0.9581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0.1058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43434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4" w:val="single"/>
              <w:left w:color="434343" w:space="0" w:sz="6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0.8162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0.1760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7 134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4 969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2 165</w:t>
            </w:r>
          </w:p>
        </w:tc>
      </w:tr>
    </w:tbl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Pred 0     Pred 1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 0          4 761      208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 1          1 936      229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Strength: very high recall on </w:t>
      </w:r>
      <w:r w:rsidDel="00000000" w:rsidR="00000000" w:rsidRPr="00000000">
        <w:rPr>
          <w:b w:val="1"/>
          <w:rtl w:val="0"/>
        </w:rPr>
        <w:t xml:space="preserve">non-tie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(≈ 96 %); validation loss ≈ 0.60.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Weakness: only ~10 % recall on </w:t>
      </w:r>
      <w:r w:rsidDel="00000000" w:rsidR="00000000" w:rsidRPr="00000000">
        <w:rPr>
          <w:b w:val="1"/>
          <w:rtl w:val="0"/>
        </w:rPr>
        <w:t xml:space="preserve">tie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F1 ≈ 0.18 – a direct consequence of data skew and limited tie samples.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5eaiukqm9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· Approaches Already Tested (little or no gain)</w:t>
      </w:r>
    </w:p>
    <w:tbl>
      <w:tblPr>
        <w:tblStyle w:val="Table6"/>
        <w:tblW w:w="9025.511811023624" w:type="dxa"/>
        <w:jc w:val="left"/>
        <w:tblLayout w:type="fixed"/>
        <w:tblLook w:val="0600"/>
      </w:tblPr>
      <w:tblGrid>
        <w:gridCol w:w="3549.41366169533"/>
        <w:gridCol w:w="5476.0981493282925"/>
        <w:tblGridChange w:id="0">
          <w:tblGrid>
            <w:gridCol w:w="3549.41366169533"/>
            <w:gridCol w:w="5476.0981493282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Outcome /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weights</w:t>
            </w:r>
            <w:r w:rsidDel="00000000" w:rsidR="00000000" w:rsidRPr="00000000">
              <w:rPr>
                <w:rtl w:val="0"/>
              </w:rPr>
              <w:t xml:space="preserve"> (balanced)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tie recall ↑ &lt; 1 %; negligible impact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Larger backbone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VRAM pressure, no clear accuracy gain, training time ×2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Aggressive 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Fewer samples, slight drop in accuracy &amp; F1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Higher dropout / lower 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Slightly less overfitting, tie metrics still &lt; 0.20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More epochs</w:t>
            </w:r>
            <w:r w:rsidDel="00000000" w:rsidR="00000000" w:rsidRPr="00000000">
              <w:rPr>
                <w:rtl w:val="0"/>
              </w:rPr>
              <w:t xml:space="preserve"> (&gt; 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Clear overfitting, validation loss rises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16r02w5qs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0dx0hi62e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jod9pk7qp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0rt5fql5h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· Conclusions &amp; Recommendations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~70 % overall accuracy is close to the attainable ceiling on the current data.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downstream use-cases mainly need reliable </w:t>
      </w:r>
      <w:r w:rsidDel="00000000" w:rsidR="00000000" w:rsidRPr="00000000">
        <w:rPr>
          <w:i w:val="1"/>
          <w:rtl w:val="0"/>
        </w:rPr>
        <w:t xml:space="preserve">non-tie</w:t>
      </w:r>
      <w:r w:rsidDel="00000000" w:rsidR="00000000" w:rsidRPr="00000000">
        <w:rPr>
          <w:rtl w:val="0"/>
        </w:rPr>
        <w:t xml:space="preserve"> detection, the model is deployable as-is.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substantially boost </w:t>
      </w:r>
      <w:r w:rsidDel="00000000" w:rsidR="00000000" w:rsidRPr="00000000">
        <w:rPr>
          <w:i w:val="1"/>
          <w:rtl w:val="0"/>
        </w:rPr>
        <w:t xml:space="preserve">tie</w:t>
      </w:r>
      <w:r w:rsidDel="00000000" w:rsidR="00000000" w:rsidRPr="00000000">
        <w:rPr>
          <w:rtl w:val="0"/>
        </w:rPr>
        <w:t xml:space="preserve"> recall/F1, </w:t>
      </w:r>
      <w:r w:rsidDel="00000000" w:rsidR="00000000" w:rsidRPr="00000000">
        <w:rPr>
          <w:b w:val="1"/>
          <w:rtl w:val="0"/>
        </w:rPr>
        <w:t xml:space="preserve">data work is essential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/ label many more high-quality </w:t>
      </w:r>
      <w:r w:rsidDel="00000000" w:rsidR="00000000" w:rsidRPr="00000000">
        <w:rPr>
          <w:i w:val="1"/>
          <w:rtl w:val="0"/>
        </w:rPr>
        <w:t xml:space="preserve">tie</w:t>
      </w:r>
      <w:r w:rsidDel="00000000" w:rsidR="00000000" w:rsidRPr="00000000">
        <w:rPr>
          <w:rtl w:val="0"/>
        </w:rPr>
        <w:t xml:space="preserve"> examples (ideally doubling them) or apply semi-/weak-supervised augmentation.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targeted text augmentation (back-translation, EDA, etc.) for </w:t>
      </w:r>
      <w:r w:rsidDel="00000000" w:rsidR="00000000" w:rsidRPr="00000000">
        <w:rPr>
          <w:i w:val="1"/>
          <w:rtl w:val="0"/>
        </w:rPr>
        <w:t xml:space="preserve">tie</w:t>
      </w:r>
      <w:r w:rsidDel="00000000" w:rsidR="00000000" w:rsidRPr="00000000">
        <w:rPr>
          <w:rtl w:val="0"/>
        </w:rPr>
        <w:t xml:space="preserve"> only.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techniques (focal loss, threshold tuning, over/under-sampling) may yield incremental gains but cannot solve the root imbalance alone.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Even quick pilot runs should always produce a (mini) confusion matrix; it is the fastest way to reveal class-imbalance issues without waiting for full training.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