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Os arquivos advPL foram lidos corretamente e contêm a definição de programas e comentários. Vamos agora estruturar a conversão do código AdvPL para Go.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Conversão do AdvPL para Go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1. Estrutura do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Cada arquivo AdvPL segue uma estrutura similar: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Inclui bibliotecas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Define uma função que encapsula o seu comportamento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Contém comentários sobre o autor, data e descrição do programa.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 Conversão das Funções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Vamos converter cada função presente nos arquivos lidos. O código será estruturado para manter a lógica conforme necessário.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2.1. Conversão de AMDA002 (exemplo)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191927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3"/>
        </w:rPr>
        <w:t xml:space="preserve">import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AMDA002 simula a funcionalidade da função AMDA002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AMDA002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Implementação da lógica de cadastro de contas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fmt.Println(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"Cadastro de Contas - AMDA002"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 função principal que chama AMDA002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main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AMDA002()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2.2. Conversão de AMDC001 (exemplo)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191927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3"/>
        </w:rPr>
        <w:t xml:space="preserve">import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AMDC001 simula a funcionalidade da função AMDC001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AMDC001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(dataIni string, dataFim string)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Implementação da lógica de consulta de lançamentos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fmt.Printf(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"Consulta de lançamentos - Início: %s, Fim: %s\n"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dataIni, dataFim)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 função principal que chama AMDC001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main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AMDC001(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"2023-01-01"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"2023-12-31"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2.3. Conversão de AMDA003 (exemplo)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191927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3"/>
        </w:rPr>
        <w:t xml:space="preserve">import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AMDA003 simula a funcionalidade da função AMDA003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AMDA003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Implementação da lógica de tela de controle financeiro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fmt.Println(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"Tela centralizadora do controle financeiro - AMDA003"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 função principal que chama AMDA003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main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AMDA003()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2.4. Conversão de AMDA001 (exemplo)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191927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3"/>
        </w:rPr>
        <w:t xml:space="preserve">import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AMDA001 simula a funcionalidade da função AMDA001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AMDA001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Implementação da lógica de cadastro de agrupadores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fmt.Println(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"Cadastro de Agrupadores - AMDA001"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 função principal que chama AMDA001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main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AMDA001()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2.5. Geração do Relatório AMDR001 em Excel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A geração do relatório AMDR001 será realizada usando a biblioteca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github.com/xuri/excelize/v2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 Aqui está um exemplo de como fazer isso: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91927"/>
          <w:sz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191927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2e95d3"/>
          <w:sz w:val="23"/>
        </w:rPr>
        <w:t xml:space="preserve">import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"log"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"github.com/xuri/excelize/v2"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AMDR001 gera um relatório e salva como Excel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AMDR001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(dataIni, dataFim string)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Criar um novo arquivo Excel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f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:= excelize.NewFile()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Adicionar uma nova folha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index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:= f.NewSheet(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Definindo os títulos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f.SetCellValue(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"A1"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"Data Inicial"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f.SetCellValue(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"B1"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dataIni)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f.SetCellValue(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"A2"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"Data Final"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f.SetCellValue(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"B2"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dataFim)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Salvar o arquivo com um nome específico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2e95d3"/>
          <w:sz w:val="23"/>
        </w:rPr>
        <w:t xml:space="preserve">if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err := f.SaveAs(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"relatorio_amdr001.xlsx"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);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log.Fatalf(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"Erro ao salvar o arquivo: %v"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err)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fmt.Println(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"Relatório gerado com sucesso: relatorio_amdr001.xlsx"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</w:t>
      </w:r>
      <w:r>
        <w:rPr>
          <w:rFonts w:ascii="Liberation Sans" w:hAnsi="Liberation Sans" w:eastAsia="Liberation Sans" w:cs="Liberation Sans"/>
          <w:color w:val="f22c3d"/>
          <w:sz w:val="23"/>
        </w:rPr>
        <w:t xml:space="preserve">main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AMDR001(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"2023-01-01"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"2023-12-31"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Instruções para Execução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Instalação das Bibliotecas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Execute o comando abaixo para instalar a biblioteca necessária para gerar o Excel: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191927"/>
          <w:sz w:val="21"/>
        </w:rPr>
        <w:t xml:space="preserve">go get github.com/xuri/excelize/v2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Executar o Programa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Salve cada parte do código acima em um arquivo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main.go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em um novo projeto. Depois, para compilar e executar, use: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191927"/>
          <w:sz w:val="21"/>
        </w:rPr>
        <w:t xml:space="preserve">go run main.go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Verificar os Resultados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O programa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AMDR001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irá gerar um arquivo chamado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relatorio_amdr001.xlsx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Considerações Finais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Se precisar de mais detalhes ou ajustes na lógica do AdvPL para Go, sinta-se à vontade para fornecer exemplos ou pedir esclarecimentos!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2024-08-01T19:31:06Z</dcterms:modified>
</cp:coreProperties>
</file>