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DF625" w14:textId="23BC2B24" w:rsidR="00940CB3" w:rsidRDefault="00940CB3" w:rsidP="00F46886">
      <w:pPr>
        <w:pStyle w:val="Rubrik1"/>
        <w:ind w:firstLine="1304"/>
        <w:rPr>
          <w:rFonts w:cstheme="minorBidi"/>
          <w:lang w:eastAsia="sv-SE"/>
        </w:rPr>
      </w:pPr>
      <w:r>
        <w:rPr>
          <w:rFonts w:cstheme="minorBidi"/>
        </w:rPr>
        <w:t xml:space="preserve">Metodstöd för analys av </w:t>
      </w:r>
      <w:r w:rsidR="00394A80">
        <w:rPr>
          <w:rFonts w:cstheme="minorBidi"/>
        </w:rPr>
        <w:t xml:space="preserve">hållbar </w:t>
      </w:r>
      <w:r>
        <w:rPr>
          <w:rFonts w:cstheme="minorBidi"/>
        </w:rPr>
        <w:t>digital försörjningskedja</w:t>
      </w:r>
    </w:p>
    <w:tbl>
      <w:tblPr>
        <w:tblpPr w:leftFromText="141" w:rightFromText="141" w:vertAnchor="text"/>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940CB3" w14:paraId="1C9D9CB0" w14:textId="77777777" w:rsidTr="001B312E">
        <w:trPr>
          <w:tblCellSpacing w:w="15" w:type="dxa"/>
        </w:trPr>
        <w:tc>
          <w:tcPr>
            <w:tcW w:w="8966" w:type="dxa"/>
            <w:tcBorders>
              <w:top w:val="single" w:sz="18" w:space="0" w:color="auto"/>
              <w:left w:val="single" w:sz="18" w:space="0" w:color="auto"/>
              <w:bottom w:val="single" w:sz="18" w:space="0" w:color="auto"/>
              <w:right w:val="single" w:sz="18" w:space="0" w:color="auto"/>
            </w:tcBorders>
            <w:tcMar>
              <w:top w:w="0" w:type="dxa"/>
              <w:left w:w="108" w:type="dxa"/>
              <w:bottom w:w="0" w:type="dxa"/>
              <w:right w:w="108" w:type="dxa"/>
            </w:tcMar>
            <w:vAlign w:val="center"/>
            <w:hideMark/>
          </w:tcPr>
          <w:p w14:paraId="51A19420" w14:textId="77777777" w:rsidR="00940CB3" w:rsidRDefault="00940CB3" w:rsidP="00940CB3">
            <w:pPr>
              <w:spacing w:after="0" w:line="240" w:lineRule="auto"/>
              <w:rPr>
                <w:i/>
                <w:iCs/>
              </w:rPr>
            </w:pPr>
            <w:r>
              <w:rPr>
                <w:i/>
                <w:iCs/>
              </w:rPr>
              <w:t>Detta metodstöd utgår från kontinuitetshantering som grund för analys av regionens digitala försörjningskedja för data och information.</w:t>
            </w:r>
          </w:p>
          <w:p w14:paraId="22A59548" w14:textId="77777777" w:rsidR="00214AD6" w:rsidRDefault="00214AD6" w:rsidP="00940CB3">
            <w:pPr>
              <w:spacing w:after="0" w:line="240" w:lineRule="auto"/>
              <w:rPr>
                <w:lang w:eastAsia="sv-SE"/>
              </w:rPr>
            </w:pPr>
          </w:p>
          <w:p w14:paraId="3EBC700F" w14:textId="2DFC47C4" w:rsidR="00940CB3" w:rsidRDefault="00940CB3" w:rsidP="00940CB3">
            <w:pPr>
              <w:spacing w:after="0" w:line="240" w:lineRule="auto"/>
              <w:rPr>
                <w:i/>
                <w:iCs/>
              </w:rPr>
            </w:pPr>
            <w:r>
              <w:rPr>
                <w:i/>
                <w:iCs/>
              </w:rPr>
              <w:t>Utgångspunkten är att regioner redan arbetar med att identifiera verksamhetskritiska processer, informationstillgångar, beroenden och sårbarheter inom kontinuitetshantering, informationssäkerhet, beredskap och riskhantering. Metodstödet bygger vidare på detta arbete och kompletterar det med ytterligare analysdimensioner såsom rättsliga krav, cybersäkerhet, dataportabilitet, interoperabilitet, leverantörsberoenden, inlåsning och kostnadsstruktur</w:t>
            </w:r>
            <w:r w:rsidR="00944B1D">
              <w:rPr>
                <w:i/>
                <w:iCs/>
              </w:rPr>
              <w:t xml:space="preserve"> – och regionens </w:t>
            </w:r>
            <w:r w:rsidR="00736B2B">
              <w:rPr>
                <w:i/>
                <w:iCs/>
              </w:rPr>
              <w:t>egen</w:t>
            </w:r>
            <w:r w:rsidR="00944B1D">
              <w:rPr>
                <w:i/>
                <w:iCs/>
              </w:rPr>
              <w:t xml:space="preserve"> förmåga att möta upp behoven i dessa dimensioner.</w:t>
            </w:r>
          </w:p>
          <w:p w14:paraId="0D7DBBAF" w14:textId="77777777" w:rsidR="00214AD6" w:rsidRDefault="00214AD6" w:rsidP="00940CB3">
            <w:pPr>
              <w:spacing w:after="0" w:line="240" w:lineRule="auto"/>
            </w:pPr>
          </w:p>
          <w:p w14:paraId="5E23C085" w14:textId="25C10ADD" w:rsidR="00940CB3" w:rsidRDefault="00940CB3" w:rsidP="00940CB3">
            <w:pPr>
              <w:spacing w:after="0" w:line="240" w:lineRule="auto"/>
            </w:pPr>
            <w:r>
              <w:rPr>
                <w:i/>
                <w:iCs/>
              </w:rPr>
              <w:t>På så sätt kan regionen använda en etablerad och igenkännbar metodisk grund för att analysera hur digitala beroenden påverkar kontinuitet, resiliens, handlingsutrymme och långsiktig hållbarhet</w:t>
            </w:r>
            <w:r w:rsidR="00632463">
              <w:rPr>
                <w:i/>
                <w:iCs/>
              </w:rPr>
              <w:t xml:space="preserve"> i den digitala infrastrukturen.</w:t>
            </w:r>
          </w:p>
        </w:tc>
      </w:tr>
    </w:tbl>
    <w:p w14:paraId="747CE25F" w14:textId="77777777" w:rsidR="001B312E" w:rsidRDefault="001B312E" w:rsidP="001B312E"/>
    <w:p w14:paraId="41DB8B33" w14:textId="71DE33FA" w:rsidR="0036598C" w:rsidRDefault="0036598C" w:rsidP="0036598C">
      <w:pPr>
        <w:pStyle w:val="Rubrik2"/>
        <w:rPr>
          <w:rFonts w:cstheme="minorBidi"/>
          <w:lang w:eastAsia="sv-SE"/>
        </w:rPr>
      </w:pPr>
      <w:r>
        <w:rPr>
          <w:rFonts w:cstheme="minorBidi"/>
        </w:rPr>
        <w:t>Syfte och användning</w:t>
      </w:r>
    </w:p>
    <w:p w14:paraId="3E9FDB92" w14:textId="77777777" w:rsidR="00940CB3" w:rsidRDefault="00940CB3">
      <w:pPr>
        <w:rPr>
          <w:lang w:eastAsia="sv-SE"/>
        </w:rPr>
      </w:pPr>
      <w:r>
        <w:t>Syftet med metodstödet är att ge regioner en gemensam struktur för att analysera den digitala försörjningskedjan för data och information med kontinuitetshantering som grund. Analysen tar sin utgångspunkt i verksamhetskritiska processer, kritiska informationstillgångar och de beroenden som krävs för att information ska vara tillgänglig, tillförlitlig och användbar över tid.</w:t>
      </w:r>
    </w:p>
    <w:p w14:paraId="25047280" w14:textId="77777777" w:rsidR="00204F6B" w:rsidRDefault="00204F6B">
      <w:pPr>
        <w:rPr>
          <w:lang w:eastAsia="sv-SE"/>
        </w:rPr>
      </w:pPr>
      <w:r>
        <w:t>Genom att använda kontinuitetshantering som grund blir det möjligt att utgå från sådant som regionerna redan arbetar med: konsekvensanalyser, identifiering av kritiska beroenden, riskbedömningar, kontinuitetsplanering och åtgärder för att upprätthålla verksamhet vid störningar. Denna grund kompletteras i metodstödet med analys av juridiska krav, cybersäkerhet, ekonomiska konsekvenser, kompetenser och förmågor, dataportabilitet, interoperabilitet, leverantörsberoenden och inlåsningseffekter.</w:t>
      </w:r>
    </w:p>
    <w:p w14:paraId="055A841A" w14:textId="77777777" w:rsidR="00940CB3" w:rsidRDefault="00940CB3">
      <w:pPr>
        <w:rPr>
          <w:lang w:eastAsia="sv-SE"/>
        </w:rPr>
      </w:pPr>
      <w:r>
        <w:t>En sådan sammanhållen analys gör det möjligt att synliggöra hur digitala beroenden påverkar regionens kontinuitetsförmåga, vilka konsekvenser ett avbrott eller en störning skulle få, vilka beroenden som är mest kritiska samt hur rättsliga, säkerhetsmässiga och ekonomiska krav påverkar möjliga handlingsalternativ.</w:t>
      </w:r>
    </w:p>
    <w:p w14:paraId="3DF2AA2F" w14:textId="77777777" w:rsidR="00940CB3" w:rsidRDefault="00940CB3">
      <w:pPr>
        <w:rPr>
          <w:lang w:eastAsia="sv-SE"/>
        </w:rPr>
      </w:pPr>
      <w:r>
        <w:t xml:space="preserve">Metodstödet kan användas som underlag för ledningsdialog, prioritering av åtgärder, fördjupade riskbedömningar, planering av </w:t>
      </w:r>
      <w:proofErr w:type="spellStart"/>
      <w:r>
        <w:t>arkitekturell</w:t>
      </w:r>
      <w:proofErr w:type="spellEnd"/>
      <w:r>
        <w:t xml:space="preserve"> utveckling, upphandling, beredskapsarbete och samordning mellan verksamhet, IT, säkerhet, juridik och ekonomi.</w:t>
      </w:r>
    </w:p>
    <w:p w14:paraId="63D1DABE" w14:textId="77777777" w:rsidR="0036598C" w:rsidRDefault="0036598C">
      <w:pPr>
        <w:rPr>
          <w:lang w:eastAsia="sv-SE"/>
        </w:rPr>
      </w:pPr>
      <w:r>
        <w:t>Metodstödet ska bidra till att regionen kan:</w:t>
      </w:r>
    </w:p>
    <w:p w14:paraId="2397B2E3" w14:textId="77777777" w:rsidR="0036598C" w:rsidRDefault="0036598C">
      <w:pPr>
        <w:pStyle w:val="Liststycke"/>
        <w:numPr>
          <w:ilvl w:val="0"/>
          <w:numId w:val="2"/>
        </w:numPr>
        <w:rPr>
          <w:lang w:eastAsia="sv-SE"/>
        </w:rPr>
      </w:pPr>
      <w:r>
        <w:t>skapa en sammanhållen nulägesbild av den digitala försörjningskedjan för information och data</w:t>
      </w:r>
    </w:p>
    <w:p w14:paraId="70EBC5D4" w14:textId="77777777" w:rsidR="0036598C" w:rsidRDefault="0036598C">
      <w:pPr>
        <w:pStyle w:val="Liststycke"/>
        <w:numPr>
          <w:ilvl w:val="0"/>
          <w:numId w:val="2"/>
        </w:numPr>
        <w:rPr>
          <w:lang w:eastAsia="sv-SE"/>
        </w:rPr>
      </w:pPr>
      <w:r>
        <w:t>identifiera och bedöma strukturella beroenden, sårbarheter och riskkoncentrationer</w:t>
      </w:r>
    </w:p>
    <w:p w14:paraId="1FD98C1B" w14:textId="77777777" w:rsidR="0036598C" w:rsidRDefault="0036598C">
      <w:pPr>
        <w:pStyle w:val="Liststycke"/>
        <w:numPr>
          <w:ilvl w:val="0"/>
          <w:numId w:val="2"/>
        </w:numPr>
        <w:rPr>
          <w:lang w:eastAsia="sv-SE"/>
        </w:rPr>
      </w:pPr>
      <w:r>
        <w:t>analysera ekonomiska, tekniska, säkerhetsmässiga och verksamhetsmässiga konsekvenser av beroendena</w:t>
      </w:r>
    </w:p>
    <w:p w14:paraId="26C51294" w14:textId="77777777" w:rsidR="0036598C" w:rsidRDefault="0036598C">
      <w:pPr>
        <w:pStyle w:val="Liststycke"/>
        <w:numPr>
          <w:ilvl w:val="0"/>
          <w:numId w:val="2"/>
        </w:numPr>
        <w:rPr>
          <w:lang w:eastAsia="sv-SE"/>
        </w:rPr>
      </w:pPr>
      <w:r>
        <w:t>ta fram ett mer samlat underlag för prioriteringar, åtgärder och strategiska vägval</w:t>
      </w:r>
    </w:p>
    <w:p w14:paraId="6EC54097" w14:textId="2A35BC86" w:rsidR="00940CB3" w:rsidRDefault="00940CB3">
      <w:pPr>
        <w:rPr>
          <w:lang w:eastAsia="sv-SE"/>
        </w:rPr>
      </w:pPr>
      <w:r>
        <w:lastRenderedPageBreak/>
        <w:t>Arbetet bör genomföras så att kontinuitetshanteringens grundlogik behålls genom hela analysen: att identifiera vad som är kritiskt, förstå vilka beroenden som bär upp kontinuiteten, bedöma konsekvenser och risker</w:t>
      </w:r>
      <w:r w:rsidR="00F462EA">
        <w:t xml:space="preserve">. I nästa steg kan då </w:t>
      </w:r>
      <w:r w:rsidR="00A83D90">
        <w:t xml:space="preserve">åtgärder </w:t>
      </w:r>
      <w:r>
        <w:t>prioritera</w:t>
      </w:r>
      <w:r w:rsidR="00A83D90">
        <w:t>s</w:t>
      </w:r>
      <w:r>
        <w:t xml:space="preserve"> som stärker robusthet, kontinuitet och långsiktig handlingsfrihet.</w:t>
      </w:r>
    </w:p>
    <w:p w14:paraId="036DC2B6" w14:textId="2F4AC087" w:rsidR="00564997" w:rsidRPr="00742DF2" w:rsidRDefault="00D5546A" w:rsidP="00742DF2">
      <w:r>
        <w:rPr>
          <w:noProof/>
        </w:rPr>
        <w:drawing>
          <wp:inline distT="0" distB="0" distL="0" distR="0" wp14:anchorId="61C8B676" wp14:editId="6C3D2C5D">
            <wp:extent cx="5705475" cy="1371600"/>
            <wp:effectExtent l="19050" t="0" r="28575" b="0"/>
            <wp:docPr id="31858672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62F0D2B2" w14:textId="77777777" w:rsidR="0036598C" w:rsidRDefault="0036598C" w:rsidP="0036598C">
      <w:pPr>
        <w:pStyle w:val="Rubrik2"/>
        <w:rPr>
          <w:rFonts w:cstheme="minorBidi"/>
          <w:lang w:eastAsia="sv-SE"/>
        </w:rPr>
      </w:pPr>
      <w:r>
        <w:rPr>
          <w:rFonts w:cstheme="minorBidi"/>
        </w:rPr>
        <w:t>Förutsättningar för användning</w:t>
      </w:r>
    </w:p>
    <w:p w14:paraId="3C11030A" w14:textId="62ECABDF" w:rsidR="00940CB3" w:rsidRDefault="00940CB3">
      <w:pPr>
        <w:rPr>
          <w:lang w:eastAsia="sv-SE"/>
        </w:rPr>
      </w:pPr>
      <w:r>
        <w:t>Metodstödet kan användas på olika analysnivåer: för hela regionens digitala försörjningskedja, för ett avgränsat verksamhetsområde eller för ett specifikt system-, data- eller plattform. Oavsett nivå bör analysen utgå från vilka verksamhetskritiska processer och informationstillgångar som måste upprätthållas.</w:t>
      </w:r>
    </w:p>
    <w:p w14:paraId="50E4A3D8" w14:textId="77777777" w:rsidR="00940CB3" w:rsidRDefault="00940CB3">
      <w:pPr>
        <w:rPr>
          <w:lang w:eastAsia="sv-SE"/>
        </w:rPr>
      </w:pPr>
      <w:r>
        <w:t>Innan analysen påbörjas bör regionen tydliggöra vilket analysobjekt som omfattas, vilken beslutssituation analysen ska stödja, vilka verksamheter och kritiska informationsflöden som berörs och vilken ambitionsnivå som krävs. Det kan till exempel handla om att stödja ett strategiskt vägval, belysa sårbarheter i en befintlig miljö, förbereda en upphandling eller skapa underlag för långsiktig arkitekturstyrning.</w:t>
      </w:r>
    </w:p>
    <w:p w14:paraId="72C029AD" w14:textId="400E5028" w:rsidR="0036598C" w:rsidRDefault="0036598C">
      <w:pPr>
        <w:rPr>
          <w:lang w:eastAsia="sv-SE"/>
        </w:rPr>
      </w:pPr>
      <w:r>
        <w:t>Analysen bör genomföras tvärfunktionellt och omfatta både verksamhetsnära och stödjande perspektiv. Det är särskilt viktigt att säkerställa medverkan från verksamhet, IT-arkitektur, informations</w:t>
      </w:r>
      <w:r w:rsidR="006D48DB">
        <w:t>- och cyber</w:t>
      </w:r>
      <w:r>
        <w:t>säkerhet, juridik, upphandling, ekonomi och kontinuitet eller beredskap.</w:t>
      </w:r>
    </w:p>
    <w:p w14:paraId="5A38EE92" w14:textId="77777777" w:rsidR="0036598C" w:rsidRDefault="0036598C">
      <w:pPr>
        <w:rPr>
          <w:lang w:eastAsia="sv-SE"/>
        </w:rPr>
      </w:pPr>
      <w:r>
        <w:t>När metodstödet används bör analysen resultera i:</w:t>
      </w:r>
    </w:p>
    <w:p w14:paraId="7FB9BD33" w14:textId="77777777" w:rsidR="0036598C" w:rsidRDefault="0036598C">
      <w:pPr>
        <w:pStyle w:val="Liststycke"/>
        <w:numPr>
          <w:ilvl w:val="0"/>
          <w:numId w:val="3"/>
        </w:numPr>
        <w:rPr>
          <w:lang w:eastAsia="sv-SE"/>
        </w:rPr>
      </w:pPr>
      <w:r>
        <w:t>en dokumenterad nulägesbild av analysobjektets digitala försörjningskedja</w:t>
      </w:r>
    </w:p>
    <w:p w14:paraId="20A71D53" w14:textId="77777777" w:rsidR="0036598C" w:rsidRDefault="0036598C">
      <w:pPr>
        <w:pStyle w:val="Liststycke"/>
        <w:numPr>
          <w:ilvl w:val="0"/>
          <w:numId w:val="3"/>
        </w:numPr>
        <w:rPr>
          <w:lang w:eastAsia="sv-SE"/>
        </w:rPr>
      </w:pPr>
      <w:r>
        <w:t>en strukturerad bedömning av beroenden, dataportabilitet, standarder och inlåsningseffekter</w:t>
      </w:r>
    </w:p>
    <w:p w14:paraId="2E387467" w14:textId="77777777" w:rsidR="00204F6B" w:rsidRDefault="00204F6B">
      <w:pPr>
        <w:pStyle w:val="Liststycke"/>
        <w:numPr>
          <w:ilvl w:val="0"/>
          <w:numId w:val="3"/>
        </w:numPr>
        <w:rPr>
          <w:lang w:eastAsia="sv-SE"/>
        </w:rPr>
      </w:pPr>
      <w:r>
        <w:t>en analys av ekonomiska konsekvenser, kostnadsdrivare, budgetmässigt handlingsutrymme samt regionens kompetenser och förmågor att hantera beroendena</w:t>
      </w:r>
    </w:p>
    <w:p w14:paraId="60689633" w14:textId="77777777" w:rsidR="0036598C" w:rsidRDefault="0036598C">
      <w:pPr>
        <w:pStyle w:val="Liststycke"/>
        <w:numPr>
          <w:ilvl w:val="0"/>
          <w:numId w:val="3"/>
        </w:numPr>
        <w:rPr>
          <w:lang w:eastAsia="sv-SE"/>
        </w:rPr>
      </w:pPr>
      <w:r>
        <w:t>en bedömning av risker, sårbarheter, resiliens och kontinuitetsförmåga</w:t>
      </w:r>
    </w:p>
    <w:p w14:paraId="43AE7597" w14:textId="77777777" w:rsidR="0036598C" w:rsidRDefault="0036598C">
      <w:pPr>
        <w:pStyle w:val="Liststycke"/>
        <w:numPr>
          <w:ilvl w:val="0"/>
          <w:numId w:val="3"/>
        </w:numPr>
        <w:rPr>
          <w:lang w:eastAsia="sv-SE"/>
        </w:rPr>
      </w:pPr>
      <w:r>
        <w:t>rekommenderade prioriteringar, åtgärder eller frågor för fortsatt fördjupning</w:t>
      </w:r>
    </w:p>
    <w:p w14:paraId="7537575D" w14:textId="77777777" w:rsidR="0036598C" w:rsidRDefault="0036598C">
      <w:pPr>
        <w:rPr>
          <w:lang w:eastAsia="sv-SE"/>
        </w:rPr>
      </w:pPr>
      <w:r>
        <w:t>Metodstödet är avsett att ge regionen ett beslutsrelevant underlag som kan användas både lokalt och som grund för jämförbarhet och gemensamt lärande mellan regioner.</w:t>
      </w:r>
    </w:p>
    <w:p w14:paraId="681A5E08" w14:textId="77777777" w:rsidR="0036598C" w:rsidRDefault="0036598C" w:rsidP="0036598C">
      <w:pPr>
        <w:pStyle w:val="Rubrik2"/>
        <w:rPr>
          <w:rFonts w:cstheme="minorBidi"/>
          <w:lang w:eastAsia="sv-SE"/>
        </w:rPr>
      </w:pPr>
      <w:r>
        <w:rPr>
          <w:rFonts w:cstheme="minorBidi"/>
        </w:rPr>
        <w:t>Stegvis arbetsgång</w:t>
      </w:r>
    </w:p>
    <w:p w14:paraId="5F43E1A8" w14:textId="77777777" w:rsidR="00940CB3" w:rsidRDefault="00940CB3">
      <w:pPr>
        <w:rPr>
          <w:lang w:eastAsia="sv-SE"/>
        </w:rPr>
      </w:pPr>
      <w:r>
        <w:t>Metodstödet är uppbyggt som en stegvis arbetsgång där kontinuitetshantering utgör den metodiska grunden. Stegen kan anpassas efter analysens omfattning och syfte, men logiken bör vara densamma: identifiera vad som är kritiskt, beskriva beroenden och informationstillgångar, bedöma konsekvenser och risker samt dokumentera åtgärder och prioriteringar.</w:t>
      </w:r>
    </w:p>
    <w:p w14:paraId="78560E9E" w14:textId="77777777" w:rsidR="00940CB3" w:rsidRDefault="00940CB3">
      <w:pPr>
        <w:rPr>
          <w:lang w:eastAsia="sv-SE"/>
        </w:rPr>
      </w:pPr>
      <w:r>
        <w:t xml:space="preserve">Arbetsgången utgår från att regionen bygger vidare på befintligt arbete inom kontinuitetshantering, konsekvensanalys, risk- och sårbarhetsanalys, informationsklassning </w:t>
      </w:r>
      <w:r>
        <w:lastRenderedPageBreak/>
        <w:t>och cybersäkerhet. De rättsliga krav och styrande ramverk som lyfts i vitboken bör integreras i analysen som bedömningsgrunder, och de kompletterande dimensionerna – såsom kostnader, dataportabilitet, interoperabilitet och leverantörsberoenden – bör läggas ovanpå kontinuitetshanteringens grundstruktur.</w:t>
      </w:r>
    </w:p>
    <w:p w14:paraId="7562C1A7" w14:textId="5F310F2C" w:rsidR="003368B3" w:rsidRDefault="00BA05C8" w:rsidP="003368B3">
      <w:r>
        <w:t xml:space="preserve">Arbetet föreslås genomföras </w:t>
      </w:r>
      <w:r w:rsidR="003368B3" w:rsidRPr="003368B3">
        <w:t xml:space="preserve">i </w:t>
      </w:r>
      <w:r w:rsidR="00A63BE4">
        <w:t>fyra</w:t>
      </w:r>
      <w:r w:rsidR="003368B3" w:rsidRPr="003368B3">
        <w:t xml:space="preserve"> huvudsakliga steg</w:t>
      </w:r>
      <w:r w:rsidR="004C695F">
        <w:t xml:space="preserve">. </w:t>
      </w:r>
    </w:p>
    <w:p w14:paraId="53CDF543" w14:textId="77777777" w:rsidR="0036598C" w:rsidRDefault="0036598C">
      <w:pPr>
        <w:pStyle w:val="Liststycke"/>
        <w:numPr>
          <w:ilvl w:val="0"/>
          <w:numId w:val="6"/>
        </w:numPr>
        <w:ind w:left="426"/>
        <w:rPr>
          <w:lang w:eastAsia="sv-SE"/>
        </w:rPr>
      </w:pPr>
      <w:r>
        <w:t>Avgränsa analysobjekt och samla underlag</w:t>
      </w:r>
    </w:p>
    <w:p w14:paraId="7E93F3B7" w14:textId="77777777" w:rsidR="0036598C" w:rsidRDefault="0036598C">
      <w:pPr>
        <w:pStyle w:val="Liststycke"/>
        <w:numPr>
          <w:ilvl w:val="0"/>
          <w:numId w:val="6"/>
        </w:numPr>
        <w:ind w:left="426"/>
        <w:rPr>
          <w:lang w:eastAsia="sv-SE"/>
        </w:rPr>
      </w:pPr>
      <w:r>
        <w:t>Beskriv nuläge, beroenden och dataflöden</w:t>
      </w:r>
    </w:p>
    <w:p w14:paraId="733D49EA" w14:textId="2BA6EFB3" w:rsidR="0036598C" w:rsidRDefault="0036598C">
      <w:pPr>
        <w:pStyle w:val="Liststycke"/>
        <w:numPr>
          <w:ilvl w:val="0"/>
          <w:numId w:val="6"/>
        </w:numPr>
        <w:ind w:left="426"/>
        <w:rPr>
          <w:lang w:eastAsia="sv-SE"/>
        </w:rPr>
      </w:pPr>
      <w:r>
        <w:t>Bedöm risker, sårbarheter</w:t>
      </w:r>
      <w:r w:rsidR="00FD2CA1">
        <w:t xml:space="preserve"> </w:t>
      </w:r>
      <w:r>
        <w:t>och handlingsutrymme</w:t>
      </w:r>
    </w:p>
    <w:p w14:paraId="67558C6F" w14:textId="7369B067" w:rsidR="0036598C" w:rsidRDefault="0036598C">
      <w:pPr>
        <w:pStyle w:val="Liststycke"/>
        <w:numPr>
          <w:ilvl w:val="0"/>
          <w:numId w:val="6"/>
        </w:numPr>
        <w:ind w:left="426"/>
        <w:rPr>
          <w:lang w:eastAsia="sv-SE"/>
        </w:rPr>
      </w:pPr>
      <w:r>
        <w:t>Dokumentera slutsatser och rekommendera åtgärder</w:t>
      </w:r>
    </w:p>
    <w:p w14:paraId="7EB24068" w14:textId="77777777" w:rsidR="00940CB3" w:rsidRDefault="00940CB3" w:rsidP="00940CB3">
      <w:pPr>
        <w:pStyle w:val="Rubrik3"/>
        <w:rPr>
          <w:rFonts w:cstheme="minorBidi"/>
          <w:lang w:eastAsia="sv-SE"/>
        </w:rPr>
      </w:pPr>
      <w:r>
        <w:rPr>
          <w:rFonts w:cstheme="minorBidi"/>
        </w:rPr>
        <w:t>1. Identifiera kritiska processer, informationstillgångar och analysobjekt</w:t>
      </w:r>
    </w:p>
    <w:p w14:paraId="1B610DD8" w14:textId="260B82DB" w:rsidR="00940CB3" w:rsidRDefault="00940CB3">
      <w:pPr>
        <w:rPr>
          <w:lang w:eastAsia="sv-SE"/>
        </w:rPr>
      </w:pPr>
      <w:r>
        <w:t>I det första steget identifierar regionen vilka verksamhetskritiska processer, funktioner och informationstillgångar som analysen ska omfatta. Analysobjektet kan vara en sammanhållen systemmiljö, en dataplattform, ett större leverantörsberoende, en informationskedja mellan flera system</w:t>
      </w:r>
      <w:r w:rsidR="0082039C">
        <w:t>,</w:t>
      </w:r>
      <w:r>
        <w:t xml:space="preserve"> eller en bredare digital försörjningskedja inom ett verksamhetsområde. Utgångspunkten bör vara vilka delar som måste fungera för att vård, administration, ledning, uppföljning eller beredskap ska kunna upprätthållas.</w:t>
      </w:r>
    </w:p>
    <w:p w14:paraId="656D6224" w14:textId="77777777" w:rsidR="00D665AE" w:rsidRDefault="00D665AE">
      <w:pPr>
        <w:divId w:val="83721685"/>
        <w:rPr>
          <w:lang w:eastAsia="sv-SE"/>
        </w:rPr>
      </w:pPr>
      <w:r>
        <w:t>Därefter samlas befintliga underlag in, exempelvis konsekvensanalyser, risk- och sårbarhetsanalyser, kontinuitetsplaner, systemöversikter, integrationskartor, informationsklassningar, avtal, licensöversikter, upphandlingsunderlag, arkitekturbeskrivningar, nyttokalkyler och ekonomiska uppföljningar. Här bör regionen också sammanställa de rättsliga krav och styrande ramverk som är relevanta för analysobjektet. Det omfattar särskilt:</w:t>
      </w:r>
    </w:p>
    <w:p w14:paraId="305AE103" w14:textId="77777777" w:rsidR="00D665AE" w:rsidRDefault="00D665AE">
      <w:pPr>
        <w:pStyle w:val="Liststycke"/>
        <w:numPr>
          <w:ilvl w:val="0"/>
          <w:numId w:val="8"/>
        </w:numPr>
        <w:spacing w:line="256" w:lineRule="auto"/>
        <w:contextualSpacing w:val="0"/>
        <w:divId w:val="83721685"/>
      </w:pPr>
      <w:r>
        <w:rPr>
          <w:b/>
          <w:bCs/>
        </w:rPr>
        <w:t>Hälso- och sjukvårdslagen</w:t>
      </w:r>
      <w:r>
        <w:t xml:space="preserve"> – relevant eftersom analysen behöver bedöma hur den digitala infrastrukturen påverkar vårdens jämlikhet, behovsstyrning och förmåga att ge god vård på lika villkor.</w:t>
      </w:r>
    </w:p>
    <w:p w14:paraId="2976F314" w14:textId="77777777" w:rsidR="00D665AE" w:rsidRDefault="00D665AE">
      <w:pPr>
        <w:pStyle w:val="Liststycke"/>
        <w:numPr>
          <w:ilvl w:val="0"/>
          <w:numId w:val="8"/>
        </w:numPr>
        <w:spacing w:line="256" w:lineRule="auto"/>
        <w:contextualSpacing w:val="0"/>
        <w:divId w:val="83721685"/>
      </w:pPr>
      <w:r>
        <w:rPr>
          <w:b/>
          <w:bCs/>
        </w:rPr>
        <w:t>Patientsäkerhetslagen</w:t>
      </w:r>
      <w:r>
        <w:t xml:space="preserve"> – relevant eftersom digitala system, informationsflöden och tillgång till rätt information i rätt tid är en del av det systematiska patientsäkerhetsarbetet.</w:t>
      </w:r>
    </w:p>
    <w:p w14:paraId="53580894" w14:textId="77777777" w:rsidR="00D665AE" w:rsidRDefault="00D665AE">
      <w:pPr>
        <w:pStyle w:val="Liststycke"/>
        <w:numPr>
          <w:ilvl w:val="0"/>
          <w:numId w:val="8"/>
        </w:numPr>
        <w:spacing w:line="256" w:lineRule="auto"/>
        <w:contextualSpacing w:val="0"/>
        <w:divId w:val="83721685"/>
      </w:pPr>
      <w:r>
        <w:rPr>
          <w:b/>
          <w:bCs/>
        </w:rPr>
        <w:t>Patientdatalagen</w:t>
      </w:r>
      <w:r>
        <w:t xml:space="preserve"> – relevant eftersom analysen behöver bedöma åtkomst, loggning, spärrar, sammanhållen journalföring och hur hälsodata får hanteras i vårdens informationsmiljöer.</w:t>
      </w:r>
    </w:p>
    <w:p w14:paraId="734DE616" w14:textId="77777777" w:rsidR="00D665AE" w:rsidRDefault="00D665AE">
      <w:pPr>
        <w:pStyle w:val="Liststycke"/>
        <w:numPr>
          <w:ilvl w:val="0"/>
          <w:numId w:val="8"/>
        </w:numPr>
        <w:spacing w:line="256" w:lineRule="auto"/>
        <w:contextualSpacing w:val="0"/>
        <w:divId w:val="83721685"/>
      </w:pPr>
      <w:r>
        <w:rPr>
          <w:b/>
          <w:bCs/>
        </w:rPr>
        <w:t>Föreslagen lag om interoperabilitetskrav vid datadelning inom den offentliga förvaltningen</w:t>
      </w:r>
      <w:r>
        <w:t xml:space="preserve"> – relevant eftersom den stärker kraven på att regionens datadelning ska bygga på gemensamma </w:t>
      </w:r>
      <w:proofErr w:type="spellStart"/>
      <w:r>
        <w:t>interoperabilitetslösningar</w:t>
      </w:r>
      <w:proofErr w:type="spellEnd"/>
      <w:r>
        <w:t xml:space="preserve"> och återanvändbara strukturer.</w:t>
      </w:r>
    </w:p>
    <w:p w14:paraId="0E80CF68" w14:textId="77777777" w:rsidR="00D665AE" w:rsidRDefault="00D665AE">
      <w:pPr>
        <w:pStyle w:val="Liststycke"/>
        <w:numPr>
          <w:ilvl w:val="0"/>
          <w:numId w:val="8"/>
        </w:numPr>
        <w:spacing w:line="256" w:lineRule="auto"/>
        <w:contextualSpacing w:val="0"/>
        <w:divId w:val="83721685"/>
      </w:pPr>
      <w:r>
        <w:rPr>
          <w:b/>
          <w:bCs/>
        </w:rPr>
        <w:t>Dataskyddsförordningen (GDPR)</w:t>
      </w:r>
      <w:r>
        <w:t xml:space="preserve"> – relevant eftersom analysen behöver pröva rättslig grund, inbyggt dataskydd, tredjelandsöverföring, tekniska skyddsåtgärder och kontroll över personuppgiftsbehandling.</w:t>
      </w:r>
    </w:p>
    <w:p w14:paraId="7EA19488" w14:textId="77777777" w:rsidR="00D665AE" w:rsidRDefault="00D665AE">
      <w:pPr>
        <w:pStyle w:val="Liststycke"/>
        <w:numPr>
          <w:ilvl w:val="0"/>
          <w:numId w:val="8"/>
        </w:numPr>
        <w:spacing w:line="256" w:lineRule="auto"/>
        <w:contextualSpacing w:val="0"/>
        <w:divId w:val="83721685"/>
      </w:pPr>
      <w:r>
        <w:rPr>
          <w:b/>
          <w:bCs/>
        </w:rPr>
        <w:t>EHDS-förordningen</w:t>
      </w:r>
      <w:r>
        <w:t xml:space="preserve"> – relevant eftersom den successivt skärper kraven på interoperabilitet, strukturerad hälsodata, portabilitet och tillgängliggörande av data för både primär- och sekundäranvändning.</w:t>
      </w:r>
    </w:p>
    <w:p w14:paraId="17CC17C0" w14:textId="0A544759" w:rsidR="00D665AE" w:rsidRDefault="00D665AE">
      <w:pPr>
        <w:pStyle w:val="Liststycke"/>
        <w:numPr>
          <w:ilvl w:val="0"/>
          <w:numId w:val="8"/>
        </w:numPr>
        <w:spacing w:line="256" w:lineRule="auto"/>
        <w:contextualSpacing w:val="0"/>
        <w:divId w:val="83721685"/>
      </w:pPr>
      <w:r>
        <w:rPr>
          <w:b/>
          <w:bCs/>
        </w:rPr>
        <w:t>NIS2/cybersäkerhetslagen</w:t>
      </w:r>
      <w:r>
        <w:t xml:space="preserve"> – relevant eftersom analysen behöver bedöma riskhantering, </w:t>
      </w:r>
      <w:r w:rsidR="00171A14">
        <w:t xml:space="preserve">resiliens, </w:t>
      </w:r>
      <w:r>
        <w:t>incidentförmåga, ledningens ansvar, leverantörskedjor och kontinuitetsåtgärder i samhällsviktig verksamhet.</w:t>
      </w:r>
    </w:p>
    <w:p w14:paraId="0BB7DB6C" w14:textId="77777777" w:rsidR="00D665AE" w:rsidRDefault="00D665AE">
      <w:pPr>
        <w:pStyle w:val="Liststycke"/>
        <w:numPr>
          <w:ilvl w:val="0"/>
          <w:numId w:val="8"/>
        </w:numPr>
        <w:spacing w:line="256" w:lineRule="auto"/>
        <w:contextualSpacing w:val="0"/>
        <w:divId w:val="83721685"/>
      </w:pPr>
      <w:r>
        <w:rPr>
          <w:b/>
          <w:bCs/>
        </w:rPr>
        <w:lastRenderedPageBreak/>
        <w:t>AI-förordningen</w:t>
      </w:r>
      <w:r>
        <w:t xml:space="preserve"> – relevant eftersom den påverkar hur AI-system får införas, övervakas och användas i vården, särskilt när AI används i kliniska eller andra högrisknära sammanhang.</w:t>
      </w:r>
    </w:p>
    <w:p w14:paraId="27697A54" w14:textId="77777777" w:rsidR="00D665AE" w:rsidRDefault="00D665AE">
      <w:pPr>
        <w:pStyle w:val="Liststycke"/>
        <w:numPr>
          <w:ilvl w:val="0"/>
          <w:numId w:val="8"/>
        </w:numPr>
        <w:spacing w:line="256" w:lineRule="auto"/>
        <w:contextualSpacing w:val="0"/>
        <w:divId w:val="83721685"/>
      </w:pPr>
      <w:r>
        <w:rPr>
          <w:b/>
          <w:bCs/>
        </w:rPr>
        <w:t>Cyber Resilience-förordningen</w:t>
      </w:r>
      <w:r>
        <w:t xml:space="preserve"> – relevant eftersom den ställer krav på säkra digitala produkter, sårbarhetshantering, uppdateringar och transparens i programvarans innehåll under hela livscykeln.</w:t>
      </w:r>
    </w:p>
    <w:p w14:paraId="1486B5EB" w14:textId="77777777" w:rsidR="00D665AE" w:rsidRDefault="00D665AE">
      <w:pPr>
        <w:pStyle w:val="Liststycke"/>
        <w:numPr>
          <w:ilvl w:val="0"/>
          <w:numId w:val="8"/>
        </w:numPr>
        <w:spacing w:line="256" w:lineRule="auto"/>
        <w:contextualSpacing w:val="0"/>
        <w:divId w:val="83721685"/>
      </w:pPr>
      <w:r>
        <w:rPr>
          <w:b/>
          <w:bCs/>
        </w:rPr>
        <w:t>Data-förordningen</w:t>
      </w:r>
      <w:r>
        <w:t xml:space="preserve"> – relevant eftersom den stärker rätten till data från uppkopplade produkter och därmed påverkar medicinteknik, dataportabilitet, upphandling och leverantörslåsningar.</w:t>
      </w:r>
    </w:p>
    <w:p w14:paraId="0EFDC434" w14:textId="77777777" w:rsidR="00D665AE" w:rsidRDefault="00D665AE">
      <w:pPr>
        <w:pStyle w:val="Liststycke"/>
        <w:numPr>
          <w:ilvl w:val="0"/>
          <w:numId w:val="8"/>
        </w:numPr>
        <w:spacing w:line="256" w:lineRule="auto"/>
        <w:contextualSpacing w:val="0"/>
        <w:divId w:val="83721685"/>
      </w:pPr>
      <w:r>
        <w:rPr>
          <w:b/>
          <w:bCs/>
        </w:rPr>
        <w:t xml:space="preserve">Data </w:t>
      </w:r>
      <w:proofErr w:type="spellStart"/>
      <w:r>
        <w:rPr>
          <w:b/>
          <w:bCs/>
        </w:rPr>
        <w:t>Governance</w:t>
      </w:r>
      <w:proofErr w:type="spellEnd"/>
      <w:r>
        <w:rPr>
          <w:b/>
          <w:bCs/>
        </w:rPr>
        <w:t>-förordningen</w:t>
      </w:r>
      <w:r>
        <w:t xml:space="preserve"> – relevant eftersom den ställer krav på säkra former för att tillgängliggöra skyddade data för forskning, innovation och annan sekundäranvändning.</w:t>
      </w:r>
    </w:p>
    <w:p w14:paraId="385CAB79" w14:textId="77777777" w:rsidR="00D665AE" w:rsidRDefault="00D665AE">
      <w:pPr>
        <w:pStyle w:val="Liststycke"/>
        <w:numPr>
          <w:ilvl w:val="0"/>
          <w:numId w:val="8"/>
        </w:numPr>
        <w:spacing w:line="256" w:lineRule="auto"/>
        <w:contextualSpacing w:val="0"/>
        <w:divId w:val="83721685"/>
      </w:pPr>
      <w:r>
        <w:rPr>
          <w:b/>
          <w:bCs/>
        </w:rPr>
        <w:t>Öppna data-lagen</w:t>
      </w:r>
      <w:r>
        <w:t xml:space="preserve"> – relevant eftersom den påverkar hur icke-känsliga regionala datamängder ska kunna göras tillgängliga i öppna, maskinläsbara och återanvändbara format.</w:t>
      </w:r>
    </w:p>
    <w:p w14:paraId="562B1DB8" w14:textId="77777777" w:rsidR="00D665AE" w:rsidRDefault="00D665AE">
      <w:pPr>
        <w:pStyle w:val="Liststycke"/>
        <w:numPr>
          <w:ilvl w:val="0"/>
          <w:numId w:val="8"/>
        </w:numPr>
        <w:spacing w:line="256" w:lineRule="auto"/>
        <w:contextualSpacing w:val="0"/>
        <w:divId w:val="83721685"/>
      </w:pPr>
      <w:r>
        <w:rPr>
          <w:b/>
          <w:bCs/>
        </w:rPr>
        <w:t>Interoperable Europe Act</w:t>
      </w:r>
      <w:r>
        <w:t xml:space="preserve"> – relevant eftersom den ökar trycket på interoperabilitet, återanvändning, öppna standarder och dokumenterade gränssnitt i offentlig digital infrastruktur.</w:t>
      </w:r>
    </w:p>
    <w:p w14:paraId="17F78D19" w14:textId="03D494AF" w:rsidR="00543DBD" w:rsidRDefault="00543DBD">
      <w:pPr>
        <w:rPr>
          <w:lang w:eastAsia="sv-SE"/>
        </w:rPr>
      </w:pPr>
      <w:r>
        <w:t xml:space="preserve">Därutöver bör analysen, när det är relevant, beakta framväxande eller föreslagna ramverk såsom Digital </w:t>
      </w:r>
      <w:proofErr w:type="spellStart"/>
      <w:r>
        <w:t>Networks</w:t>
      </w:r>
      <w:proofErr w:type="spellEnd"/>
      <w:r>
        <w:t xml:space="preserve">-förordningen och Tech </w:t>
      </w:r>
      <w:proofErr w:type="spellStart"/>
      <w:r>
        <w:t>Sovereignty</w:t>
      </w:r>
      <w:proofErr w:type="spellEnd"/>
      <w:r>
        <w:t xml:space="preserve"> Package, eftersom de kan påverka regionens långsiktiga vägval, </w:t>
      </w:r>
      <w:proofErr w:type="spellStart"/>
      <w:r>
        <w:t>nätresiliens</w:t>
      </w:r>
      <w:proofErr w:type="spellEnd"/>
      <w:r>
        <w:t xml:space="preserve"> och beroenden till </w:t>
      </w:r>
      <w:r w:rsidR="00A938BB">
        <w:t xml:space="preserve">och kontroll över </w:t>
      </w:r>
      <w:r>
        <w:t>strategisk digital infrastruktur.</w:t>
      </w:r>
    </w:p>
    <w:p w14:paraId="6E156440" w14:textId="2A399B51" w:rsidR="00940CB3" w:rsidRDefault="00940CB3">
      <w:pPr>
        <w:rPr>
          <w:lang w:eastAsia="sv-SE"/>
        </w:rPr>
      </w:pPr>
      <w:r>
        <w:t>I detta steg bör regionen även fastställa analysfrågor, ansvarsfördelning och dokumentationsform. Det är särskilt viktigt att klargöra vem som ansvarar för kontinuitetsperspektivet, rättslig bedömning</w:t>
      </w:r>
      <w:r w:rsidR="000D23D9">
        <w:t xml:space="preserve"> för enskild lagstiftning och på totalen</w:t>
      </w:r>
      <w:r>
        <w:t>, ekonomisk analys, cybersäkerhetsunderlag, arkitekturöversikt och sammanvägning av resultat.</w:t>
      </w:r>
    </w:p>
    <w:p w14:paraId="2D7E1536" w14:textId="77777777" w:rsidR="00940CB3" w:rsidRDefault="00940CB3" w:rsidP="00940CB3">
      <w:pPr>
        <w:pStyle w:val="Rubrik3"/>
        <w:rPr>
          <w:rFonts w:cstheme="minorBidi"/>
          <w:lang w:eastAsia="sv-SE"/>
        </w:rPr>
      </w:pPr>
      <w:r>
        <w:rPr>
          <w:rFonts w:cstheme="minorBidi"/>
        </w:rPr>
        <w:t>2. Beskriv beroenden, informationstillgångar och förutsättningar för kontinuitet</w:t>
      </w:r>
    </w:p>
    <w:p w14:paraId="2FFF971D" w14:textId="77777777" w:rsidR="00940CB3" w:rsidRDefault="00940CB3">
      <w:pPr>
        <w:rPr>
          <w:lang w:eastAsia="sv-SE"/>
        </w:rPr>
      </w:pPr>
      <w:r>
        <w:t>I det andra steget beskriver regionen de beroenden som bär upp kontinuiteten i de kritiska processerna och informationstillgångarna. Det innebär att synliggöra centrala system, plattformar, integrationer, informationsmängder, driftsformer, leverantörer och organisatoriska förutsättningar samt hur dessa samverkar för att information ska kunna vara tillgänglig och användbar vid normal drift och vid störningar.</w:t>
      </w:r>
    </w:p>
    <w:p w14:paraId="2820FE45" w14:textId="77777777" w:rsidR="00940CB3" w:rsidRDefault="00940CB3">
      <w:pPr>
        <w:rPr>
          <w:lang w:eastAsia="sv-SE"/>
        </w:rPr>
      </w:pPr>
      <w:r>
        <w:t>I denna beskrivning bör regionen belysa de analysdimensioner som påverkar kontinuiteten och den långsiktiga hållbarheten, och för varje dimension bedöma nuläge, beroenden, konsekvenser och möjliga åtgärdsbehov:</w:t>
      </w:r>
    </w:p>
    <w:p w14:paraId="41C72E42" w14:textId="77777777" w:rsidR="00AF3B8B" w:rsidRDefault="00AF3B8B">
      <w:pPr>
        <w:pStyle w:val="Liststycke"/>
        <w:numPr>
          <w:ilvl w:val="0"/>
          <w:numId w:val="4"/>
        </w:numPr>
        <w:spacing w:after="120"/>
        <w:ind w:left="714" w:hanging="357"/>
        <w:contextualSpacing w:val="0"/>
        <w:rPr>
          <w:lang w:eastAsia="sv-SE"/>
        </w:rPr>
      </w:pPr>
      <w:proofErr w:type="spellStart"/>
      <w:r w:rsidRPr="00CA78A6">
        <w:rPr>
          <w:b/>
          <w:bCs/>
        </w:rPr>
        <w:t>verksamhetskritikalitet</w:t>
      </w:r>
      <w:proofErr w:type="spellEnd"/>
      <w:r>
        <w:t>: vilka system, tjänster, dataflöden och leverantörer som är mest kritiska för vård, administration, ledning, uppföljning och beredskap</w:t>
      </w:r>
    </w:p>
    <w:p w14:paraId="7F3080F1" w14:textId="77777777" w:rsidR="00AF3B8B" w:rsidRDefault="00AF3B8B">
      <w:pPr>
        <w:pStyle w:val="Liststycke"/>
        <w:numPr>
          <w:ilvl w:val="0"/>
          <w:numId w:val="4"/>
        </w:numPr>
        <w:spacing w:after="120"/>
        <w:ind w:left="714" w:hanging="357"/>
        <w:contextualSpacing w:val="0"/>
        <w:rPr>
          <w:lang w:eastAsia="sv-SE"/>
        </w:rPr>
      </w:pPr>
      <w:r w:rsidRPr="00CA78A6">
        <w:rPr>
          <w:b/>
          <w:bCs/>
        </w:rPr>
        <w:t>beroenden och inlåsning</w:t>
      </w:r>
      <w:r>
        <w:t>: vilka tekniska, avtalsmässiga, kompetensmässiga eller marknadsmässiga inlåsningseffekter som finns, inklusive beroende av specifika leverantörer, plattformar, molntjänster eller specialistkonsulter</w:t>
      </w:r>
    </w:p>
    <w:p w14:paraId="3D773219" w14:textId="77777777" w:rsidR="00AF3B8B" w:rsidRDefault="00AF3B8B">
      <w:pPr>
        <w:pStyle w:val="Liststycke"/>
        <w:numPr>
          <w:ilvl w:val="0"/>
          <w:numId w:val="4"/>
        </w:numPr>
        <w:spacing w:after="120"/>
        <w:ind w:left="714" w:hanging="357"/>
        <w:contextualSpacing w:val="0"/>
        <w:rPr>
          <w:lang w:eastAsia="sv-SE"/>
        </w:rPr>
      </w:pPr>
      <w:r w:rsidRPr="00CA78A6">
        <w:rPr>
          <w:b/>
          <w:bCs/>
        </w:rPr>
        <w:lastRenderedPageBreak/>
        <w:t>data och interoperabilitet</w:t>
      </w:r>
      <w:r>
        <w:t>: hur data lagras, används, delas och kan flyttas eller återanvändas, inklusive förutsättningar för dataportabilitet, öppna standarder, dokumenterade gränssnitt och möjligheten att byta eller komplettera komponenter</w:t>
      </w:r>
    </w:p>
    <w:p w14:paraId="765C5813" w14:textId="77777777" w:rsidR="00AF3B8B" w:rsidRDefault="00AF3B8B">
      <w:pPr>
        <w:pStyle w:val="Liststycke"/>
        <w:numPr>
          <w:ilvl w:val="0"/>
          <w:numId w:val="4"/>
        </w:numPr>
        <w:spacing w:after="120"/>
        <w:ind w:left="714" w:hanging="357"/>
        <w:contextualSpacing w:val="0"/>
        <w:rPr>
          <w:lang w:eastAsia="sv-SE"/>
        </w:rPr>
      </w:pPr>
      <w:r w:rsidRPr="00CA78A6">
        <w:rPr>
          <w:b/>
          <w:bCs/>
        </w:rPr>
        <w:t>cybersäkerhet och informationssäkerhet</w:t>
      </w:r>
      <w:r>
        <w:t>: vilka skyddsåtgärder, beroenden och risker som redan har identifierats genom regionens befintliga arbete, exempelvis i Cybersäkerhetskollen, risk- och sårbarhetsanalyser, kontinuitetsarbete, leverantörsbedömningar och informationsklassning</w:t>
      </w:r>
    </w:p>
    <w:p w14:paraId="4EAB6981" w14:textId="77777777" w:rsidR="00204F6B" w:rsidRDefault="00204F6B">
      <w:pPr>
        <w:pStyle w:val="Liststycke"/>
        <w:numPr>
          <w:ilvl w:val="0"/>
          <w:numId w:val="4"/>
        </w:numPr>
        <w:rPr>
          <w:lang w:eastAsia="sv-SE"/>
        </w:rPr>
      </w:pPr>
      <w:r>
        <w:rPr>
          <w:b/>
          <w:bCs/>
        </w:rPr>
        <w:t>ekonomi och handlingsutrymme</w:t>
      </w:r>
      <w:r>
        <w:t xml:space="preserve">: vilka kostnadsdrivare som finns i försörjningskedjan, inklusive licenser, abonnemang, integrationer, konsultberoenden, förvaltningskostnader, krav på tilläggstjänster, </w:t>
      </w:r>
      <w:proofErr w:type="spellStart"/>
      <w:r>
        <w:t>migreringskostnader</w:t>
      </w:r>
      <w:proofErr w:type="spellEnd"/>
      <w:r>
        <w:t xml:space="preserve"> och eventuella exitkostnader vid förändring, samt hur dessa förhåller sig till regionens aktuella ekonomiska läge, budgetutrymme och möjlighet att genomföra prioriterade åtgärder</w:t>
      </w:r>
    </w:p>
    <w:p w14:paraId="6A5C7DAB" w14:textId="77777777" w:rsidR="00D96558" w:rsidRDefault="00204F6B">
      <w:pPr>
        <w:pStyle w:val="Liststycke"/>
        <w:numPr>
          <w:ilvl w:val="0"/>
          <w:numId w:val="4"/>
        </w:numPr>
        <w:rPr>
          <w:lang w:eastAsia="sv-SE"/>
        </w:rPr>
      </w:pPr>
      <w:r w:rsidRPr="00D96558">
        <w:rPr>
          <w:b/>
          <w:bCs/>
        </w:rPr>
        <w:t>kompetenser och förmågor</w:t>
      </w:r>
      <w:r>
        <w:t>: vilka interna kompetenser, ledningsförmågor, förvaltningsförmågor och operativa förmågor som finns eller saknas för att förstå, styra, säkra, vidareutveckla och vid behov förändra den digitala försörjningskedjan</w:t>
      </w:r>
    </w:p>
    <w:p w14:paraId="7E46D9DE" w14:textId="77777777" w:rsidR="00D96558" w:rsidRDefault="00D96558" w:rsidP="00D96558">
      <w:pPr>
        <w:pStyle w:val="Liststycke"/>
        <w:rPr>
          <w:b/>
          <w:bCs/>
        </w:rPr>
      </w:pPr>
    </w:p>
    <w:p w14:paraId="70160B8D" w14:textId="4D9F95E9" w:rsidR="00204F6B" w:rsidRDefault="00204F6B" w:rsidP="00D96558">
      <w:pPr>
        <w:pStyle w:val="Liststycke"/>
        <w:ind w:left="0"/>
        <w:rPr>
          <w:lang w:eastAsia="sv-SE"/>
        </w:rPr>
      </w:pPr>
      <w:r>
        <w:t>Beskrivningen bör vara tillräckligt konkret för att göra det möjligt att förstå vilka beroenden som är avgörande för kontinuiteten, vilka kostnader och kompetensbehov som följer av dem och hur rättsliga eller säkerhetsmässiga krav påverkar möjliga handlingsalternativ.</w:t>
      </w:r>
    </w:p>
    <w:p w14:paraId="42AE9FDE" w14:textId="77777777" w:rsidR="00AF3B8B" w:rsidRDefault="00AF3B8B">
      <w:pPr>
        <w:rPr>
          <w:lang w:eastAsia="sv-SE"/>
        </w:rPr>
      </w:pPr>
      <w:r>
        <w:t>Vid behov kan regionen använda enkla visualiseringar av beroenden, informationsflöden, kostnadskoncentrationer eller leverantörskedjor för att stödja analysen och dialogen med ledning och verksamhet.</w:t>
      </w:r>
    </w:p>
    <w:p w14:paraId="2D2BF360" w14:textId="77777777" w:rsidR="00940CB3" w:rsidRDefault="00940CB3" w:rsidP="00940CB3">
      <w:pPr>
        <w:pStyle w:val="Rubrik3"/>
        <w:rPr>
          <w:rFonts w:cstheme="minorBidi"/>
          <w:lang w:eastAsia="sv-SE"/>
        </w:rPr>
      </w:pPr>
      <w:r>
        <w:rPr>
          <w:rFonts w:cstheme="minorBidi"/>
        </w:rPr>
        <w:t>3. Bedöm konsekvenser, risker och sårbarheter</w:t>
      </w:r>
    </w:p>
    <w:p w14:paraId="354F18D4" w14:textId="77777777" w:rsidR="00940CB3" w:rsidRDefault="00940CB3">
      <w:pPr>
        <w:rPr>
          <w:lang w:eastAsia="sv-SE"/>
        </w:rPr>
      </w:pPr>
      <w:r>
        <w:t>I det tredje steget bedömer regionen vilka konsekvenser, risker och sårbarheter som följer om de identifierade beroendena brister eller inte fungerar som avsett. Det är här kontinuitetshanteringens kärna blir tydlig: att förstå vilka avbrott, störningar eller begränsningar som skulle få störst påverkan på verksamhet, informationstillgångar, patientsäkerhet, styrning och beredskap.</w:t>
      </w:r>
    </w:p>
    <w:p w14:paraId="633525F3" w14:textId="4964EC7E" w:rsidR="00204F6B" w:rsidRDefault="00204F6B">
      <w:pPr>
        <w:rPr>
          <w:lang w:eastAsia="sv-SE"/>
        </w:rPr>
      </w:pPr>
      <w:r>
        <w:t xml:space="preserve">Bedömningen bör väga samman flera perspektiv: konsekvenser för verksamhetskontinuitet, informations- och cybersäkerhet, juridik, ekonomi, kompetenser och förmågor, upphandling, interoperabilitet och strategisk utvecklingsförmåga. </w:t>
      </w:r>
    </w:p>
    <w:p w14:paraId="70367211" w14:textId="77777777" w:rsidR="00725B2F" w:rsidRDefault="00543DBD">
      <w:r>
        <w:t>Den cybersäkerhetsmässiga delen bör så långt som möjligt bygga på underlag som redan tas fram inom regionens ordinarie arbete, särskilt genom Cybersäkerhetskollen och liknande etablerade bedömningar.</w:t>
      </w:r>
    </w:p>
    <w:p w14:paraId="5186E61A" w14:textId="77777777" w:rsidR="00204F6B" w:rsidRDefault="00204F6B">
      <w:pPr>
        <w:rPr>
          <w:lang w:eastAsia="sv-SE"/>
        </w:rPr>
      </w:pPr>
      <w:r>
        <w:t>Den ekonomiska bedömningen bör synliggöra både direkta och indirekta kostnader, till exempel återkommande licensavgifter, konsultkostnader till följd av beroenden, integrationskostnader, kostnader för specialanpassningar samt kostnader för att minska eller bryta ett beroende. Bedömningen bör också sättas i relation till regionens rådande ekonomiska läge, tillgängligt budgetutrymme och förmåga att finansiera nödvändiga åtgärder över tid.</w:t>
      </w:r>
    </w:p>
    <w:p w14:paraId="3124BDBB" w14:textId="77777777" w:rsidR="00204F6B" w:rsidRDefault="00204F6B">
      <w:pPr>
        <w:rPr>
          <w:lang w:eastAsia="sv-SE"/>
        </w:rPr>
      </w:pPr>
      <w:r>
        <w:t>Bedömningen bör även omfatta om regionen har tillräckliga egna kompetenser och organisatoriska förmågor för att styra leverantörer, förstå tekniska och rättsliga konsekvenser, upprätthålla säker drift, genomföra förändringar och minska sårbara beroenden när det behövs.</w:t>
      </w:r>
    </w:p>
    <w:p w14:paraId="065843F9" w14:textId="77777777" w:rsidR="00940CB3" w:rsidRDefault="00940CB3" w:rsidP="00940CB3">
      <w:pPr>
        <w:pStyle w:val="Rubrik3"/>
        <w:rPr>
          <w:rFonts w:cstheme="minorBidi"/>
          <w:lang w:eastAsia="sv-SE"/>
        </w:rPr>
      </w:pPr>
      <w:r>
        <w:rPr>
          <w:rFonts w:cstheme="minorBidi"/>
        </w:rPr>
        <w:lastRenderedPageBreak/>
        <w:t>4. Prioritera åtgärder och dokumentera analysen</w:t>
      </w:r>
    </w:p>
    <w:p w14:paraId="119B4038" w14:textId="77777777" w:rsidR="00940CB3" w:rsidRDefault="00940CB3">
      <w:pPr>
        <w:rPr>
          <w:lang w:eastAsia="sv-SE"/>
        </w:rPr>
      </w:pPr>
      <w:r>
        <w:t>I det avslutande steget dokumenterar regionen analysen och prioriterar vilka åtgärder som behövs för att stärka kontinuitet, minska sårbarhet och öka långsiktig handlingsfrihet. Dokumentationen bör vara tillräckligt tydlig för att kunna ligga till grund för prioritering, fördjupning eller fortsatt beredning och bör visa både vilka slutsatser regionen drar och vilka bedömningsgrunder som använts.</w:t>
      </w:r>
    </w:p>
    <w:p w14:paraId="5FF0CE8B" w14:textId="77777777" w:rsidR="00AF3B8B" w:rsidRDefault="00AF3B8B">
      <w:pPr>
        <w:pStyle w:val="Liststycke"/>
        <w:numPr>
          <w:ilvl w:val="0"/>
          <w:numId w:val="5"/>
        </w:numPr>
        <w:rPr>
          <w:lang w:eastAsia="sv-SE"/>
        </w:rPr>
      </w:pPr>
      <w:r>
        <w:t>analysobjekt, syfte, avgränsningar, deltagande funktioner och vilka lagstiftningar eller styrande krav som lagts till grund för bedömningen</w:t>
      </w:r>
    </w:p>
    <w:p w14:paraId="7B2AF62A" w14:textId="77777777" w:rsidR="00AF3B8B" w:rsidRDefault="00AF3B8B">
      <w:pPr>
        <w:pStyle w:val="Liststycke"/>
        <w:numPr>
          <w:ilvl w:val="0"/>
          <w:numId w:val="5"/>
        </w:numPr>
        <w:rPr>
          <w:lang w:eastAsia="sv-SE"/>
        </w:rPr>
      </w:pPr>
      <w:r>
        <w:t>sammanfattad nulägesbild med centrala beroenden, dataflöden, kritiska leverantörsrelationer och identifierade koncentrationer</w:t>
      </w:r>
    </w:p>
    <w:p w14:paraId="795A648C" w14:textId="77777777" w:rsidR="00AF3B8B" w:rsidRDefault="00AF3B8B">
      <w:pPr>
        <w:pStyle w:val="Liststycke"/>
        <w:numPr>
          <w:ilvl w:val="0"/>
          <w:numId w:val="5"/>
        </w:numPr>
        <w:rPr>
          <w:lang w:eastAsia="sv-SE"/>
        </w:rPr>
      </w:pPr>
      <w:r>
        <w:t>bedömning av dataportabilitet, standardisering, interoperabilitet och eventuella inlåsningseffekter samt deras konsekvenser för framtida handlingsutrymme</w:t>
      </w:r>
    </w:p>
    <w:p w14:paraId="03CE0ACE" w14:textId="77777777" w:rsidR="00AF3B8B" w:rsidRDefault="00AF3B8B">
      <w:pPr>
        <w:pStyle w:val="Liststycke"/>
        <w:numPr>
          <w:ilvl w:val="0"/>
          <w:numId w:val="5"/>
        </w:numPr>
        <w:rPr>
          <w:lang w:eastAsia="sv-SE"/>
        </w:rPr>
      </w:pPr>
      <w:r>
        <w:t>sammanvägd bedömning av rättsliga, säkerhetsmässiga och ekonomiska konsekvenser, inklusive licenskostnader, konsultberoenden, integrationskostnader, förvaltningskostnader och möjliga kostnader för förändring eller exit</w:t>
      </w:r>
    </w:p>
    <w:p w14:paraId="359110F7" w14:textId="77777777" w:rsidR="00AF3B8B" w:rsidRDefault="00AF3B8B">
      <w:pPr>
        <w:pStyle w:val="Liststycke"/>
        <w:numPr>
          <w:ilvl w:val="0"/>
          <w:numId w:val="5"/>
        </w:numPr>
        <w:rPr>
          <w:lang w:eastAsia="sv-SE"/>
        </w:rPr>
      </w:pPr>
      <w:r>
        <w:t>slutsatser, rekommenderade prioriteringar, behov av fortsatt fördjupning samt förslag till åtgärder som kan minska sårbarhet, öka handlingsfrihet eller förbättra kostnadskontroll</w:t>
      </w:r>
    </w:p>
    <w:p w14:paraId="60C8900B" w14:textId="77777777" w:rsidR="00AF3B8B" w:rsidRDefault="00AF3B8B">
      <w:pPr>
        <w:rPr>
          <w:lang w:eastAsia="sv-SE"/>
        </w:rPr>
      </w:pPr>
      <w:r>
        <w:t>Resultatet bör vara tillräckligt konkret för att kunna omsättas i fortsatt styrning, men samtidigt tillräckligt flexibelt för att kunna användas i olika typer av regionala analys- och beslutsprocesser. Det bör också vara möjligt att återanvända analysen som underlag i exempelvis upphandling, ledningsdialog, planering av tekniska förändringar, prioritering av säkerhetsåtgärder eller fördjupad ekonomisk analys.</w:t>
      </w:r>
    </w:p>
    <w:p w14:paraId="492D7446" w14:textId="77777777" w:rsidR="0036598C" w:rsidRDefault="0036598C" w:rsidP="0036598C">
      <w:pPr>
        <w:pStyle w:val="Rubrik2"/>
        <w:rPr>
          <w:rFonts w:cstheme="minorBidi"/>
          <w:lang w:eastAsia="sv-SE"/>
        </w:rPr>
      </w:pPr>
      <w:r>
        <w:rPr>
          <w:rFonts w:cstheme="minorBidi"/>
        </w:rPr>
        <w:t>Organisering och kompetenser</w:t>
      </w:r>
    </w:p>
    <w:p w14:paraId="0993FFC2" w14:textId="698B7897" w:rsidR="00204F6B" w:rsidRDefault="00204F6B">
      <w:pPr>
        <w:rPr>
          <w:lang w:eastAsia="sv-SE"/>
        </w:rPr>
      </w:pPr>
      <w:r>
        <w:t xml:space="preserve">Analysen bör </w:t>
      </w:r>
      <w:r w:rsidR="00B24C7B">
        <w:t>genomföras</w:t>
      </w:r>
      <w:r>
        <w:t xml:space="preserve"> som ett tvärfunktionellt arbete där kontinuitetsperspektivet hålls samman med övriga analysdimensioner. Arbetet bör ha tydlig beställare, utsedd samordningsfunktion och förankring i berörda verksamheter. En del av analysen bör också vara att bedöma om regionen har de kompetenser och förmågor som krävs för att långsiktigt bära, styra och utveckla den digitala försörjningskedjan. Följande kompetenser bör normalt ingå eller konsulteras:</w:t>
      </w:r>
    </w:p>
    <w:p w14:paraId="091A22EF" w14:textId="77777777" w:rsidR="0036598C" w:rsidRDefault="0036598C">
      <w:pPr>
        <w:pStyle w:val="Liststycke"/>
        <w:numPr>
          <w:ilvl w:val="0"/>
          <w:numId w:val="1"/>
        </w:numPr>
        <w:rPr>
          <w:lang w:eastAsia="sv-SE"/>
        </w:rPr>
      </w:pPr>
      <w:r>
        <w:t>strategisk IT-arkitektur, integrationer och digital infrastruktur</w:t>
      </w:r>
    </w:p>
    <w:p w14:paraId="52B68112" w14:textId="77777777" w:rsidR="0036598C" w:rsidRDefault="0036598C">
      <w:pPr>
        <w:pStyle w:val="Liststycke"/>
        <w:numPr>
          <w:ilvl w:val="0"/>
          <w:numId w:val="1"/>
        </w:numPr>
        <w:rPr>
          <w:lang w:eastAsia="sv-SE"/>
        </w:rPr>
      </w:pPr>
      <w:r>
        <w:t>informationssäkerhet, cybersäkerhet och riskhantering</w:t>
      </w:r>
    </w:p>
    <w:p w14:paraId="00B0618F" w14:textId="77777777" w:rsidR="0036598C" w:rsidRDefault="0036598C">
      <w:pPr>
        <w:pStyle w:val="Liststycke"/>
        <w:numPr>
          <w:ilvl w:val="0"/>
          <w:numId w:val="1"/>
        </w:numPr>
        <w:rPr>
          <w:lang w:eastAsia="sv-SE"/>
        </w:rPr>
      </w:pPr>
      <w:r>
        <w:t>upphandling, leverantörsstyrning och avtalsförvaltning</w:t>
      </w:r>
    </w:p>
    <w:p w14:paraId="38950443" w14:textId="77777777" w:rsidR="0036598C" w:rsidRDefault="0036598C">
      <w:pPr>
        <w:pStyle w:val="Liststycke"/>
        <w:numPr>
          <w:ilvl w:val="0"/>
          <w:numId w:val="1"/>
        </w:numPr>
        <w:rPr>
          <w:lang w:eastAsia="sv-SE"/>
        </w:rPr>
      </w:pPr>
      <w:r>
        <w:t>juridik, dataskydd och informationshantering</w:t>
      </w:r>
    </w:p>
    <w:p w14:paraId="7F559947" w14:textId="77777777" w:rsidR="0036598C" w:rsidRDefault="0036598C">
      <w:pPr>
        <w:pStyle w:val="Liststycke"/>
        <w:numPr>
          <w:ilvl w:val="0"/>
          <w:numId w:val="1"/>
        </w:numPr>
        <w:rPr>
          <w:lang w:eastAsia="sv-SE"/>
        </w:rPr>
      </w:pPr>
      <w:r>
        <w:t>ekonomi, kostnadsanalys och nyttobedömning</w:t>
      </w:r>
    </w:p>
    <w:p w14:paraId="2FF35CDE" w14:textId="77777777" w:rsidR="0036598C" w:rsidRDefault="0036598C">
      <w:pPr>
        <w:pStyle w:val="Liststycke"/>
        <w:numPr>
          <w:ilvl w:val="0"/>
          <w:numId w:val="1"/>
        </w:numPr>
        <w:rPr>
          <w:lang w:eastAsia="sv-SE"/>
        </w:rPr>
      </w:pPr>
      <w:r>
        <w:t>representanter från berörda verksamheter och informationsägare</w:t>
      </w:r>
    </w:p>
    <w:p w14:paraId="24DB7A42" w14:textId="77777777" w:rsidR="0036598C" w:rsidRDefault="0036598C">
      <w:pPr>
        <w:pStyle w:val="Liststycke"/>
        <w:numPr>
          <w:ilvl w:val="0"/>
          <w:numId w:val="1"/>
        </w:numPr>
        <w:rPr>
          <w:lang w:eastAsia="sv-SE"/>
        </w:rPr>
      </w:pPr>
      <w:r>
        <w:t>beredskap, kontinuitetshantering och krisledning där analysobjektet motiverar det</w:t>
      </w:r>
    </w:p>
    <w:p w14:paraId="7716972E" w14:textId="1DBA33D6" w:rsidR="0036598C" w:rsidRDefault="0036598C">
      <w:pPr>
        <w:rPr>
          <w:lang w:eastAsia="sv-SE"/>
        </w:rPr>
      </w:pPr>
      <w:r>
        <w:t xml:space="preserve">Vid analyser som rör dataportabilitet, standardisering eller alternativa arkitekturer bör regionen även säkerställa kompetens om öppna standarder, interoperabilitet och öppna eller </w:t>
      </w:r>
      <w:proofErr w:type="spellStart"/>
      <w:r>
        <w:t>modulära</w:t>
      </w:r>
      <w:proofErr w:type="spellEnd"/>
      <w:r>
        <w:t xml:space="preserve"> lösningar. </w:t>
      </w:r>
    </w:p>
    <w:p w14:paraId="174043D7" w14:textId="77777777" w:rsidR="0036598C" w:rsidRDefault="0036598C" w:rsidP="0036598C">
      <w:pPr>
        <w:pStyle w:val="Rubrik2"/>
        <w:rPr>
          <w:rFonts w:cstheme="minorBidi"/>
          <w:lang w:eastAsia="sv-SE"/>
        </w:rPr>
      </w:pPr>
      <w:r>
        <w:rPr>
          <w:rFonts w:cstheme="minorBidi"/>
        </w:rPr>
        <w:t>Planering och omfattning</w:t>
      </w:r>
    </w:p>
    <w:p w14:paraId="4D6BC4A2" w14:textId="77777777" w:rsidR="00940CB3" w:rsidRDefault="00940CB3">
      <w:pPr>
        <w:rPr>
          <w:lang w:eastAsia="sv-SE"/>
        </w:rPr>
      </w:pPr>
      <w:r>
        <w:t xml:space="preserve">Omfattningen bör anpassas efter analysobjektets komplexitet, de kritiska processernas betydelse och tillgången till befintliga underlag från kontinuitetshantering och närliggande </w:t>
      </w:r>
      <w:r>
        <w:lastRenderedPageBreak/>
        <w:t>arbetssätt. En avgränsad analys kan genomföras på relativt kort tid om centrala underlag redan finns, medan en bredare analys av flera sammanlänkade beroenden normalt kräver längre tid, fler deltagande funktioner och successiva avstämningar med ledning och styrning.</w:t>
      </w:r>
    </w:p>
    <w:p w14:paraId="6CF9AA19" w14:textId="77777777" w:rsidR="0036598C" w:rsidRDefault="0036598C" w:rsidP="0036598C">
      <w:pPr>
        <w:pStyle w:val="Rubrik2"/>
        <w:rPr>
          <w:rFonts w:cstheme="minorBidi"/>
          <w:lang w:eastAsia="sv-SE"/>
        </w:rPr>
      </w:pPr>
      <w:r>
        <w:rPr>
          <w:rFonts w:cstheme="minorBidi"/>
        </w:rPr>
        <w:t>Samverkan och lärande mellan regioner</w:t>
      </w:r>
    </w:p>
    <w:p w14:paraId="69C13823" w14:textId="77777777" w:rsidR="0036598C" w:rsidRDefault="0036598C">
      <w:pPr>
        <w:rPr>
          <w:lang w:eastAsia="sv-SE"/>
        </w:rPr>
      </w:pPr>
      <w:r>
        <w:t>Metodstödet kan användas som grund för gemensamt lärande och erfarenhetsutbyte mellan regioner. Om flera regioner använder en liknande struktur för analys, dokumentation och bedömning skapas bättre förutsättningar för att identifiera gemensamma beroenden, återkommande riskmönster och möjliga samarbetsområden.</w:t>
      </w:r>
    </w:p>
    <w:p w14:paraId="5704D0FA" w14:textId="5421FC71" w:rsidR="005E0983" w:rsidRDefault="005E0983" w:rsidP="005E0983">
      <w:pPr>
        <w:pStyle w:val="Rubrik2"/>
      </w:pPr>
      <w:r>
        <w:t>Avgränsningar</w:t>
      </w:r>
    </w:p>
    <w:p w14:paraId="63BE4952" w14:textId="77777777" w:rsidR="0036598C" w:rsidRDefault="0036598C">
      <w:pPr>
        <w:rPr>
          <w:lang w:eastAsia="sv-SE"/>
        </w:rPr>
      </w:pPr>
      <w:r>
        <w:t>Metodstödet är avsett för analys och bedömning. Det innebär inte i sig ett ställningstagande till specifika tekniska lösningar, systemval eller leverantörer.</w:t>
      </w:r>
    </w:p>
    <w:p w14:paraId="57814A9F" w14:textId="77777777" w:rsidR="0036598C" w:rsidRDefault="0036598C">
      <w:pPr>
        <w:rPr>
          <w:lang w:eastAsia="sv-SE"/>
        </w:rPr>
      </w:pPr>
      <w:r>
        <w:t>Metodstödet omfattar inte genomförande av tekniska förändringar, upphandlingar eller införanden. Det ska i stället ge ett bättre underlag för att bedöma om sådana åtgärder behöver övervägas och på vilka grunder.</w:t>
      </w:r>
    </w:p>
    <w:p w14:paraId="455E4B71" w14:textId="77777777" w:rsidR="0036598C" w:rsidRDefault="0036598C" w:rsidP="0036598C">
      <w:pPr>
        <w:pStyle w:val="Rubrik2"/>
        <w:rPr>
          <w:rFonts w:cstheme="minorBidi"/>
          <w:lang w:eastAsia="sv-SE"/>
        </w:rPr>
      </w:pPr>
      <w:r>
        <w:rPr>
          <w:rFonts w:cstheme="minorBidi"/>
        </w:rPr>
        <w:t>Förväntat resultat av analysen</w:t>
      </w:r>
    </w:p>
    <w:p w14:paraId="0CF13275" w14:textId="77777777" w:rsidR="00940CB3" w:rsidRDefault="00940CB3">
      <w:pPr>
        <w:rPr>
          <w:lang w:eastAsia="sv-SE"/>
        </w:rPr>
      </w:pPr>
      <w:r>
        <w:t>När metodstödet har använts bör analysen, med kontinuitetshantering som grund, ge följande resultat:</w:t>
      </w:r>
    </w:p>
    <w:p w14:paraId="100A7413" w14:textId="77777777" w:rsidR="00940CB3" w:rsidRDefault="00940CB3">
      <w:pPr>
        <w:pStyle w:val="Liststycke"/>
        <w:numPr>
          <w:ilvl w:val="0"/>
          <w:numId w:val="7"/>
        </w:numPr>
        <w:rPr>
          <w:lang w:eastAsia="sv-SE"/>
        </w:rPr>
      </w:pPr>
      <w:r>
        <w:t>en dokumenterad beskrivning av vilka verksamhetskritiska processer, informationstillgångar och digitala beroenden som är avgörande för kontinuiteten</w:t>
      </w:r>
    </w:p>
    <w:p w14:paraId="7479016D" w14:textId="77777777" w:rsidR="0036598C" w:rsidRDefault="0036598C">
      <w:pPr>
        <w:pStyle w:val="Liststycke"/>
        <w:numPr>
          <w:ilvl w:val="0"/>
          <w:numId w:val="7"/>
        </w:numPr>
        <w:rPr>
          <w:lang w:eastAsia="sv-SE"/>
        </w:rPr>
      </w:pPr>
      <w:r>
        <w:t>en sammanvägd bedömning av centrala riskdimensioner, sårbarheter och beroenden</w:t>
      </w:r>
    </w:p>
    <w:p w14:paraId="7C514C85" w14:textId="77777777" w:rsidR="0036598C" w:rsidRDefault="0036598C">
      <w:pPr>
        <w:pStyle w:val="Liststycke"/>
        <w:numPr>
          <w:ilvl w:val="0"/>
          <w:numId w:val="7"/>
        </w:numPr>
        <w:rPr>
          <w:lang w:eastAsia="sv-SE"/>
        </w:rPr>
      </w:pPr>
      <w:r>
        <w:t>en analys av dataportabilitet, standardisering, interoperabilitet och eventuella inlåsningseffekter</w:t>
      </w:r>
    </w:p>
    <w:p w14:paraId="62EA9FD9" w14:textId="77777777" w:rsidR="00204F6B" w:rsidRDefault="00204F6B">
      <w:pPr>
        <w:pStyle w:val="Liststycke"/>
        <w:numPr>
          <w:ilvl w:val="0"/>
          <w:numId w:val="7"/>
        </w:numPr>
        <w:rPr>
          <w:lang w:eastAsia="sv-SE"/>
        </w:rPr>
      </w:pPr>
      <w:r>
        <w:t>en bedömning av ekonomiska konsekvenser, budgetmässigt handlingsutrymme, resiliens, kontinuitetsförmåga och strategiskt handlingsutrymme</w:t>
      </w:r>
    </w:p>
    <w:p w14:paraId="581E5078" w14:textId="77777777" w:rsidR="00204F6B" w:rsidRDefault="00204F6B">
      <w:pPr>
        <w:pStyle w:val="Liststycke"/>
        <w:numPr>
          <w:ilvl w:val="0"/>
          <w:numId w:val="7"/>
        </w:numPr>
        <w:rPr>
          <w:lang w:eastAsia="sv-SE"/>
        </w:rPr>
      </w:pPr>
      <w:r>
        <w:t>en bedömning av vilka kompetenser och organisatoriska förmågor regionen har eller behöver stärka för att minska sårbarhet och beroenden över tid</w:t>
      </w:r>
    </w:p>
    <w:p w14:paraId="5CEF5B95" w14:textId="77777777" w:rsidR="0036598C" w:rsidRDefault="0036598C">
      <w:pPr>
        <w:pStyle w:val="Liststycke"/>
        <w:numPr>
          <w:ilvl w:val="0"/>
          <w:numId w:val="7"/>
        </w:numPr>
        <w:rPr>
          <w:lang w:eastAsia="sv-SE"/>
        </w:rPr>
      </w:pPr>
      <w:r>
        <w:t>rekommenderade prioriteringar och åtgärdsområden för fortsatt regionalt arbete</w:t>
      </w:r>
    </w:p>
    <w:p w14:paraId="02568530" w14:textId="77777777" w:rsidR="0036598C" w:rsidRDefault="0036598C">
      <w:pPr>
        <w:pStyle w:val="Liststycke"/>
        <w:numPr>
          <w:ilvl w:val="0"/>
          <w:numId w:val="7"/>
        </w:numPr>
        <w:rPr>
          <w:lang w:eastAsia="sv-SE"/>
        </w:rPr>
      </w:pPr>
      <w:r>
        <w:t>ett underlag som kan användas i ledningsdialog, planering, styrning och eventuell samverkan med andra regioner</w:t>
      </w:r>
    </w:p>
    <w:p w14:paraId="7EB6B12A" w14:textId="77777777" w:rsidR="00940CB3" w:rsidRDefault="00940CB3">
      <w:pPr>
        <w:rPr>
          <w:lang w:eastAsia="sv-SE"/>
        </w:rPr>
      </w:pPr>
      <w:r>
        <w:t>Resultatet kan användas både som beslutsunderlag i den egna regionen och som grund för fortsatt fördjupning inom exempelvis arkitektur, säkerhet, upphandling, beredskap eller verksamhetsutveckling. Genom att använda kontinuitetshantering som grund blir analysen lättare att förankra i befintliga arbetssätt och lättare att omsätta i prioriterade åtgärder.</w:t>
      </w:r>
    </w:p>
    <w:p w14:paraId="6529084A" w14:textId="77777777" w:rsidR="00940CB3" w:rsidRDefault="00940CB3">
      <w:r>
        <w:t>Om analysen dokumenteras på ett strukturerat och jämförbart sätt kan den också bidra till en bredare förståelse av gemensamma utmaningar och utvecklingsbehov i regionsektorns digitala försörjningskedjor, samtidigt som den bygger på en metodik som många regioner redan känner igen.</w:t>
      </w:r>
    </w:p>
    <w:p w14:paraId="126FDCAB" w14:textId="24ED9F45" w:rsidR="00551232" w:rsidRPr="00551232" w:rsidRDefault="00551232">
      <w:pPr>
        <w:rPr>
          <w:color w:val="FF0000"/>
          <w:lang w:eastAsia="sv-SE"/>
        </w:rPr>
      </w:pPr>
      <w:r w:rsidRPr="00551232">
        <w:rPr>
          <w:color w:val="FF0000"/>
          <w:highlight w:val="yellow"/>
        </w:rPr>
        <w:t>Här efter kan vi bygga på med konkreta frågor att besvara inom de olika dimensionerna vi vill ska ingå i analysen. Kanske med självskattning och fritextsvar? Första steget för Datatillgångsgruppen är att bli överens om vilka dimensioner vil vill att analysen ska inkludera och vilka steg vi ser är nödvändiga i analysen. Därefter bygger vi på med frågebatteri tänker jag.</w:t>
      </w:r>
    </w:p>
    <w:sectPr w:rsidR="00551232" w:rsidRPr="00551232">
      <w:headerReference w:type="defaul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31DA4" w14:textId="77777777" w:rsidR="00435107" w:rsidRDefault="00435107" w:rsidP="00373A9A">
      <w:pPr>
        <w:spacing w:after="0" w:line="240" w:lineRule="auto"/>
      </w:pPr>
      <w:r>
        <w:separator/>
      </w:r>
    </w:p>
  </w:endnote>
  <w:endnote w:type="continuationSeparator" w:id="0">
    <w:p w14:paraId="2F043EC0" w14:textId="77777777" w:rsidR="00435107" w:rsidRDefault="00435107" w:rsidP="00373A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7BEB2" w14:textId="77777777" w:rsidR="00435107" w:rsidRDefault="00435107" w:rsidP="00373A9A">
      <w:pPr>
        <w:spacing w:after="0" w:line="240" w:lineRule="auto"/>
      </w:pPr>
      <w:r>
        <w:separator/>
      </w:r>
    </w:p>
  </w:footnote>
  <w:footnote w:type="continuationSeparator" w:id="0">
    <w:p w14:paraId="0567AF9A" w14:textId="77777777" w:rsidR="00435107" w:rsidRDefault="00435107" w:rsidP="00373A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4562831"/>
      <w:docPartObj>
        <w:docPartGallery w:val="Watermarks"/>
        <w:docPartUnique/>
      </w:docPartObj>
    </w:sdtPr>
    <w:sdtEndPr>
      <w:rPr>
        <w:b/>
        <w:bCs/>
        <w:color w:val="FF0000"/>
        <w:sz w:val="20"/>
        <w:szCs w:val="20"/>
      </w:rPr>
    </w:sdtEndPr>
    <w:sdtContent>
      <w:p w14:paraId="688C5D75" w14:textId="6BF3459C" w:rsidR="00DA6EEA" w:rsidRPr="00354BA0" w:rsidRDefault="003E689C">
        <w:pPr>
          <w:pStyle w:val="Sidhuvud"/>
          <w:rPr>
            <w:b/>
            <w:bCs/>
            <w:color w:val="FF0000"/>
            <w:sz w:val="20"/>
            <w:szCs w:val="20"/>
          </w:rPr>
        </w:pPr>
        <w:r>
          <w:rPr>
            <w:b/>
            <w:bCs/>
            <w:color w:val="FF0000"/>
            <w:sz w:val="20"/>
            <w:szCs w:val="20"/>
          </w:rPr>
          <w:pict w14:anchorId="5A86A9D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UTKAST"/>
              <w10:wrap anchorx="margin" anchory="margin"/>
            </v:shape>
          </w:pict>
        </w:r>
        <w:r w:rsidR="00354BA0" w:rsidRPr="00354BA0">
          <w:rPr>
            <w:b/>
            <w:bCs/>
            <w:color w:val="FF0000"/>
            <w:sz w:val="20"/>
            <w:szCs w:val="20"/>
          </w:rPr>
          <w:t>ARBETSMATERIAL – EJ FÖR SPRIDNING</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C6D8F"/>
    <w:multiLevelType w:val="hybridMultilevel"/>
    <w:tmpl w:val="9B245076"/>
    <w:lvl w:ilvl="0" w:tplc="041D000F">
      <w:start w:val="1"/>
      <w:numFmt w:val="decimal"/>
      <w:lvlText w:val="%1."/>
      <w:lvlJc w:val="left"/>
      <w:pPr>
        <w:ind w:left="6880" w:hanging="360"/>
      </w:pPr>
      <w:rPr>
        <w:rFonts w:hint="default"/>
      </w:rPr>
    </w:lvl>
    <w:lvl w:ilvl="1" w:tplc="041D0019" w:tentative="1">
      <w:start w:val="1"/>
      <w:numFmt w:val="lowerLetter"/>
      <w:lvlText w:val="%2."/>
      <w:lvlJc w:val="left"/>
      <w:pPr>
        <w:ind w:left="7600" w:hanging="360"/>
      </w:pPr>
    </w:lvl>
    <w:lvl w:ilvl="2" w:tplc="041D001B" w:tentative="1">
      <w:start w:val="1"/>
      <w:numFmt w:val="lowerRoman"/>
      <w:lvlText w:val="%3."/>
      <w:lvlJc w:val="right"/>
      <w:pPr>
        <w:ind w:left="8320" w:hanging="180"/>
      </w:pPr>
    </w:lvl>
    <w:lvl w:ilvl="3" w:tplc="041D000F" w:tentative="1">
      <w:start w:val="1"/>
      <w:numFmt w:val="decimal"/>
      <w:lvlText w:val="%4."/>
      <w:lvlJc w:val="left"/>
      <w:pPr>
        <w:ind w:left="9040" w:hanging="360"/>
      </w:pPr>
    </w:lvl>
    <w:lvl w:ilvl="4" w:tplc="041D0019" w:tentative="1">
      <w:start w:val="1"/>
      <w:numFmt w:val="lowerLetter"/>
      <w:lvlText w:val="%5."/>
      <w:lvlJc w:val="left"/>
      <w:pPr>
        <w:ind w:left="9760" w:hanging="360"/>
      </w:pPr>
    </w:lvl>
    <w:lvl w:ilvl="5" w:tplc="041D001B" w:tentative="1">
      <w:start w:val="1"/>
      <w:numFmt w:val="lowerRoman"/>
      <w:lvlText w:val="%6."/>
      <w:lvlJc w:val="right"/>
      <w:pPr>
        <w:ind w:left="10480" w:hanging="180"/>
      </w:pPr>
    </w:lvl>
    <w:lvl w:ilvl="6" w:tplc="041D000F" w:tentative="1">
      <w:start w:val="1"/>
      <w:numFmt w:val="decimal"/>
      <w:lvlText w:val="%7."/>
      <w:lvlJc w:val="left"/>
      <w:pPr>
        <w:ind w:left="11200" w:hanging="360"/>
      </w:pPr>
    </w:lvl>
    <w:lvl w:ilvl="7" w:tplc="041D0019" w:tentative="1">
      <w:start w:val="1"/>
      <w:numFmt w:val="lowerLetter"/>
      <w:lvlText w:val="%8."/>
      <w:lvlJc w:val="left"/>
      <w:pPr>
        <w:ind w:left="11920" w:hanging="360"/>
      </w:pPr>
    </w:lvl>
    <w:lvl w:ilvl="8" w:tplc="041D001B" w:tentative="1">
      <w:start w:val="1"/>
      <w:numFmt w:val="lowerRoman"/>
      <w:lvlText w:val="%9."/>
      <w:lvlJc w:val="right"/>
      <w:pPr>
        <w:ind w:left="12640" w:hanging="180"/>
      </w:pPr>
    </w:lvl>
  </w:abstractNum>
  <w:abstractNum w:abstractNumId="1" w15:restartNumberingAfterBreak="0">
    <w:nsid w:val="150E76BD"/>
    <w:multiLevelType w:val="hybridMultilevel"/>
    <w:tmpl w:val="FE7453E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3C566369"/>
    <w:multiLevelType w:val="hybridMultilevel"/>
    <w:tmpl w:val="81F86BD4"/>
    <w:lvl w:ilvl="0" w:tplc="041D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FA85CEC"/>
    <w:multiLevelType w:val="hybridMultilevel"/>
    <w:tmpl w:val="A7142560"/>
    <w:lvl w:ilvl="0" w:tplc="041D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2016D62"/>
    <w:multiLevelType w:val="multilevel"/>
    <w:tmpl w:val="24E6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55333D"/>
    <w:multiLevelType w:val="hybridMultilevel"/>
    <w:tmpl w:val="D7DCB2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69105983"/>
    <w:multiLevelType w:val="hybridMultilevel"/>
    <w:tmpl w:val="6512DE82"/>
    <w:lvl w:ilvl="0" w:tplc="041D000D">
      <w:start w:val="1"/>
      <w:numFmt w:val="bullet"/>
      <w:lvlText w:val=""/>
      <w:lvlJc w:val="left"/>
      <w:pPr>
        <w:ind w:left="720" w:hanging="360"/>
      </w:pPr>
      <w:rPr>
        <w:rFonts w:ascii="Wingdings" w:hAnsi="Wingdings"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700A6E25"/>
    <w:multiLevelType w:val="hybridMultilevel"/>
    <w:tmpl w:val="C0226A08"/>
    <w:lvl w:ilvl="0" w:tplc="041D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19576111">
    <w:abstractNumId w:val="1"/>
  </w:num>
  <w:num w:numId="2" w16cid:durableId="662666533">
    <w:abstractNumId w:val="5"/>
  </w:num>
  <w:num w:numId="3" w16cid:durableId="594363088">
    <w:abstractNumId w:val="6"/>
  </w:num>
  <w:num w:numId="4" w16cid:durableId="144125583">
    <w:abstractNumId w:val="3"/>
  </w:num>
  <w:num w:numId="5" w16cid:durableId="2089185435">
    <w:abstractNumId w:val="2"/>
  </w:num>
  <w:num w:numId="6" w16cid:durableId="1270553616">
    <w:abstractNumId w:val="0"/>
  </w:num>
  <w:num w:numId="7" w16cid:durableId="1264992635">
    <w:abstractNumId w:val="7"/>
  </w:num>
  <w:num w:numId="8" w16cid:durableId="941105272">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1304"/>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549"/>
    <w:rsid w:val="000000E9"/>
    <w:rsid w:val="000021F9"/>
    <w:rsid w:val="00020F99"/>
    <w:rsid w:val="00034B72"/>
    <w:rsid w:val="00050491"/>
    <w:rsid w:val="00057DEF"/>
    <w:rsid w:val="000610E6"/>
    <w:rsid w:val="0006154C"/>
    <w:rsid w:val="00070DDE"/>
    <w:rsid w:val="0007156F"/>
    <w:rsid w:val="00071D58"/>
    <w:rsid w:val="00071D6C"/>
    <w:rsid w:val="00083BCB"/>
    <w:rsid w:val="00096E5D"/>
    <w:rsid w:val="000970C1"/>
    <w:rsid w:val="000A036B"/>
    <w:rsid w:val="000A34D7"/>
    <w:rsid w:val="000B02A6"/>
    <w:rsid w:val="000B63F8"/>
    <w:rsid w:val="000C6225"/>
    <w:rsid w:val="000D23D9"/>
    <w:rsid w:val="000D2FAB"/>
    <w:rsid w:val="000D5BFB"/>
    <w:rsid w:val="000F0F35"/>
    <w:rsid w:val="000F40EB"/>
    <w:rsid w:val="00102741"/>
    <w:rsid w:val="001309E5"/>
    <w:rsid w:val="00131E1A"/>
    <w:rsid w:val="00171A14"/>
    <w:rsid w:val="00186FD5"/>
    <w:rsid w:val="00190A8C"/>
    <w:rsid w:val="00194720"/>
    <w:rsid w:val="001A4DB0"/>
    <w:rsid w:val="001B312E"/>
    <w:rsid w:val="001D4DEA"/>
    <w:rsid w:val="001D4F2D"/>
    <w:rsid w:val="001E7FE8"/>
    <w:rsid w:val="001F2AB4"/>
    <w:rsid w:val="0020259A"/>
    <w:rsid w:val="00204F6B"/>
    <w:rsid w:val="0021158C"/>
    <w:rsid w:val="00214AD6"/>
    <w:rsid w:val="00217D65"/>
    <w:rsid w:val="00217E79"/>
    <w:rsid w:val="00234285"/>
    <w:rsid w:val="00243A77"/>
    <w:rsid w:val="00245D8D"/>
    <w:rsid w:val="002539E3"/>
    <w:rsid w:val="00282921"/>
    <w:rsid w:val="00286DE7"/>
    <w:rsid w:val="00295B25"/>
    <w:rsid w:val="002967B9"/>
    <w:rsid w:val="002A4A2D"/>
    <w:rsid w:val="002A4BAD"/>
    <w:rsid w:val="002B6636"/>
    <w:rsid w:val="002C356D"/>
    <w:rsid w:val="002D5513"/>
    <w:rsid w:val="002D576E"/>
    <w:rsid w:val="002F59C4"/>
    <w:rsid w:val="00301415"/>
    <w:rsid w:val="003158B7"/>
    <w:rsid w:val="00321AFB"/>
    <w:rsid w:val="003229AD"/>
    <w:rsid w:val="003368B3"/>
    <w:rsid w:val="00343191"/>
    <w:rsid w:val="0034424E"/>
    <w:rsid w:val="00353C8F"/>
    <w:rsid w:val="00354BA0"/>
    <w:rsid w:val="00356707"/>
    <w:rsid w:val="00360392"/>
    <w:rsid w:val="00363B68"/>
    <w:rsid w:val="0036598C"/>
    <w:rsid w:val="0037023C"/>
    <w:rsid w:val="00373A9A"/>
    <w:rsid w:val="003824A4"/>
    <w:rsid w:val="00383795"/>
    <w:rsid w:val="00392693"/>
    <w:rsid w:val="00394A80"/>
    <w:rsid w:val="00395FDF"/>
    <w:rsid w:val="00396CC7"/>
    <w:rsid w:val="003A2E93"/>
    <w:rsid w:val="003A656D"/>
    <w:rsid w:val="003A746A"/>
    <w:rsid w:val="003B0EBF"/>
    <w:rsid w:val="003D2C3B"/>
    <w:rsid w:val="003E4774"/>
    <w:rsid w:val="003E689C"/>
    <w:rsid w:val="0043052E"/>
    <w:rsid w:val="004310B9"/>
    <w:rsid w:val="00435107"/>
    <w:rsid w:val="00443BDF"/>
    <w:rsid w:val="0045550F"/>
    <w:rsid w:val="00457502"/>
    <w:rsid w:val="0048202E"/>
    <w:rsid w:val="00482B28"/>
    <w:rsid w:val="004914D5"/>
    <w:rsid w:val="004A0D4B"/>
    <w:rsid w:val="004B2BE1"/>
    <w:rsid w:val="004C695F"/>
    <w:rsid w:val="004D62DB"/>
    <w:rsid w:val="004F0647"/>
    <w:rsid w:val="004F5ED7"/>
    <w:rsid w:val="00501A91"/>
    <w:rsid w:val="005039A2"/>
    <w:rsid w:val="005060A4"/>
    <w:rsid w:val="005075B8"/>
    <w:rsid w:val="005125A2"/>
    <w:rsid w:val="00525F05"/>
    <w:rsid w:val="00533C49"/>
    <w:rsid w:val="00535C8F"/>
    <w:rsid w:val="00540FFB"/>
    <w:rsid w:val="00543DBD"/>
    <w:rsid w:val="00547EBE"/>
    <w:rsid w:val="00551232"/>
    <w:rsid w:val="005513FE"/>
    <w:rsid w:val="00560353"/>
    <w:rsid w:val="00564997"/>
    <w:rsid w:val="0059709D"/>
    <w:rsid w:val="005A5013"/>
    <w:rsid w:val="005B7872"/>
    <w:rsid w:val="005D3199"/>
    <w:rsid w:val="005D6D0D"/>
    <w:rsid w:val="005E0983"/>
    <w:rsid w:val="005E2665"/>
    <w:rsid w:val="005F6C60"/>
    <w:rsid w:val="0060101D"/>
    <w:rsid w:val="006161E4"/>
    <w:rsid w:val="00620500"/>
    <w:rsid w:val="006229A6"/>
    <w:rsid w:val="0062610F"/>
    <w:rsid w:val="00626B3A"/>
    <w:rsid w:val="00632463"/>
    <w:rsid w:val="00640BFD"/>
    <w:rsid w:val="006412F3"/>
    <w:rsid w:val="00643FA2"/>
    <w:rsid w:val="00661137"/>
    <w:rsid w:val="00661D1A"/>
    <w:rsid w:val="00666689"/>
    <w:rsid w:val="0067371E"/>
    <w:rsid w:val="00686D66"/>
    <w:rsid w:val="00693FB9"/>
    <w:rsid w:val="006A4EF9"/>
    <w:rsid w:val="006A7190"/>
    <w:rsid w:val="006C2A54"/>
    <w:rsid w:val="006C6E5D"/>
    <w:rsid w:val="006D4582"/>
    <w:rsid w:val="006D48DB"/>
    <w:rsid w:val="006D7148"/>
    <w:rsid w:val="006E2254"/>
    <w:rsid w:val="006E52ED"/>
    <w:rsid w:val="006E5333"/>
    <w:rsid w:val="006F19BD"/>
    <w:rsid w:val="006F4C34"/>
    <w:rsid w:val="006F7CC1"/>
    <w:rsid w:val="00702CEE"/>
    <w:rsid w:val="00706584"/>
    <w:rsid w:val="00710B9A"/>
    <w:rsid w:val="00715B73"/>
    <w:rsid w:val="007175BB"/>
    <w:rsid w:val="00725721"/>
    <w:rsid w:val="00725B2F"/>
    <w:rsid w:val="00731B97"/>
    <w:rsid w:val="0073610A"/>
    <w:rsid w:val="00736B2B"/>
    <w:rsid w:val="00736C9D"/>
    <w:rsid w:val="00737B03"/>
    <w:rsid w:val="00742DF2"/>
    <w:rsid w:val="00745237"/>
    <w:rsid w:val="007479B3"/>
    <w:rsid w:val="00760EB6"/>
    <w:rsid w:val="007677D2"/>
    <w:rsid w:val="00767E0B"/>
    <w:rsid w:val="00771235"/>
    <w:rsid w:val="00775121"/>
    <w:rsid w:val="00777C65"/>
    <w:rsid w:val="0078169D"/>
    <w:rsid w:val="007920E3"/>
    <w:rsid w:val="00796D4E"/>
    <w:rsid w:val="007A16DE"/>
    <w:rsid w:val="007A7302"/>
    <w:rsid w:val="007B2492"/>
    <w:rsid w:val="007B4AC1"/>
    <w:rsid w:val="007C7403"/>
    <w:rsid w:val="007D0A07"/>
    <w:rsid w:val="007D2C0D"/>
    <w:rsid w:val="007D5D0E"/>
    <w:rsid w:val="007D65E7"/>
    <w:rsid w:val="007E1301"/>
    <w:rsid w:val="007E1DEE"/>
    <w:rsid w:val="007E45C7"/>
    <w:rsid w:val="007F5B2B"/>
    <w:rsid w:val="0080002D"/>
    <w:rsid w:val="008109E6"/>
    <w:rsid w:val="00811948"/>
    <w:rsid w:val="0082039C"/>
    <w:rsid w:val="00820605"/>
    <w:rsid w:val="008418E1"/>
    <w:rsid w:val="00852549"/>
    <w:rsid w:val="008929FC"/>
    <w:rsid w:val="00895E11"/>
    <w:rsid w:val="008964A5"/>
    <w:rsid w:val="0089793A"/>
    <w:rsid w:val="008A51F5"/>
    <w:rsid w:val="008A5841"/>
    <w:rsid w:val="008B42CE"/>
    <w:rsid w:val="008B59FA"/>
    <w:rsid w:val="008D2962"/>
    <w:rsid w:val="008E372A"/>
    <w:rsid w:val="008F1E9E"/>
    <w:rsid w:val="008F5EF1"/>
    <w:rsid w:val="008F5FC0"/>
    <w:rsid w:val="0090008E"/>
    <w:rsid w:val="009058FF"/>
    <w:rsid w:val="00917151"/>
    <w:rsid w:val="00921BB8"/>
    <w:rsid w:val="00921C4A"/>
    <w:rsid w:val="009401D0"/>
    <w:rsid w:val="0094066A"/>
    <w:rsid w:val="00940CB3"/>
    <w:rsid w:val="00944B1D"/>
    <w:rsid w:val="00954EEE"/>
    <w:rsid w:val="009772FF"/>
    <w:rsid w:val="00986F3B"/>
    <w:rsid w:val="009936CA"/>
    <w:rsid w:val="009A0650"/>
    <w:rsid w:val="009C7166"/>
    <w:rsid w:val="009D258D"/>
    <w:rsid w:val="009F7E2B"/>
    <w:rsid w:val="00A00BD1"/>
    <w:rsid w:val="00A031EF"/>
    <w:rsid w:val="00A1418B"/>
    <w:rsid w:val="00A2457B"/>
    <w:rsid w:val="00A416D3"/>
    <w:rsid w:val="00A4354B"/>
    <w:rsid w:val="00A56681"/>
    <w:rsid w:val="00A607B0"/>
    <w:rsid w:val="00A63BE4"/>
    <w:rsid w:val="00A63E4D"/>
    <w:rsid w:val="00A8144D"/>
    <w:rsid w:val="00A83D90"/>
    <w:rsid w:val="00A938BB"/>
    <w:rsid w:val="00A97DE9"/>
    <w:rsid w:val="00AA064D"/>
    <w:rsid w:val="00AA331D"/>
    <w:rsid w:val="00AA4E06"/>
    <w:rsid w:val="00AB0901"/>
    <w:rsid w:val="00AB1CF5"/>
    <w:rsid w:val="00AC330D"/>
    <w:rsid w:val="00AD0B6B"/>
    <w:rsid w:val="00AE0CA5"/>
    <w:rsid w:val="00AE4D2B"/>
    <w:rsid w:val="00AE6611"/>
    <w:rsid w:val="00AF2C56"/>
    <w:rsid w:val="00AF3B8B"/>
    <w:rsid w:val="00B04627"/>
    <w:rsid w:val="00B10EED"/>
    <w:rsid w:val="00B24C7B"/>
    <w:rsid w:val="00B33CC3"/>
    <w:rsid w:val="00B36747"/>
    <w:rsid w:val="00B41935"/>
    <w:rsid w:val="00B51E32"/>
    <w:rsid w:val="00B6222B"/>
    <w:rsid w:val="00B6264D"/>
    <w:rsid w:val="00B660C1"/>
    <w:rsid w:val="00B71D11"/>
    <w:rsid w:val="00B73029"/>
    <w:rsid w:val="00B73EEF"/>
    <w:rsid w:val="00B92B42"/>
    <w:rsid w:val="00BA05C8"/>
    <w:rsid w:val="00BA37DA"/>
    <w:rsid w:val="00BB64D4"/>
    <w:rsid w:val="00BB6CA9"/>
    <w:rsid w:val="00BF66E8"/>
    <w:rsid w:val="00C0495B"/>
    <w:rsid w:val="00C21A70"/>
    <w:rsid w:val="00C324F2"/>
    <w:rsid w:val="00C37F1A"/>
    <w:rsid w:val="00C5401D"/>
    <w:rsid w:val="00C602F4"/>
    <w:rsid w:val="00C70B91"/>
    <w:rsid w:val="00C82FEB"/>
    <w:rsid w:val="00C85F51"/>
    <w:rsid w:val="00C910F3"/>
    <w:rsid w:val="00C938C1"/>
    <w:rsid w:val="00CA5D36"/>
    <w:rsid w:val="00CA78A6"/>
    <w:rsid w:val="00CB7B8C"/>
    <w:rsid w:val="00CC3D68"/>
    <w:rsid w:val="00CC59CA"/>
    <w:rsid w:val="00CD5838"/>
    <w:rsid w:val="00CE41BD"/>
    <w:rsid w:val="00CE42CC"/>
    <w:rsid w:val="00CF36ED"/>
    <w:rsid w:val="00D0196D"/>
    <w:rsid w:val="00D03A61"/>
    <w:rsid w:val="00D05EF3"/>
    <w:rsid w:val="00D26B7D"/>
    <w:rsid w:val="00D30E1E"/>
    <w:rsid w:val="00D5057B"/>
    <w:rsid w:val="00D51513"/>
    <w:rsid w:val="00D5306E"/>
    <w:rsid w:val="00D5546A"/>
    <w:rsid w:val="00D57A1C"/>
    <w:rsid w:val="00D60CFC"/>
    <w:rsid w:val="00D665AE"/>
    <w:rsid w:val="00D674D8"/>
    <w:rsid w:val="00D72AB0"/>
    <w:rsid w:val="00D73CFD"/>
    <w:rsid w:val="00D77B08"/>
    <w:rsid w:val="00D92D35"/>
    <w:rsid w:val="00D96558"/>
    <w:rsid w:val="00DA6EEA"/>
    <w:rsid w:val="00DB4933"/>
    <w:rsid w:val="00DC49E1"/>
    <w:rsid w:val="00DD00D6"/>
    <w:rsid w:val="00DD0752"/>
    <w:rsid w:val="00DE6D1A"/>
    <w:rsid w:val="00DF72D9"/>
    <w:rsid w:val="00E03F11"/>
    <w:rsid w:val="00E10CC9"/>
    <w:rsid w:val="00E4161F"/>
    <w:rsid w:val="00E44304"/>
    <w:rsid w:val="00E50100"/>
    <w:rsid w:val="00E54B27"/>
    <w:rsid w:val="00E55206"/>
    <w:rsid w:val="00E5CCF4"/>
    <w:rsid w:val="00E644E0"/>
    <w:rsid w:val="00E75579"/>
    <w:rsid w:val="00E75A76"/>
    <w:rsid w:val="00E80AB4"/>
    <w:rsid w:val="00E8542B"/>
    <w:rsid w:val="00E9254D"/>
    <w:rsid w:val="00E9370D"/>
    <w:rsid w:val="00EA39ED"/>
    <w:rsid w:val="00EA3C31"/>
    <w:rsid w:val="00EB7378"/>
    <w:rsid w:val="00EC5424"/>
    <w:rsid w:val="00EE5F0A"/>
    <w:rsid w:val="00EF7CE8"/>
    <w:rsid w:val="00F14425"/>
    <w:rsid w:val="00F17AA7"/>
    <w:rsid w:val="00F20787"/>
    <w:rsid w:val="00F26A44"/>
    <w:rsid w:val="00F35A00"/>
    <w:rsid w:val="00F36022"/>
    <w:rsid w:val="00F36F47"/>
    <w:rsid w:val="00F462EA"/>
    <w:rsid w:val="00F46886"/>
    <w:rsid w:val="00F50CFE"/>
    <w:rsid w:val="00F63B6B"/>
    <w:rsid w:val="00F66EC9"/>
    <w:rsid w:val="00F766F9"/>
    <w:rsid w:val="00F8096B"/>
    <w:rsid w:val="00FA2F06"/>
    <w:rsid w:val="00FA436C"/>
    <w:rsid w:val="00FB44F9"/>
    <w:rsid w:val="00FC1ADA"/>
    <w:rsid w:val="00FD2CA1"/>
    <w:rsid w:val="00FE0A75"/>
    <w:rsid w:val="00FE0B26"/>
    <w:rsid w:val="00FF10BB"/>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27EE65"/>
  <w15:chartTrackingRefBased/>
  <w15:docId w15:val="{E3EE7B69-14D4-4311-9119-F3D08FB23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8525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unhideWhenUsed/>
    <w:qFormat/>
    <w:rsid w:val="008525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unhideWhenUsed/>
    <w:qFormat/>
    <w:rsid w:val="00852549"/>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852549"/>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852549"/>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852549"/>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852549"/>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852549"/>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852549"/>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852549"/>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rsid w:val="00852549"/>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rsid w:val="00852549"/>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852549"/>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852549"/>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852549"/>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852549"/>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852549"/>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852549"/>
    <w:rPr>
      <w:rFonts w:eastAsiaTheme="majorEastAsia" w:cstheme="majorBidi"/>
      <w:color w:val="272727" w:themeColor="text1" w:themeTint="D8"/>
    </w:rPr>
  </w:style>
  <w:style w:type="paragraph" w:styleId="Rubrik">
    <w:name w:val="Title"/>
    <w:basedOn w:val="Normal"/>
    <w:next w:val="Normal"/>
    <w:link w:val="RubrikChar"/>
    <w:uiPriority w:val="10"/>
    <w:qFormat/>
    <w:rsid w:val="008525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852549"/>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852549"/>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852549"/>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852549"/>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852549"/>
    <w:rPr>
      <w:i/>
      <w:iCs/>
      <w:color w:val="404040" w:themeColor="text1" w:themeTint="BF"/>
    </w:rPr>
  </w:style>
  <w:style w:type="paragraph" w:styleId="Liststycke">
    <w:name w:val="List Paragraph"/>
    <w:basedOn w:val="Normal"/>
    <w:uiPriority w:val="34"/>
    <w:qFormat/>
    <w:rsid w:val="00852549"/>
    <w:pPr>
      <w:ind w:left="720"/>
      <w:contextualSpacing/>
    </w:pPr>
  </w:style>
  <w:style w:type="character" w:styleId="Starkbetoning">
    <w:name w:val="Intense Emphasis"/>
    <w:basedOn w:val="Standardstycketeckensnitt"/>
    <w:uiPriority w:val="21"/>
    <w:qFormat/>
    <w:rsid w:val="00852549"/>
    <w:rPr>
      <w:i/>
      <w:iCs/>
      <w:color w:val="0F4761" w:themeColor="accent1" w:themeShade="BF"/>
    </w:rPr>
  </w:style>
  <w:style w:type="paragraph" w:styleId="Starktcitat">
    <w:name w:val="Intense Quote"/>
    <w:basedOn w:val="Normal"/>
    <w:next w:val="Normal"/>
    <w:link w:val="StarktcitatChar"/>
    <w:uiPriority w:val="30"/>
    <w:qFormat/>
    <w:rsid w:val="008525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852549"/>
    <w:rPr>
      <w:i/>
      <w:iCs/>
      <w:color w:val="0F4761" w:themeColor="accent1" w:themeShade="BF"/>
    </w:rPr>
  </w:style>
  <w:style w:type="character" w:styleId="Starkreferens">
    <w:name w:val="Intense Reference"/>
    <w:basedOn w:val="Standardstycketeckensnitt"/>
    <w:uiPriority w:val="32"/>
    <w:qFormat/>
    <w:rsid w:val="00852549"/>
    <w:rPr>
      <w:b/>
      <w:bCs/>
      <w:smallCaps/>
      <w:color w:val="0F4761" w:themeColor="accent1" w:themeShade="BF"/>
      <w:spacing w:val="5"/>
    </w:rPr>
  </w:style>
  <w:style w:type="paragraph" w:styleId="Ingetavstnd">
    <w:name w:val="No Spacing"/>
    <w:uiPriority w:val="1"/>
    <w:qFormat/>
    <w:rsid w:val="001A4DB0"/>
    <w:pPr>
      <w:spacing w:after="0" w:line="240" w:lineRule="auto"/>
    </w:pPr>
  </w:style>
  <w:style w:type="paragraph" w:styleId="Fotnotstext">
    <w:name w:val="footnote text"/>
    <w:basedOn w:val="Normal"/>
    <w:link w:val="FotnotstextChar"/>
    <w:uiPriority w:val="99"/>
    <w:semiHidden/>
    <w:unhideWhenUsed/>
    <w:rsid w:val="00373A9A"/>
    <w:pPr>
      <w:spacing w:after="0" w:line="240" w:lineRule="auto"/>
    </w:pPr>
    <w:rPr>
      <w:sz w:val="20"/>
      <w:szCs w:val="20"/>
    </w:rPr>
  </w:style>
  <w:style w:type="character" w:customStyle="1" w:styleId="FotnotstextChar">
    <w:name w:val="Fotnotstext Char"/>
    <w:basedOn w:val="Standardstycketeckensnitt"/>
    <w:link w:val="Fotnotstext"/>
    <w:uiPriority w:val="99"/>
    <w:semiHidden/>
    <w:rsid w:val="00373A9A"/>
    <w:rPr>
      <w:sz w:val="20"/>
      <w:szCs w:val="20"/>
    </w:rPr>
  </w:style>
  <w:style w:type="character" w:styleId="Fotnotsreferens">
    <w:name w:val="footnote reference"/>
    <w:basedOn w:val="Standardstycketeckensnitt"/>
    <w:uiPriority w:val="99"/>
    <w:semiHidden/>
    <w:unhideWhenUsed/>
    <w:rsid w:val="00373A9A"/>
    <w:rPr>
      <w:vertAlign w:val="superscript"/>
    </w:rPr>
  </w:style>
  <w:style w:type="character" w:styleId="Hyperlnk">
    <w:name w:val="Hyperlink"/>
    <w:basedOn w:val="Standardstycketeckensnitt"/>
    <w:uiPriority w:val="99"/>
    <w:unhideWhenUsed/>
    <w:rsid w:val="000A036B"/>
    <w:rPr>
      <w:color w:val="467886" w:themeColor="hyperlink"/>
      <w:u w:val="single"/>
    </w:rPr>
  </w:style>
  <w:style w:type="character" w:styleId="Olstomnmnande">
    <w:name w:val="Unresolved Mention"/>
    <w:basedOn w:val="Standardstycketeckensnitt"/>
    <w:uiPriority w:val="99"/>
    <w:semiHidden/>
    <w:unhideWhenUsed/>
    <w:rsid w:val="000A036B"/>
    <w:rPr>
      <w:color w:val="605E5C"/>
      <w:shd w:val="clear" w:color="auto" w:fill="E1DFDD"/>
    </w:rPr>
  </w:style>
  <w:style w:type="paragraph" w:styleId="Sidhuvud">
    <w:name w:val="header"/>
    <w:basedOn w:val="Normal"/>
    <w:link w:val="SidhuvudChar"/>
    <w:uiPriority w:val="99"/>
    <w:unhideWhenUsed/>
    <w:rsid w:val="00DA6EEA"/>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DA6EEA"/>
  </w:style>
  <w:style w:type="paragraph" w:styleId="Sidfot">
    <w:name w:val="footer"/>
    <w:basedOn w:val="Normal"/>
    <w:link w:val="SidfotChar"/>
    <w:uiPriority w:val="99"/>
    <w:unhideWhenUsed/>
    <w:rsid w:val="00DA6EEA"/>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DA6EEA"/>
  </w:style>
  <w:style w:type="table" w:styleId="Tabellrutnt">
    <w:name w:val="Table Grid"/>
    <w:basedOn w:val="Normaltabell"/>
    <w:uiPriority w:val="39"/>
    <w:rsid w:val="00B33C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etoning">
    <w:name w:val="Emphasis"/>
    <w:basedOn w:val="Standardstycketeckensnitt"/>
    <w:uiPriority w:val="20"/>
    <w:qFormat/>
    <w:rsid w:val="00FA436C"/>
    <w:rPr>
      <w:i/>
      <w:iCs/>
    </w:rPr>
  </w:style>
  <w:style w:type="paragraph" w:styleId="Normalwebb">
    <w:name w:val="Normal (Web)"/>
    <w:basedOn w:val="Normal"/>
    <w:uiPriority w:val="99"/>
    <w:semiHidden/>
    <w:unhideWhenUsed/>
    <w:rsid w:val="00661137"/>
    <w:pPr>
      <w:spacing w:before="100" w:beforeAutospacing="1" w:after="100" w:afterAutospacing="1" w:line="240" w:lineRule="auto"/>
    </w:pPr>
    <w:rPr>
      <w:rFonts w:ascii="Times New Roman" w:eastAsia="Times New Roman" w:hAnsi="Times New Roman" w:cs="Times New Roman"/>
      <w:kern w:val="0"/>
      <w:sz w:val="24"/>
      <w:szCs w:val="24"/>
      <w:lang w:eastAsia="sv-SE"/>
      <w14:ligatures w14:val="none"/>
    </w:rPr>
  </w:style>
  <w:style w:type="character" w:styleId="Stark">
    <w:name w:val="Strong"/>
    <w:basedOn w:val="Standardstycketeckensnitt"/>
    <w:uiPriority w:val="22"/>
    <w:qFormat/>
    <w:rsid w:val="00661137"/>
    <w:rPr>
      <w:b/>
      <w:bCs/>
    </w:rPr>
  </w:style>
  <w:style w:type="character" w:styleId="Kommentarsreferens">
    <w:name w:val="annotation reference"/>
    <w:basedOn w:val="Standardstycketeckensnitt"/>
    <w:uiPriority w:val="99"/>
    <w:semiHidden/>
    <w:unhideWhenUsed/>
    <w:rsid w:val="004A0D4B"/>
    <w:rPr>
      <w:sz w:val="16"/>
      <w:szCs w:val="16"/>
    </w:rPr>
  </w:style>
  <w:style w:type="paragraph" w:styleId="Kommentarer">
    <w:name w:val="annotation text"/>
    <w:basedOn w:val="Normal"/>
    <w:link w:val="KommentarerChar"/>
    <w:uiPriority w:val="99"/>
    <w:unhideWhenUsed/>
    <w:rsid w:val="004A0D4B"/>
    <w:pPr>
      <w:spacing w:line="240" w:lineRule="auto"/>
    </w:pPr>
    <w:rPr>
      <w:sz w:val="20"/>
      <w:szCs w:val="20"/>
    </w:rPr>
  </w:style>
  <w:style w:type="character" w:customStyle="1" w:styleId="KommentarerChar">
    <w:name w:val="Kommentarer Char"/>
    <w:basedOn w:val="Standardstycketeckensnitt"/>
    <w:link w:val="Kommentarer"/>
    <w:uiPriority w:val="99"/>
    <w:rsid w:val="004A0D4B"/>
    <w:rPr>
      <w:sz w:val="20"/>
      <w:szCs w:val="20"/>
    </w:rPr>
  </w:style>
  <w:style w:type="paragraph" w:styleId="Kommentarsmne">
    <w:name w:val="annotation subject"/>
    <w:basedOn w:val="Kommentarer"/>
    <w:next w:val="Kommentarer"/>
    <w:link w:val="KommentarsmneChar"/>
    <w:uiPriority w:val="99"/>
    <w:semiHidden/>
    <w:unhideWhenUsed/>
    <w:rsid w:val="004A0D4B"/>
    <w:rPr>
      <w:b/>
      <w:bCs/>
    </w:rPr>
  </w:style>
  <w:style w:type="character" w:customStyle="1" w:styleId="KommentarsmneChar">
    <w:name w:val="Kommentarsämne Char"/>
    <w:basedOn w:val="KommentarerChar"/>
    <w:link w:val="Kommentarsmne"/>
    <w:uiPriority w:val="99"/>
    <w:semiHidden/>
    <w:rsid w:val="004A0D4B"/>
    <w:rPr>
      <w:b/>
      <w:bCs/>
      <w:sz w:val="20"/>
      <w:szCs w:val="20"/>
    </w:rPr>
  </w:style>
  <w:style w:type="table" w:customStyle="1" w:styleId="GridTable1Light-Accent1">
    <w:name w:val="Grid Table 1 Light - Accent 1"/>
    <w:basedOn w:val="Normaltabell"/>
    <w:uiPriority w:val="46"/>
    <w:rsid w:val="0036598C"/>
    <w:pPr>
      <w:spacing w:after="0" w:line="240" w:lineRule="auto"/>
    </w:pPr>
    <w:rPr>
      <w:sz w:val="24"/>
      <w:szCs w:val="24"/>
    </w:rPr>
    <w:tblPr>
      <w:tblStyleRowBandSize w:val="1"/>
      <w:tblStyleColBandSize w:val="1"/>
      <w:tblInd w:w="0" w:type="nil"/>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721685">
      <w:marLeft w:val="0"/>
      <w:marRight w:val="0"/>
      <w:marTop w:val="0"/>
      <w:marBottom w:val="0"/>
      <w:divBdr>
        <w:top w:val="none" w:sz="0" w:space="0" w:color="auto"/>
        <w:left w:val="none" w:sz="0" w:space="0" w:color="auto"/>
        <w:bottom w:val="none" w:sz="0" w:space="0" w:color="auto"/>
        <w:right w:val="none" w:sz="0" w:space="0" w:color="auto"/>
      </w:divBdr>
    </w:div>
    <w:div w:id="447356654">
      <w:bodyDiv w:val="1"/>
      <w:marLeft w:val="0"/>
      <w:marRight w:val="0"/>
      <w:marTop w:val="0"/>
      <w:marBottom w:val="0"/>
      <w:divBdr>
        <w:top w:val="none" w:sz="0" w:space="0" w:color="auto"/>
        <w:left w:val="none" w:sz="0" w:space="0" w:color="auto"/>
        <w:bottom w:val="none" w:sz="0" w:space="0" w:color="auto"/>
        <w:right w:val="none" w:sz="0" w:space="0" w:color="auto"/>
      </w:divBdr>
    </w:div>
    <w:div w:id="482895720">
      <w:bodyDiv w:val="1"/>
      <w:marLeft w:val="0"/>
      <w:marRight w:val="0"/>
      <w:marTop w:val="0"/>
      <w:marBottom w:val="0"/>
      <w:divBdr>
        <w:top w:val="none" w:sz="0" w:space="0" w:color="auto"/>
        <w:left w:val="none" w:sz="0" w:space="0" w:color="auto"/>
        <w:bottom w:val="none" w:sz="0" w:space="0" w:color="auto"/>
        <w:right w:val="none" w:sz="0" w:space="0" w:color="auto"/>
      </w:divBdr>
    </w:div>
    <w:div w:id="496309370">
      <w:bodyDiv w:val="1"/>
      <w:marLeft w:val="0"/>
      <w:marRight w:val="0"/>
      <w:marTop w:val="0"/>
      <w:marBottom w:val="0"/>
      <w:divBdr>
        <w:top w:val="none" w:sz="0" w:space="0" w:color="auto"/>
        <w:left w:val="none" w:sz="0" w:space="0" w:color="auto"/>
        <w:bottom w:val="none" w:sz="0" w:space="0" w:color="auto"/>
        <w:right w:val="none" w:sz="0" w:space="0" w:color="auto"/>
      </w:divBdr>
    </w:div>
    <w:div w:id="604196295">
      <w:bodyDiv w:val="1"/>
      <w:marLeft w:val="0"/>
      <w:marRight w:val="0"/>
      <w:marTop w:val="0"/>
      <w:marBottom w:val="0"/>
      <w:divBdr>
        <w:top w:val="none" w:sz="0" w:space="0" w:color="auto"/>
        <w:left w:val="none" w:sz="0" w:space="0" w:color="auto"/>
        <w:bottom w:val="none" w:sz="0" w:space="0" w:color="auto"/>
        <w:right w:val="none" w:sz="0" w:space="0" w:color="auto"/>
      </w:divBdr>
    </w:div>
    <w:div w:id="717315358">
      <w:bodyDiv w:val="1"/>
      <w:marLeft w:val="0"/>
      <w:marRight w:val="0"/>
      <w:marTop w:val="0"/>
      <w:marBottom w:val="0"/>
      <w:divBdr>
        <w:top w:val="none" w:sz="0" w:space="0" w:color="auto"/>
        <w:left w:val="none" w:sz="0" w:space="0" w:color="auto"/>
        <w:bottom w:val="none" w:sz="0" w:space="0" w:color="auto"/>
        <w:right w:val="none" w:sz="0" w:space="0" w:color="auto"/>
      </w:divBdr>
    </w:div>
    <w:div w:id="905262343">
      <w:bodyDiv w:val="1"/>
      <w:marLeft w:val="0"/>
      <w:marRight w:val="0"/>
      <w:marTop w:val="0"/>
      <w:marBottom w:val="0"/>
      <w:divBdr>
        <w:top w:val="none" w:sz="0" w:space="0" w:color="auto"/>
        <w:left w:val="none" w:sz="0" w:space="0" w:color="auto"/>
        <w:bottom w:val="none" w:sz="0" w:space="0" w:color="auto"/>
        <w:right w:val="none" w:sz="0" w:space="0" w:color="auto"/>
      </w:divBdr>
    </w:div>
    <w:div w:id="1007634987">
      <w:bodyDiv w:val="1"/>
      <w:marLeft w:val="0"/>
      <w:marRight w:val="0"/>
      <w:marTop w:val="0"/>
      <w:marBottom w:val="0"/>
      <w:divBdr>
        <w:top w:val="none" w:sz="0" w:space="0" w:color="auto"/>
        <w:left w:val="none" w:sz="0" w:space="0" w:color="auto"/>
        <w:bottom w:val="none" w:sz="0" w:space="0" w:color="auto"/>
        <w:right w:val="none" w:sz="0" w:space="0" w:color="auto"/>
      </w:divBdr>
    </w:div>
    <w:div w:id="1317681520">
      <w:bodyDiv w:val="1"/>
      <w:marLeft w:val="0"/>
      <w:marRight w:val="0"/>
      <w:marTop w:val="0"/>
      <w:marBottom w:val="0"/>
      <w:divBdr>
        <w:top w:val="none" w:sz="0" w:space="0" w:color="auto"/>
        <w:left w:val="none" w:sz="0" w:space="0" w:color="auto"/>
        <w:bottom w:val="none" w:sz="0" w:space="0" w:color="auto"/>
        <w:right w:val="none" w:sz="0" w:space="0" w:color="auto"/>
      </w:divBdr>
    </w:div>
    <w:div w:id="1496921883">
      <w:bodyDiv w:val="1"/>
      <w:marLeft w:val="0"/>
      <w:marRight w:val="0"/>
      <w:marTop w:val="0"/>
      <w:marBottom w:val="0"/>
      <w:divBdr>
        <w:top w:val="none" w:sz="0" w:space="0" w:color="auto"/>
        <w:left w:val="none" w:sz="0" w:space="0" w:color="auto"/>
        <w:bottom w:val="none" w:sz="0" w:space="0" w:color="auto"/>
        <w:right w:val="none" w:sz="0" w:space="0" w:color="auto"/>
      </w:divBdr>
    </w:div>
    <w:div w:id="1521502828">
      <w:bodyDiv w:val="1"/>
      <w:marLeft w:val="0"/>
      <w:marRight w:val="0"/>
      <w:marTop w:val="0"/>
      <w:marBottom w:val="0"/>
      <w:divBdr>
        <w:top w:val="none" w:sz="0" w:space="0" w:color="auto"/>
        <w:left w:val="none" w:sz="0" w:space="0" w:color="auto"/>
        <w:bottom w:val="none" w:sz="0" w:space="0" w:color="auto"/>
        <w:right w:val="none" w:sz="0" w:space="0" w:color="auto"/>
      </w:divBdr>
    </w:div>
    <w:div w:id="1742101340">
      <w:bodyDiv w:val="1"/>
      <w:marLeft w:val="0"/>
      <w:marRight w:val="0"/>
      <w:marTop w:val="0"/>
      <w:marBottom w:val="0"/>
      <w:divBdr>
        <w:top w:val="none" w:sz="0" w:space="0" w:color="auto"/>
        <w:left w:val="none" w:sz="0" w:space="0" w:color="auto"/>
        <w:bottom w:val="none" w:sz="0" w:space="0" w:color="auto"/>
        <w:right w:val="none" w:sz="0" w:space="0" w:color="auto"/>
      </w:divBdr>
    </w:div>
    <w:div w:id="2097439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QuickStyle" Target="diagrams/quickStyle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5" Type="http://schemas.openxmlformats.org/officeDocument/2006/relationships/numbering" Target="numbering.xml"/><Relationship Id="rId15" Type="http://schemas.microsoft.com/office/2007/relationships/diagramDrawing" Target="diagrams/drawing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3870886-1734-4D66-9F84-5E07AC6F206A}" type="doc">
      <dgm:prSet loTypeId="urn:microsoft.com/office/officeart/2005/8/layout/chevron1" loCatId="process" qsTypeId="urn:microsoft.com/office/officeart/2005/8/quickstyle/simple1" qsCatId="simple" csTypeId="urn:microsoft.com/office/officeart/2005/8/colors/accent1_1" csCatId="accent1" phldr="1"/>
      <dgm:spPr/>
    </dgm:pt>
    <dgm:pt modelId="{445C165E-6634-45FA-9BD9-879DF4D43BDE}">
      <dgm:prSet phldrT="[Text]"/>
      <dgm:spPr>
        <a:solidFill>
          <a:schemeClr val="accent1"/>
        </a:solidFill>
      </dgm:spPr>
      <dgm:t>
        <a:bodyPr/>
        <a:lstStyle/>
        <a:p>
          <a:r>
            <a:rPr lang="sv-SE" b="1">
              <a:solidFill>
                <a:schemeClr val="bg1"/>
              </a:solidFill>
            </a:rPr>
            <a:t>STEG 1:</a:t>
          </a:r>
          <a:br>
            <a:rPr lang="sv-SE">
              <a:solidFill>
                <a:schemeClr val="bg1"/>
              </a:solidFill>
            </a:rPr>
          </a:br>
          <a:r>
            <a:rPr lang="sv-SE">
              <a:solidFill>
                <a:schemeClr val="bg1"/>
              </a:solidFill>
            </a:rPr>
            <a:t>Ta fram regiongemensamt metodstöd</a:t>
          </a:r>
        </a:p>
      </dgm:t>
    </dgm:pt>
    <dgm:pt modelId="{0A9DD730-22CB-43F9-B6ED-4411E807D585}" type="parTrans" cxnId="{D1BF354B-1645-4944-8132-A2A44E8324B4}">
      <dgm:prSet/>
      <dgm:spPr/>
      <dgm:t>
        <a:bodyPr/>
        <a:lstStyle/>
        <a:p>
          <a:endParaRPr lang="sv-SE"/>
        </a:p>
      </dgm:t>
    </dgm:pt>
    <dgm:pt modelId="{DED416BF-8452-4461-AC60-6DF130F4E0F1}" type="sibTrans" cxnId="{D1BF354B-1645-4944-8132-A2A44E8324B4}">
      <dgm:prSet/>
      <dgm:spPr/>
      <dgm:t>
        <a:bodyPr/>
        <a:lstStyle/>
        <a:p>
          <a:endParaRPr lang="sv-SE"/>
        </a:p>
      </dgm:t>
    </dgm:pt>
    <dgm:pt modelId="{BC6B73F5-BE5E-4585-8538-2A0596B7FD95}">
      <dgm:prSet phldrT="[Text]"/>
      <dgm:spPr/>
      <dgm:t>
        <a:bodyPr/>
        <a:lstStyle/>
        <a:p>
          <a:r>
            <a:rPr lang="sv-SE" b="1"/>
            <a:t>STEG 2:</a:t>
          </a:r>
          <a:br>
            <a:rPr lang="sv-SE"/>
          </a:br>
          <a:r>
            <a:rPr lang="sv-SE"/>
            <a:t>Analys på regional nivå utgår från metodstödet</a:t>
          </a:r>
        </a:p>
      </dgm:t>
    </dgm:pt>
    <dgm:pt modelId="{45DD5DAA-C754-46A2-836D-CE9FE14EF642}" type="parTrans" cxnId="{F89D410B-41F4-4D70-9B0F-94308EB62006}">
      <dgm:prSet/>
      <dgm:spPr/>
      <dgm:t>
        <a:bodyPr/>
        <a:lstStyle/>
        <a:p>
          <a:endParaRPr lang="sv-SE"/>
        </a:p>
      </dgm:t>
    </dgm:pt>
    <dgm:pt modelId="{C90EBE75-0797-4139-B76F-81D9D4EC7C9A}" type="sibTrans" cxnId="{F89D410B-41F4-4D70-9B0F-94308EB62006}">
      <dgm:prSet/>
      <dgm:spPr/>
      <dgm:t>
        <a:bodyPr/>
        <a:lstStyle/>
        <a:p>
          <a:endParaRPr lang="sv-SE"/>
        </a:p>
      </dgm:t>
    </dgm:pt>
    <dgm:pt modelId="{EADF24C8-9909-4524-B0E8-502483648E00}">
      <dgm:prSet phldrT="[Text]"/>
      <dgm:spPr/>
      <dgm:t>
        <a:bodyPr/>
        <a:lstStyle/>
        <a:p>
          <a:r>
            <a:rPr lang="sv-SE" b="1"/>
            <a:t>STEG 3:</a:t>
          </a:r>
          <a:br>
            <a:rPr lang="sv-SE"/>
          </a:br>
          <a:r>
            <a:rPr lang="sv-SE"/>
            <a:t>Nationell syntes</a:t>
          </a:r>
        </a:p>
      </dgm:t>
    </dgm:pt>
    <dgm:pt modelId="{25C8C487-C1A2-4DBB-A9EF-F9EC8648CB36}" type="parTrans" cxnId="{05186811-5A32-4935-BE55-3E896D2E6D88}">
      <dgm:prSet/>
      <dgm:spPr/>
      <dgm:t>
        <a:bodyPr/>
        <a:lstStyle/>
        <a:p>
          <a:endParaRPr lang="sv-SE"/>
        </a:p>
      </dgm:t>
    </dgm:pt>
    <dgm:pt modelId="{5BC57732-D842-4E00-8BB1-EA260E8CA1D9}" type="sibTrans" cxnId="{05186811-5A32-4935-BE55-3E896D2E6D88}">
      <dgm:prSet/>
      <dgm:spPr/>
      <dgm:t>
        <a:bodyPr/>
        <a:lstStyle/>
        <a:p>
          <a:endParaRPr lang="sv-SE"/>
        </a:p>
      </dgm:t>
    </dgm:pt>
    <dgm:pt modelId="{FDABDFCA-E0B1-423F-A5D3-A8D2188B4686}">
      <dgm:prSet phldrT="[Text]"/>
      <dgm:spPr/>
      <dgm:t>
        <a:bodyPr/>
        <a:lstStyle/>
        <a:p>
          <a:r>
            <a:rPr lang="sv-SE" b="1"/>
            <a:t>STEG 4:</a:t>
          </a:r>
          <a:br>
            <a:rPr lang="sv-SE"/>
          </a:br>
          <a:r>
            <a:rPr lang="sv-SE"/>
            <a:t>Gemensam utveckling mot ökad hållbarhet i den digitala infrastrukturen</a:t>
          </a:r>
        </a:p>
      </dgm:t>
    </dgm:pt>
    <dgm:pt modelId="{C8EB3302-4D84-494B-862C-FABF753ADF3F}" type="parTrans" cxnId="{4978E007-4CDD-49DB-8D5F-237F68E45E50}">
      <dgm:prSet/>
      <dgm:spPr/>
      <dgm:t>
        <a:bodyPr/>
        <a:lstStyle/>
        <a:p>
          <a:endParaRPr lang="sv-SE"/>
        </a:p>
      </dgm:t>
    </dgm:pt>
    <dgm:pt modelId="{2EA463B0-083D-40C7-B851-E8B9B578F5C8}" type="sibTrans" cxnId="{4978E007-4CDD-49DB-8D5F-237F68E45E50}">
      <dgm:prSet/>
      <dgm:spPr/>
      <dgm:t>
        <a:bodyPr/>
        <a:lstStyle/>
        <a:p>
          <a:endParaRPr lang="sv-SE"/>
        </a:p>
      </dgm:t>
    </dgm:pt>
    <dgm:pt modelId="{277C76BB-7B7B-4A6C-BE68-57A52AFA09E3}" type="pres">
      <dgm:prSet presAssocID="{B3870886-1734-4D66-9F84-5E07AC6F206A}" presName="Name0" presStyleCnt="0">
        <dgm:presLayoutVars>
          <dgm:dir/>
          <dgm:animLvl val="lvl"/>
          <dgm:resizeHandles val="exact"/>
        </dgm:presLayoutVars>
      </dgm:prSet>
      <dgm:spPr/>
    </dgm:pt>
    <dgm:pt modelId="{89AC1C9C-5341-4E05-9B7A-26B34EF9C284}" type="pres">
      <dgm:prSet presAssocID="{445C165E-6634-45FA-9BD9-879DF4D43BDE}" presName="parTxOnly" presStyleLbl="node1" presStyleIdx="0" presStyleCnt="4">
        <dgm:presLayoutVars>
          <dgm:chMax val="0"/>
          <dgm:chPref val="0"/>
          <dgm:bulletEnabled val="1"/>
        </dgm:presLayoutVars>
      </dgm:prSet>
      <dgm:spPr/>
    </dgm:pt>
    <dgm:pt modelId="{1A541774-62D6-48A8-B476-F1A1C8D66F20}" type="pres">
      <dgm:prSet presAssocID="{DED416BF-8452-4461-AC60-6DF130F4E0F1}" presName="parTxOnlySpace" presStyleCnt="0"/>
      <dgm:spPr/>
    </dgm:pt>
    <dgm:pt modelId="{6C06C6CB-CB0D-452F-B7DF-E50C3A15784A}" type="pres">
      <dgm:prSet presAssocID="{BC6B73F5-BE5E-4585-8538-2A0596B7FD95}" presName="parTxOnly" presStyleLbl="node1" presStyleIdx="1" presStyleCnt="4">
        <dgm:presLayoutVars>
          <dgm:chMax val="0"/>
          <dgm:chPref val="0"/>
          <dgm:bulletEnabled val="1"/>
        </dgm:presLayoutVars>
      </dgm:prSet>
      <dgm:spPr/>
    </dgm:pt>
    <dgm:pt modelId="{4F1A73BA-F169-46EB-B192-F061577A3910}" type="pres">
      <dgm:prSet presAssocID="{C90EBE75-0797-4139-B76F-81D9D4EC7C9A}" presName="parTxOnlySpace" presStyleCnt="0"/>
      <dgm:spPr/>
    </dgm:pt>
    <dgm:pt modelId="{5A43F953-5E34-4F1D-AD1E-F13FD33BCA14}" type="pres">
      <dgm:prSet presAssocID="{EADF24C8-9909-4524-B0E8-502483648E00}" presName="parTxOnly" presStyleLbl="node1" presStyleIdx="2" presStyleCnt="4">
        <dgm:presLayoutVars>
          <dgm:chMax val="0"/>
          <dgm:chPref val="0"/>
          <dgm:bulletEnabled val="1"/>
        </dgm:presLayoutVars>
      </dgm:prSet>
      <dgm:spPr/>
    </dgm:pt>
    <dgm:pt modelId="{3DD0428D-43E0-4B8A-9666-DA13C5331515}" type="pres">
      <dgm:prSet presAssocID="{5BC57732-D842-4E00-8BB1-EA260E8CA1D9}" presName="parTxOnlySpace" presStyleCnt="0"/>
      <dgm:spPr/>
    </dgm:pt>
    <dgm:pt modelId="{F8C70BCE-3D41-48E9-80CA-CDD67E6F2E97}" type="pres">
      <dgm:prSet presAssocID="{FDABDFCA-E0B1-423F-A5D3-A8D2188B4686}" presName="parTxOnly" presStyleLbl="node1" presStyleIdx="3" presStyleCnt="4">
        <dgm:presLayoutVars>
          <dgm:chMax val="0"/>
          <dgm:chPref val="0"/>
          <dgm:bulletEnabled val="1"/>
        </dgm:presLayoutVars>
      </dgm:prSet>
      <dgm:spPr/>
    </dgm:pt>
  </dgm:ptLst>
  <dgm:cxnLst>
    <dgm:cxn modelId="{4978E007-4CDD-49DB-8D5F-237F68E45E50}" srcId="{B3870886-1734-4D66-9F84-5E07AC6F206A}" destId="{FDABDFCA-E0B1-423F-A5D3-A8D2188B4686}" srcOrd="3" destOrd="0" parTransId="{C8EB3302-4D84-494B-862C-FABF753ADF3F}" sibTransId="{2EA463B0-083D-40C7-B851-E8B9B578F5C8}"/>
    <dgm:cxn modelId="{F89D410B-41F4-4D70-9B0F-94308EB62006}" srcId="{B3870886-1734-4D66-9F84-5E07AC6F206A}" destId="{BC6B73F5-BE5E-4585-8538-2A0596B7FD95}" srcOrd="1" destOrd="0" parTransId="{45DD5DAA-C754-46A2-836D-CE9FE14EF642}" sibTransId="{C90EBE75-0797-4139-B76F-81D9D4EC7C9A}"/>
    <dgm:cxn modelId="{05186811-5A32-4935-BE55-3E896D2E6D88}" srcId="{B3870886-1734-4D66-9F84-5E07AC6F206A}" destId="{EADF24C8-9909-4524-B0E8-502483648E00}" srcOrd="2" destOrd="0" parTransId="{25C8C487-C1A2-4DBB-A9EF-F9EC8648CB36}" sibTransId="{5BC57732-D842-4E00-8BB1-EA260E8CA1D9}"/>
    <dgm:cxn modelId="{8503FD26-5080-4688-BC2A-DD58EA4CC7E4}" type="presOf" srcId="{445C165E-6634-45FA-9BD9-879DF4D43BDE}" destId="{89AC1C9C-5341-4E05-9B7A-26B34EF9C284}" srcOrd="0" destOrd="0" presId="urn:microsoft.com/office/officeart/2005/8/layout/chevron1"/>
    <dgm:cxn modelId="{CD69B449-A7DA-415B-8309-C556ECF9856F}" type="presOf" srcId="{B3870886-1734-4D66-9F84-5E07AC6F206A}" destId="{277C76BB-7B7B-4A6C-BE68-57A52AFA09E3}" srcOrd="0" destOrd="0" presId="urn:microsoft.com/office/officeart/2005/8/layout/chevron1"/>
    <dgm:cxn modelId="{D1BF354B-1645-4944-8132-A2A44E8324B4}" srcId="{B3870886-1734-4D66-9F84-5E07AC6F206A}" destId="{445C165E-6634-45FA-9BD9-879DF4D43BDE}" srcOrd="0" destOrd="0" parTransId="{0A9DD730-22CB-43F9-B6ED-4411E807D585}" sibTransId="{DED416BF-8452-4461-AC60-6DF130F4E0F1}"/>
    <dgm:cxn modelId="{52584A7C-5D4B-40F4-AF83-ECC02BB49CA3}" type="presOf" srcId="{EADF24C8-9909-4524-B0E8-502483648E00}" destId="{5A43F953-5E34-4F1D-AD1E-F13FD33BCA14}" srcOrd="0" destOrd="0" presId="urn:microsoft.com/office/officeart/2005/8/layout/chevron1"/>
    <dgm:cxn modelId="{B26E02D0-9E23-4A7B-8A58-165E505E5BA3}" type="presOf" srcId="{FDABDFCA-E0B1-423F-A5D3-A8D2188B4686}" destId="{F8C70BCE-3D41-48E9-80CA-CDD67E6F2E97}" srcOrd="0" destOrd="0" presId="urn:microsoft.com/office/officeart/2005/8/layout/chevron1"/>
    <dgm:cxn modelId="{E5369FDB-D899-4DD7-ADFD-EE7F19FED528}" type="presOf" srcId="{BC6B73F5-BE5E-4585-8538-2A0596B7FD95}" destId="{6C06C6CB-CB0D-452F-B7DF-E50C3A15784A}" srcOrd="0" destOrd="0" presId="urn:microsoft.com/office/officeart/2005/8/layout/chevron1"/>
    <dgm:cxn modelId="{8D978788-8086-46C3-963C-7F3F939F141C}" type="presParOf" srcId="{277C76BB-7B7B-4A6C-BE68-57A52AFA09E3}" destId="{89AC1C9C-5341-4E05-9B7A-26B34EF9C284}" srcOrd="0" destOrd="0" presId="urn:microsoft.com/office/officeart/2005/8/layout/chevron1"/>
    <dgm:cxn modelId="{8B2C8D2B-3545-4B06-AA39-8BE3BD023E31}" type="presParOf" srcId="{277C76BB-7B7B-4A6C-BE68-57A52AFA09E3}" destId="{1A541774-62D6-48A8-B476-F1A1C8D66F20}" srcOrd="1" destOrd="0" presId="urn:microsoft.com/office/officeart/2005/8/layout/chevron1"/>
    <dgm:cxn modelId="{6A034E88-4DB4-4D20-AF4E-54BC8A2F1205}" type="presParOf" srcId="{277C76BB-7B7B-4A6C-BE68-57A52AFA09E3}" destId="{6C06C6CB-CB0D-452F-B7DF-E50C3A15784A}" srcOrd="2" destOrd="0" presId="urn:microsoft.com/office/officeart/2005/8/layout/chevron1"/>
    <dgm:cxn modelId="{09FA7BB4-14C7-4162-BFB1-60FA413030CE}" type="presParOf" srcId="{277C76BB-7B7B-4A6C-BE68-57A52AFA09E3}" destId="{4F1A73BA-F169-46EB-B192-F061577A3910}" srcOrd="3" destOrd="0" presId="urn:microsoft.com/office/officeart/2005/8/layout/chevron1"/>
    <dgm:cxn modelId="{1696B51B-A72E-4CF7-9DBA-A78910540648}" type="presParOf" srcId="{277C76BB-7B7B-4A6C-BE68-57A52AFA09E3}" destId="{5A43F953-5E34-4F1D-AD1E-F13FD33BCA14}" srcOrd="4" destOrd="0" presId="urn:microsoft.com/office/officeart/2005/8/layout/chevron1"/>
    <dgm:cxn modelId="{F9711D88-F37E-4D29-B2FB-33B8CA2341E6}" type="presParOf" srcId="{277C76BB-7B7B-4A6C-BE68-57A52AFA09E3}" destId="{3DD0428D-43E0-4B8A-9666-DA13C5331515}" srcOrd="5" destOrd="0" presId="urn:microsoft.com/office/officeart/2005/8/layout/chevron1"/>
    <dgm:cxn modelId="{417B56D2-16A9-48AA-98D7-C4D8D90615DF}" type="presParOf" srcId="{277C76BB-7B7B-4A6C-BE68-57A52AFA09E3}" destId="{F8C70BCE-3D41-48E9-80CA-CDD67E6F2E97}" srcOrd="6" destOrd="0" presId="urn:microsoft.com/office/officeart/2005/8/layout/chevron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9AC1C9C-5341-4E05-9B7A-26B34EF9C284}">
      <dsp:nvSpPr>
        <dsp:cNvPr id="0" name=""/>
        <dsp:cNvSpPr/>
      </dsp:nvSpPr>
      <dsp:spPr>
        <a:xfrm>
          <a:off x="2646" y="377682"/>
          <a:ext cx="1540589" cy="616235"/>
        </a:xfrm>
        <a:prstGeom prst="chevron">
          <a:avLst/>
        </a:prstGeom>
        <a:solidFill>
          <a:schemeClr val="accent1"/>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marL="0" lvl="0" indent="0" algn="ctr" defTabSz="311150">
            <a:lnSpc>
              <a:spcPct val="90000"/>
            </a:lnSpc>
            <a:spcBef>
              <a:spcPct val="0"/>
            </a:spcBef>
            <a:spcAft>
              <a:spcPct val="35000"/>
            </a:spcAft>
            <a:buNone/>
          </a:pPr>
          <a:r>
            <a:rPr lang="sv-SE" sz="700" b="1" kern="1200">
              <a:solidFill>
                <a:schemeClr val="bg1"/>
              </a:solidFill>
            </a:rPr>
            <a:t>STEG 1:</a:t>
          </a:r>
          <a:br>
            <a:rPr lang="sv-SE" sz="700" kern="1200">
              <a:solidFill>
                <a:schemeClr val="bg1"/>
              </a:solidFill>
            </a:rPr>
          </a:br>
          <a:r>
            <a:rPr lang="sv-SE" sz="700" kern="1200">
              <a:solidFill>
                <a:schemeClr val="bg1"/>
              </a:solidFill>
            </a:rPr>
            <a:t>Ta fram regiongemensamt metodstöd</a:t>
          </a:r>
        </a:p>
      </dsp:txBody>
      <dsp:txXfrm>
        <a:off x="310764" y="377682"/>
        <a:ext cx="924354" cy="616235"/>
      </dsp:txXfrm>
    </dsp:sp>
    <dsp:sp modelId="{6C06C6CB-CB0D-452F-B7DF-E50C3A15784A}">
      <dsp:nvSpPr>
        <dsp:cNvPr id="0" name=""/>
        <dsp:cNvSpPr/>
      </dsp:nvSpPr>
      <dsp:spPr>
        <a:xfrm>
          <a:off x="1389177" y="377682"/>
          <a:ext cx="1540589" cy="616235"/>
        </a:xfrm>
        <a:prstGeom prst="chevron">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marL="0" lvl="0" indent="0" algn="ctr" defTabSz="311150">
            <a:lnSpc>
              <a:spcPct val="90000"/>
            </a:lnSpc>
            <a:spcBef>
              <a:spcPct val="0"/>
            </a:spcBef>
            <a:spcAft>
              <a:spcPct val="35000"/>
            </a:spcAft>
            <a:buNone/>
          </a:pPr>
          <a:r>
            <a:rPr lang="sv-SE" sz="700" b="1" kern="1200"/>
            <a:t>STEG 2:</a:t>
          </a:r>
          <a:br>
            <a:rPr lang="sv-SE" sz="700" kern="1200"/>
          </a:br>
          <a:r>
            <a:rPr lang="sv-SE" sz="700" kern="1200"/>
            <a:t>Analys på regional nivå utgår från metodstödet</a:t>
          </a:r>
        </a:p>
      </dsp:txBody>
      <dsp:txXfrm>
        <a:off x="1697295" y="377682"/>
        <a:ext cx="924354" cy="616235"/>
      </dsp:txXfrm>
    </dsp:sp>
    <dsp:sp modelId="{5A43F953-5E34-4F1D-AD1E-F13FD33BCA14}">
      <dsp:nvSpPr>
        <dsp:cNvPr id="0" name=""/>
        <dsp:cNvSpPr/>
      </dsp:nvSpPr>
      <dsp:spPr>
        <a:xfrm>
          <a:off x="2775708" y="377682"/>
          <a:ext cx="1540589" cy="616235"/>
        </a:xfrm>
        <a:prstGeom prst="chevron">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marL="0" lvl="0" indent="0" algn="ctr" defTabSz="311150">
            <a:lnSpc>
              <a:spcPct val="90000"/>
            </a:lnSpc>
            <a:spcBef>
              <a:spcPct val="0"/>
            </a:spcBef>
            <a:spcAft>
              <a:spcPct val="35000"/>
            </a:spcAft>
            <a:buNone/>
          </a:pPr>
          <a:r>
            <a:rPr lang="sv-SE" sz="700" b="1" kern="1200"/>
            <a:t>STEG 3:</a:t>
          </a:r>
          <a:br>
            <a:rPr lang="sv-SE" sz="700" kern="1200"/>
          </a:br>
          <a:r>
            <a:rPr lang="sv-SE" sz="700" kern="1200"/>
            <a:t>Nationell syntes</a:t>
          </a:r>
        </a:p>
      </dsp:txBody>
      <dsp:txXfrm>
        <a:off x="3083826" y="377682"/>
        <a:ext cx="924354" cy="616235"/>
      </dsp:txXfrm>
    </dsp:sp>
    <dsp:sp modelId="{F8C70BCE-3D41-48E9-80CA-CDD67E6F2E97}">
      <dsp:nvSpPr>
        <dsp:cNvPr id="0" name=""/>
        <dsp:cNvSpPr/>
      </dsp:nvSpPr>
      <dsp:spPr>
        <a:xfrm>
          <a:off x="4162238" y="377682"/>
          <a:ext cx="1540589" cy="616235"/>
        </a:xfrm>
        <a:prstGeom prst="chevron">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marL="0" lvl="0" indent="0" algn="ctr" defTabSz="311150">
            <a:lnSpc>
              <a:spcPct val="90000"/>
            </a:lnSpc>
            <a:spcBef>
              <a:spcPct val="0"/>
            </a:spcBef>
            <a:spcAft>
              <a:spcPct val="35000"/>
            </a:spcAft>
            <a:buNone/>
          </a:pPr>
          <a:r>
            <a:rPr lang="sv-SE" sz="700" b="1" kern="1200"/>
            <a:t>STEG 4:</a:t>
          </a:r>
          <a:br>
            <a:rPr lang="sv-SE" sz="700" kern="1200"/>
          </a:br>
          <a:r>
            <a:rPr lang="sv-SE" sz="700" kern="1200"/>
            <a:t>Gemensam utveckling mot ökad hållbarhet i den digitala infrastrukturen</a:t>
          </a:r>
        </a:p>
      </dsp:txBody>
      <dsp:txXfrm>
        <a:off x="4470356" y="377682"/>
        <a:ext cx="924354" cy="616235"/>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4e667a8-a15e-49d4-ad0a-b83111fd15be">
      <Terms xmlns="http://schemas.microsoft.com/office/infopath/2007/PartnerControls"/>
    </lcf76f155ced4ddcb4097134ff3c332f>
    <TaxCatchAll xmlns="8170fcd6-de65-4d7f-9296-5de9f0d2cf2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EFFA58B18B3177428767028F708E4AFF" ma:contentTypeVersion="11" ma:contentTypeDescription="Skapa ett nytt dokument." ma:contentTypeScope="" ma:versionID="cd792e02aa136945e72d004e489559fa">
  <xsd:schema xmlns:xsd="http://www.w3.org/2001/XMLSchema" xmlns:xs="http://www.w3.org/2001/XMLSchema" xmlns:p="http://schemas.microsoft.com/office/2006/metadata/properties" xmlns:ns2="94e667a8-a15e-49d4-ad0a-b83111fd15be" xmlns:ns3="8170fcd6-de65-4d7f-9296-5de9f0d2cf20" targetNamespace="http://schemas.microsoft.com/office/2006/metadata/properties" ma:root="true" ma:fieldsID="70fd01ca6725686d2b5c8f72433873f1" ns2:_="" ns3:_="">
    <xsd:import namespace="94e667a8-a15e-49d4-ad0a-b83111fd15be"/>
    <xsd:import namespace="8170fcd6-de65-4d7f-9296-5de9f0d2cf2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e667a8-a15e-49d4-ad0a-b83111fd15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31ec198c-d8c7-4990-9d38-6e6c54e42e0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170fcd6-de65-4d7f-9296-5de9f0d2cf2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df13c2f2-9639-49a1-88d1-1480c6c281fc}" ma:internalName="TaxCatchAll" ma:showField="CatchAllData" ma:web="8170fcd6-de65-4d7f-9296-5de9f0d2cf2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BCCCB78-546F-43A2-BAEC-C88D37C71CD9}">
  <ds:schemaRefs>
    <ds:schemaRef ds:uri="http://schemas.microsoft.com/office/2006/documentManagement/types"/>
    <ds:schemaRef ds:uri="http://www.w3.org/XML/1998/namespace"/>
    <ds:schemaRef ds:uri="http://schemas.openxmlformats.org/package/2006/metadata/core-properties"/>
    <ds:schemaRef ds:uri="94e667a8-a15e-49d4-ad0a-b83111fd15be"/>
    <ds:schemaRef ds:uri="http://purl.org/dc/dcmitype/"/>
    <ds:schemaRef ds:uri="http://schemas.microsoft.com/office/infopath/2007/PartnerControls"/>
    <ds:schemaRef ds:uri="http://schemas.microsoft.com/office/2006/metadata/properties"/>
    <ds:schemaRef ds:uri="8170fcd6-de65-4d7f-9296-5de9f0d2cf20"/>
    <ds:schemaRef ds:uri="http://purl.org/dc/terms/"/>
    <ds:schemaRef ds:uri="http://purl.org/dc/elements/1.1/"/>
  </ds:schemaRefs>
</ds:datastoreItem>
</file>

<file path=customXml/itemProps2.xml><?xml version="1.0" encoding="utf-8"?>
<ds:datastoreItem xmlns:ds="http://schemas.openxmlformats.org/officeDocument/2006/customXml" ds:itemID="{22DF12E9-B701-48C5-9190-188D83661A95}">
  <ds:schemaRefs>
    <ds:schemaRef ds:uri="http://schemas.microsoft.com/sharepoint/v3/contenttype/forms"/>
  </ds:schemaRefs>
</ds:datastoreItem>
</file>

<file path=customXml/itemProps3.xml><?xml version="1.0" encoding="utf-8"?>
<ds:datastoreItem xmlns:ds="http://schemas.openxmlformats.org/officeDocument/2006/customXml" ds:itemID="{B1436AC5-AD2F-46AC-AA08-0D11B1242DE7}">
  <ds:schemaRefs>
    <ds:schemaRef ds:uri="http://schemas.openxmlformats.org/officeDocument/2006/bibliography"/>
  </ds:schemaRefs>
</ds:datastoreItem>
</file>

<file path=customXml/itemProps4.xml><?xml version="1.0" encoding="utf-8"?>
<ds:datastoreItem xmlns:ds="http://schemas.openxmlformats.org/officeDocument/2006/customXml" ds:itemID="{B16B18CB-C8E5-4409-91E4-034C669CB8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e667a8-a15e-49d4-ad0a-b83111fd15be"/>
    <ds:schemaRef ds:uri="8170fcd6-de65-4d7f-9296-5de9f0d2cf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82e6722-cc35-4971-b38e-892511a64163}" enabled="1" method="Privileged" siteId="{aece5b19-8227-4c27-8218-1aea120ec062}" removed="0"/>
  <clbl:label id="{7d4b8963-dacf-4722-a0a7-0d57c755f778}" enabled="0" method="" siteId="{7d4b8963-dacf-4722-a0a7-0d57c755f778}" removed="1"/>
</clbl:labelList>
</file>

<file path=docProps/app.xml><?xml version="1.0" encoding="utf-8"?>
<Properties xmlns="http://schemas.openxmlformats.org/officeDocument/2006/extended-properties" xmlns:vt="http://schemas.openxmlformats.org/officeDocument/2006/docPropsVTypes">
  <Template>Normal</Template>
  <TotalTime>0</TotalTime>
  <Pages>7</Pages>
  <Words>2382</Words>
  <Characters>17865</Characters>
  <Application>Microsoft Office Word</Application>
  <DocSecurity>0</DocSecurity>
  <Lines>283</Lines>
  <Paragraphs>119</Paragraphs>
  <ScaleCrop>false</ScaleCrop>
  <Company/>
  <LinksUpToDate>false</LinksUpToDate>
  <CharactersWithSpaces>20128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Nilsson Helena, Regionkansliet</dc:creator>
  <cp:keywords/>
  <dc:description/>
  <cp:lastModifiedBy>Peder Hofman-Bang</cp:lastModifiedBy>
  <cp:revision>2</cp:revision>
  <dcterms:created xsi:type="dcterms:W3CDTF">2026-05-27T07:26:00Z</dcterms:created>
  <dcterms:modified xsi:type="dcterms:W3CDTF">2026-05-27T07:26:00Z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0x010100EFFA58B18B3177428767028F708E4AFF</vt:lpwstr>
  </property>
  <property fmtid="{D5CDD505-2E9C-101B-9397-08002B2CF9AE}" pid="3" name="docLang">
    <vt:lpwstr>sv</vt:lpwstr>
  </property>
  <property fmtid="{D5CDD505-2E9C-101B-9397-08002B2CF9AE}" pid="4" name="MediaServiceImageTags">
    <vt:lpwstr/>
  </property>
</Properties>
</file>