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67DA0" w14:textId="77777777" w:rsidR="00381F07" w:rsidRDefault="00035E41" w:rsidP="00035E41">
      <w:pPr>
        <w:pStyle w:val="Title"/>
        <w:rPr>
          <w:lang w:val="en-US"/>
        </w:rPr>
      </w:pPr>
      <w:r>
        <w:rPr>
          <w:lang w:val="en-US"/>
        </w:rPr>
        <w:t>Replication value coding form</w:t>
      </w:r>
    </w:p>
    <w:p w14:paraId="3A2E347F" w14:textId="77777777" w:rsidR="00D83B8B" w:rsidRDefault="00D83B8B" w:rsidP="00D83B8B">
      <w:pPr>
        <w:pStyle w:val="Heading1"/>
        <w:rPr>
          <w:lang w:val="en-US"/>
        </w:rPr>
      </w:pPr>
      <w:r>
        <w:rPr>
          <w:lang w:val="en-US"/>
        </w:rPr>
        <w:t>Dataset A</w:t>
      </w:r>
    </w:p>
    <w:p w14:paraId="19A0D005" w14:textId="77777777" w:rsidR="00D83B8B" w:rsidRDefault="00D83B8B" w:rsidP="00D83B8B">
      <w:pPr>
        <w:pStyle w:val="Heading2"/>
        <w:rPr>
          <w:lang w:val="en-US"/>
        </w:rPr>
      </w:pPr>
      <w:r>
        <w:rPr>
          <w:lang w:val="en-US"/>
        </w:rPr>
        <w:t>Data exclusion and refinement</w:t>
      </w:r>
    </w:p>
    <w:p w14:paraId="4959082A" w14:textId="77777777" w:rsidR="00D83B8B" w:rsidRDefault="00D83B8B" w:rsidP="00D83B8B">
      <w:pPr>
        <w:rPr>
          <w:lang w:val="en-US"/>
        </w:rPr>
      </w:pPr>
      <w:r>
        <w:rPr>
          <w:lang w:val="en-US"/>
        </w:rPr>
        <w:t xml:space="preserve">Dataset A has been randomly sampled from a larger set of studies that has been filtered on specific exclusion criteria related to the authors’ research interests and expertise (see filtering scripts in the analysis directory). However, some further refinement of the dataset will be needed. Articles that will be excluded includes (but is not limited to): </w:t>
      </w:r>
    </w:p>
    <w:p w14:paraId="779AFD82" w14:textId="77777777" w:rsidR="00D83B8B" w:rsidRDefault="0080345D" w:rsidP="00D83B8B">
      <w:pPr>
        <w:pStyle w:val="ListParagraph"/>
        <w:numPr>
          <w:ilvl w:val="0"/>
          <w:numId w:val="4"/>
        </w:numPr>
        <w:rPr>
          <w:lang w:val="en-US"/>
        </w:rPr>
      </w:pPr>
      <w:r>
        <w:rPr>
          <w:lang w:val="en-US"/>
        </w:rPr>
        <w:t>Duplicate articles</w:t>
      </w:r>
    </w:p>
    <w:p w14:paraId="0FFC64A8" w14:textId="2152ACF5" w:rsidR="0080345D" w:rsidRDefault="0080345D" w:rsidP="00D83B8B">
      <w:pPr>
        <w:pStyle w:val="ListParagraph"/>
        <w:numPr>
          <w:ilvl w:val="0"/>
          <w:numId w:val="4"/>
        </w:numPr>
        <w:rPr>
          <w:lang w:val="en-US"/>
        </w:rPr>
      </w:pPr>
      <w:r>
        <w:rPr>
          <w:lang w:val="en-US"/>
        </w:rPr>
        <w:t>Any non-empirical article (e.g. opinion pieces, theoretical papers, review articles</w:t>
      </w:r>
      <w:ins w:id="0" w:author="Microsoft Office User" w:date="2019-03-06T09:05:00Z">
        <w:r w:rsidR="00740EBE">
          <w:rPr>
            <w:lang w:val="en-US"/>
          </w:rPr>
          <w:t>, meta-analyses</w:t>
        </w:r>
      </w:ins>
      <w:r>
        <w:rPr>
          <w:lang w:val="en-US"/>
        </w:rPr>
        <w:t xml:space="preserve">) </w:t>
      </w:r>
    </w:p>
    <w:p w14:paraId="60AE4165" w14:textId="77777777" w:rsidR="0080345D" w:rsidRDefault="0080345D" w:rsidP="00D83B8B">
      <w:pPr>
        <w:pStyle w:val="ListParagraph"/>
        <w:numPr>
          <w:ilvl w:val="0"/>
          <w:numId w:val="4"/>
        </w:numPr>
        <w:rPr>
          <w:lang w:val="en-US"/>
        </w:rPr>
      </w:pPr>
      <w:r>
        <w:rPr>
          <w:lang w:val="en-US"/>
        </w:rPr>
        <w:t xml:space="preserve">Methodological </w:t>
      </w:r>
      <w:proofErr w:type="spellStart"/>
      <w:r>
        <w:rPr>
          <w:lang w:val="en-US"/>
        </w:rPr>
        <w:t>reanalyses</w:t>
      </w:r>
      <w:proofErr w:type="spellEnd"/>
      <w:r>
        <w:rPr>
          <w:lang w:val="en-US"/>
        </w:rPr>
        <w:t xml:space="preserve"> of existing data (e.g. using Connectome data to validate a novel procedure). </w:t>
      </w:r>
    </w:p>
    <w:p w14:paraId="180F9AA8" w14:textId="77777777" w:rsidR="0080345D" w:rsidRDefault="0080345D" w:rsidP="00D83B8B">
      <w:pPr>
        <w:pStyle w:val="ListParagraph"/>
        <w:numPr>
          <w:ilvl w:val="0"/>
          <w:numId w:val="4"/>
        </w:numPr>
        <w:rPr>
          <w:lang w:val="en-US"/>
        </w:rPr>
      </w:pPr>
      <w:r>
        <w:rPr>
          <w:lang w:val="en-US"/>
        </w:rPr>
        <w:t xml:space="preserve">Articles that obviously would meet the initial interest/expertise exclusion criteria (e.g. any article that does not contain an fMRI study). </w:t>
      </w:r>
    </w:p>
    <w:p w14:paraId="29ACE624" w14:textId="77777777" w:rsidR="0080345D" w:rsidRPr="0080345D" w:rsidRDefault="00CF75BE" w:rsidP="0080345D">
      <w:pPr>
        <w:rPr>
          <w:lang w:val="en-US"/>
        </w:rPr>
      </w:pPr>
      <w:r>
        <w:rPr>
          <w:lang w:val="en-US"/>
        </w:rPr>
        <w:t>Any excluded article will be marked as such in a separate column of the dataset. For any excluded article, a new random article will be</w:t>
      </w:r>
      <w:r w:rsidR="004B4300">
        <w:rPr>
          <w:lang w:val="en-US"/>
        </w:rPr>
        <w:t xml:space="preserve"> drawn</w:t>
      </w:r>
      <w:r>
        <w:rPr>
          <w:lang w:val="en-US"/>
        </w:rPr>
        <w:t xml:space="preserve"> from the same </w:t>
      </w:r>
      <w:r w:rsidR="004B4300">
        <w:rPr>
          <w:lang w:val="en-US"/>
        </w:rPr>
        <w:t xml:space="preserve">filtered </w:t>
      </w:r>
      <w:r>
        <w:rPr>
          <w:lang w:val="en-US"/>
        </w:rPr>
        <w:t>data t</w:t>
      </w:r>
      <w:r w:rsidR="004B4300">
        <w:rPr>
          <w:lang w:val="en-US"/>
        </w:rPr>
        <w:t xml:space="preserve">hat dataset A was sampled from, and added to dataset A. This evaluation process is then repeated for all added studies until dataset A contains 1000 non-excluded articles. </w:t>
      </w:r>
    </w:p>
    <w:p w14:paraId="6905B503" w14:textId="77777777" w:rsidR="00C879A1" w:rsidRDefault="00035E41" w:rsidP="00D83B8B">
      <w:pPr>
        <w:pStyle w:val="Heading2"/>
        <w:rPr>
          <w:lang w:val="en-US"/>
        </w:rPr>
      </w:pPr>
      <w:r>
        <w:rPr>
          <w:lang w:val="en-US"/>
        </w:rPr>
        <w:t>Variables to code for</w:t>
      </w:r>
      <w:r w:rsidR="00C974FC">
        <w:rPr>
          <w:lang w:val="en-US"/>
        </w:rPr>
        <w:t xml:space="preserve"> </w:t>
      </w:r>
      <w:r w:rsidR="00CA0C98">
        <w:rPr>
          <w:lang w:val="en-US"/>
        </w:rPr>
        <w:t>dataset A</w:t>
      </w:r>
    </w:p>
    <w:p w14:paraId="1AFE2E4D" w14:textId="77777777" w:rsidR="00035E41" w:rsidRPr="00824A2D" w:rsidRDefault="00035E41" w:rsidP="00035E41">
      <w:pPr>
        <w:rPr>
          <w:b/>
          <w:lang w:val="en-US"/>
        </w:rPr>
      </w:pPr>
      <w:r w:rsidRPr="00824A2D">
        <w:rPr>
          <w:b/>
          <w:lang w:val="en-US"/>
        </w:rPr>
        <w:t xml:space="preserve">Study number: </w:t>
      </w:r>
    </w:p>
    <w:p w14:paraId="2442FD44" w14:textId="77777777" w:rsidR="00824A2D" w:rsidRDefault="00824A2D" w:rsidP="00035E41">
      <w:pPr>
        <w:rPr>
          <w:lang w:val="en-US"/>
        </w:rPr>
      </w:pPr>
      <w:r>
        <w:rPr>
          <w:lang w:val="en-US"/>
        </w:rPr>
        <w:t xml:space="preserve">For each article, code each </w:t>
      </w:r>
      <w:r w:rsidR="001F387B">
        <w:rPr>
          <w:lang w:val="en-US"/>
        </w:rPr>
        <w:t xml:space="preserve">reported </w:t>
      </w:r>
      <w:r>
        <w:rPr>
          <w:lang w:val="en-US"/>
        </w:rPr>
        <w:t xml:space="preserve">study </w:t>
      </w:r>
      <w:r w:rsidR="0060436D">
        <w:rPr>
          <w:lang w:val="en-US"/>
        </w:rPr>
        <w:t>on a separate row</w:t>
      </w:r>
      <w:r>
        <w:rPr>
          <w:lang w:val="en-US"/>
        </w:rPr>
        <w:t xml:space="preserve"> if the studies use u</w:t>
      </w:r>
      <w:r w:rsidR="0060436D">
        <w:rPr>
          <w:lang w:val="en-US"/>
        </w:rPr>
        <w:t xml:space="preserve">nique </w:t>
      </w:r>
      <w:r w:rsidR="001F387B">
        <w:rPr>
          <w:lang w:val="en-US"/>
        </w:rPr>
        <w:t xml:space="preserve">participant </w:t>
      </w:r>
      <w:r w:rsidR="0060436D">
        <w:rPr>
          <w:lang w:val="en-US"/>
        </w:rPr>
        <w:t>samples. For each row, code a study number, which</w:t>
      </w:r>
      <w:r>
        <w:rPr>
          <w:lang w:val="en-US"/>
        </w:rPr>
        <w:t xml:space="preserve"> should be coded as integer values starting at 1 for the first listed study in the article and increasing fo</w:t>
      </w:r>
      <w:r w:rsidR="0060436D">
        <w:rPr>
          <w:lang w:val="en-US"/>
        </w:rPr>
        <w:t xml:space="preserve">r each subsequent study listed in the article. </w:t>
      </w:r>
    </w:p>
    <w:p w14:paraId="38FAE382" w14:textId="77777777" w:rsidR="00035E41" w:rsidRPr="0060436D" w:rsidRDefault="00035E41" w:rsidP="00035E41">
      <w:pPr>
        <w:rPr>
          <w:b/>
          <w:lang w:val="en-US"/>
        </w:rPr>
      </w:pPr>
      <w:r w:rsidRPr="0060436D">
        <w:rPr>
          <w:b/>
          <w:lang w:val="en-US"/>
        </w:rPr>
        <w:t>Total sample size:</w:t>
      </w:r>
      <w:r w:rsidR="00C879A1" w:rsidRPr="0060436D">
        <w:rPr>
          <w:b/>
          <w:lang w:val="en-US"/>
        </w:rPr>
        <w:t xml:space="preserve"> </w:t>
      </w:r>
    </w:p>
    <w:p w14:paraId="0BF6C8D9" w14:textId="77777777" w:rsidR="00824A2D" w:rsidRDefault="00824A2D" w:rsidP="00035E41">
      <w:pPr>
        <w:rPr>
          <w:lang w:val="en-US"/>
        </w:rPr>
      </w:pPr>
      <w:r>
        <w:rPr>
          <w:lang w:val="en-US"/>
        </w:rPr>
        <w:t xml:space="preserve">For each study, code the total sample size </w:t>
      </w:r>
      <w:r w:rsidR="00CA0C98">
        <w:rPr>
          <w:lang w:val="en-US"/>
        </w:rPr>
        <w:t xml:space="preserve">(across groups) </w:t>
      </w:r>
      <w:r>
        <w:rPr>
          <w:lang w:val="en-US"/>
        </w:rPr>
        <w:t xml:space="preserve">of all </w:t>
      </w:r>
      <w:r w:rsidR="001F387B">
        <w:rPr>
          <w:lang w:val="en-US"/>
        </w:rPr>
        <w:t xml:space="preserve">participants </w:t>
      </w:r>
      <w:r>
        <w:rPr>
          <w:lang w:val="en-US"/>
        </w:rPr>
        <w:t>that were not exc</w:t>
      </w:r>
      <w:r w:rsidR="0060436D">
        <w:rPr>
          <w:lang w:val="en-US"/>
        </w:rPr>
        <w:t>luded and for which fMRI</w:t>
      </w:r>
      <w:r>
        <w:rPr>
          <w:lang w:val="en-US"/>
        </w:rPr>
        <w:t xml:space="preserve"> data was collected. </w:t>
      </w:r>
    </w:p>
    <w:p w14:paraId="1583DF69" w14:textId="77777777" w:rsidR="00CA0C98" w:rsidRDefault="00CA0C98" w:rsidP="00035E41">
      <w:pPr>
        <w:rPr>
          <w:lang w:val="en-US"/>
        </w:rPr>
      </w:pPr>
      <w:r>
        <w:rPr>
          <w:lang w:val="en-US"/>
        </w:rPr>
        <w:t xml:space="preserve">Authors usually report both how many subjects participated in the study, as well as the total sample size available for analysis after all exclusion criteria has been applied. In order to ensure that the number of participants available </w:t>
      </w:r>
      <w:r>
        <w:rPr>
          <w:i/>
          <w:lang w:val="en-US"/>
        </w:rPr>
        <w:t xml:space="preserve">after exclusion </w:t>
      </w:r>
      <w:r>
        <w:rPr>
          <w:lang w:val="en-US"/>
        </w:rPr>
        <w:t xml:space="preserve">is coded for each study, the following steps should be implemented: </w:t>
      </w:r>
    </w:p>
    <w:p w14:paraId="7F1E89EB" w14:textId="77777777" w:rsidR="001F387B" w:rsidRDefault="008C30EA" w:rsidP="00CA0C98">
      <w:pPr>
        <w:pStyle w:val="ListParagraph"/>
        <w:numPr>
          <w:ilvl w:val="0"/>
          <w:numId w:val="3"/>
        </w:numPr>
        <w:rPr>
          <w:lang w:val="en-US"/>
        </w:rPr>
      </w:pPr>
      <w:r>
        <w:rPr>
          <w:lang w:val="en-US"/>
        </w:rPr>
        <w:t>Do not quote sample size directly from</w:t>
      </w:r>
      <w:r w:rsidR="00DC1962">
        <w:rPr>
          <w:lang w:val="en-US"/>
        </w:rPr>
        <w:t xml:space="preserve"> the abstract,</w:t>
      </w:r>
      <w:r>
        <w:rPr>
          <w:lang w:val="en-US"/>
        </w:rPr>
        <w:t xml:space="preserve"> even if mentioned there,</w:t>
      </w:r>
      <w:r w:rsidR="00DC1962">
        <w:rPr>
          <w:lang w:val="en-US"/>
        </w:rPr>
        <w:t xml:space="preserve"> since it will be unclear whether this refers to sample size before or after exclusion criteria were applied. Sample size information should always be extracted from either the methods section or results section. </w:t>
      </w:r>
    </w:p>
    <w:p w14:paraId="519E0736" w14:textId="77777777" w:rsidR="001F387B" w:rsidRDefault="001F387B" w:rsidP="00782303">
      <w:pPr>
        <w:pStyle w:val="ListParagraph"/>
        <w:numPr>
          <w:ilvl w:val="0"/>
          <w:numId w:val="3"/>
        </w:numPr>
        <w:rPr>
          <w:lang w:val="en-US"/>
        </w:rPr>
      </w:pPr>
      <w:r>
        <w:rPr>
          <w:lang w:val="en-US"/>
        </w:rPr>
        <w:t>Search for the pattern “</w:t>
      </w:r>
      <w:proofErr w:type="spellStart"/>
      <w:r>
        <w:rPr>
          <w:lang w:val="en-US"/>
        </w:rPr>
        <w:t>exclud</w:t>
      </w:r>
      <w:proofErr w:type="spellEnd"/>
      <w:r>
        <w:rPr>
          <w:lang w:val="en-US"/>
        </w:rPr>
        <w:t>*” in every reported study</w:t>
      </w:r>
      <w:r w:rsidR="008C30EA">
        <w:rPr>
          <w:lang w:val="en-US"/>
        </w:rPr>
        <w:t xml:space="preserve"> to locate information about the exclusion procedure</w:t>
      </w:r>
      <w:r>
        <w:rPr>
          <w:lang w:val="en-US"/>
        </w:rPr>
        <w:t>.</w:t>
      </w:r>
      <w:r w:rsidR="00782303">
        <w:rPr>
          <w:lang w:val="en-US"/>
        </w:rPr>
        <w:t xml:space="preserve"> </w:t>
      </w:r>
      <w:r w:rsidRPr="00782303">
        <w:rPr>
          <w:lang w:val="en-US"/>
        </w:rPr>
        <w:t xml:space="preserve">If </w:t>
      </w:r>
      <w:r w:rsidR="008C30EA" w:rsidRPr="00782303">
        <w:rPr>
          <w:lang w:val="en-US"/>
        </w:rPr>
        <w:t xml:space="preserve">a direct mention of the post-exclusion sample size cannot be located (e.g. if no </w:t>
      </w:r>
      <w:r w:rsidR="00782303" w:rsidRPr="00782303">
        <w:rPr>
          <w:lang w:val="en-US"/>
        </w:rPr>
        <w:t>participants were excluded)</w:t>
      </w:r>
      <w:r w:rsidR="00782303">
        <w:rPr>
          <w:lang w:val="en-US"/>
        </w:rPr>
        <w:t>, take the following precautions:</w:t>
      </w:r>
    </w:p>
    <w:p w14:paraId="368792C9" w14:textId="77777777" w:rsidR="00782303" w:rsidRDefault="00782303" w:rsidP="001F48E7">
      <w:pPr>
        <w:pStyle w:val="ListParagraph"/>
        <w:numPr>
          <w:ilvl w:val="1"/>
          <w:numId w:val="3"/>
        </w:numPr>
        <w:rPr>
          <w:lang w:val="en-US"/>
        </w:rPr>
      </w:pPr>
      <w:r>
        <w:rPr>
          <w:lang w:val="en-US"/>
        </w:rPr>
        <w:t>Read the entire “participants” subsection of the methods section, scanning for potential (dis)confirmations of an exclusion process.</w:t>
      </w:r>
    </w:p>
    <w:p w14:paraId="0A16FFA4" w14:textId="77777777" w:rsidR="00782303" w:rsidRPr="00782303" w:rsidRDefault="00782303" w:rsidP="001F48E7">
      <w:pPr>
        <w:pStyle w:val="ListParagraph"/>
        <w:numPr>
          <w:ilvl w:val="1"/>
          <w:numId w:val="3"/>
        </w:numPr>
        <w:rPr>
          <w:lang w:val="en-US"/>
        </w:rPr>
      </w:pPr>
      <w:r>
        <w:rPr>
          <w:lang w:val="en-US"/>
        </w:rPr>
        <w:t xml:space="preserve">If possible, compare the quoted sample size with the degrees of freedom of fMRI-related tests in the results section. The degrees of freedom should </w:t>
      </w:r>
      <w:r>
        <w:rPr>
          <w:lang w:val="en-US"/>
        </w:rPr>
        <w:lastRenderedPageBreak/>
        <w:t>roughly correspond to the number of subjects</w:t>
      </w:r>
      <w:r w:rsidR="001F48E7">
        <w:rPr>
          <w:lang w:val="en-US"/>
        </w:rPr>
        <w:t xml:space="preserve">. For example, a t-test should report number of subjects minus one. </w:t>
      </w:r>
    </w:p>
    <w:p w14:paraId="2F59E928" w14:textId="2C874D0D" w:rsidR="008C30EA" w:rsidRPr="008C30EA" w:rsidRDefault="00DC1962" w:rsidP="008C30EA">
      <w:pPr>
        <w:pStyle w:val="ListParagraph"/>
        <w:numPr>
          <w:ilvl w:val="0"/>
          <w:numId w:val="3"/>
        </w:numPr>
        <w:rPr>
          <w:lang w:val="en-US"/>
        </w:rPr>
      </w:pPr>
      <w:r>
        <w:rPr>
          <w:lang w:val="en-US"/>
        </w:rPr>
        <w:t>Some studies conduct behav</w:t>
      </w:r>
      <w:r w:rsidR="008C30EA">
        <w:rPr>
          <w:lang w:val="en-US"/>
        </w:rPr>
        <w:t>ioral testing on a large sample</w:t>
      </w:r>
      <w:r>
        <w:rPr>
          <w:lang w:val="en-US"/>
        </w:rPr>
        <w:t xml:space="preserve"> and perform fMRI measurements</w:t>
      </w:r>
      <w:r w:rsidR="008C30EA">
        <w:rPr>
          <w:lang w:val="en-US"/>
        </w:rPr>
        <w:t xml:space="preserve"> only on</w:t>
      </w:r>
      <w:r>
        <w:rPr>
          <w:lang w:val="en-US"/>
        </w:rPr>
        <w:t xml:space="preserve"> a smaller subset of this sample. </w:t>
      </w:r>
      <w:r w:rsidR="001F387B">
        <w:rPr>
          <w:lang w:val="en-US"/>
        </w:rPr>
        <w:t xml:space="preserve">Make sure that </w:t>
      </w:r>
      <w:r>
        <w:rPr>
          <w:lang w:val="en-US"/>
        </w:rPr>
        <w:t>the extracted sample size actually refers to the number of subjects who underwent fMRI scanning.</w:t>
      </w:r>
      <w:r w:rsidR="008C30EA">
        <w:rPr>
          <w:lang w:val="en-US"/>
        </w:rPr>
        <w:t xml:space="preserve"> Two useful sources of information are:</w:t>
      </w:r>
      <w:r>
        <w:rPr>
          <w:lang w:val="en-US"/>
        </w:rPr>
        <w:t xml:space="preserve"> </w:t>
      </w:r>
    </w:p>
    <w:p w14:paraId="27526E50" w14:textId="77777777" w:rsidR="00C52CF4" w:rsidRDefault="008C30EA" w:rsidP="001F48E7">
      <w:pPr>
        <w:pStyle w:val="ListParagraph"/>
        <w:numPr>
          <w:ilvl w:val="1"/>
          <w:numId w:val="3"/>
        </w:numPr>
        <w:rPr>
          <w:lang w:val="en-US"/>
        </w:rPr>
      </w:pPr>
      <w:r>
        <w:rPr>
          <w:lang w:val="en-US"/>
        </w:rPr>
        <w:t>Details about the sample mentioned in the “participants” subsection, which is usually placed in the beginning of the methods section.</w:t>
      </w:r>
      <w:r w:rsidRPr="008C30EA">
        <w:rPr>
          <w:lang w:val="en-US"/>
        </w:rPr>
        <w:t xml:space="preserve"> </w:t>
      </w:r>
      <w:r>
        <w:rPr>
          <w:lang w:val="en-US"/>
        </w:rPr>
        <w:t>If only a subset of the sample has undergone fMRI scanning, this will usually be mentioned explicitly here.</w:t>
      </w:r>
    </w:p>
    <w:p w14:paraId="205EB12E" w14:textId="77777777" w:rsidR="00C74A8E" w:rsidRPr="00C52CF4" w:rsidRDefault="00DC1962" w:rsidP="001F48E7">
      <w:pPr>
        <w:pStyle w:val="ListParagraph"/>
        <w:numPr>
          <w:ilvl w:val="1"/>
          <w:numId w:val="3"/>
        </w:numPr>
        <w:rPr>
          <w:lang w:val="en-US"/>
        </w:rPr>
      </w:pPr>
      <w:r w:rsidRPr="00C52CF4">
        <w:rPr>
          <w:lang w:val="en-US"/>
        </w:rPr>
        <w:t>Context c</w:t>
      </w:r>
      <w:r w:rsidR="008C30EA" w:rsidRPr="00C52CF4">
        <w:rPr>
          <w:lang w:val="en-US"/>
        </w:rPr>
        <w:t>lues from the abstract. For example, do the research questions completely depend on information from the fMRI data?</w:t>
      </w:r>
    </w:p>
    <w:p w14:paraId="6BBFFB70" w14:textId="77777777" w:rsidR="00C52CF4" w:rsidRDefault="00C52CF4" w:rsidP="0080345D">
      <w:pPr>
        <w:pStyle w:val="Heading2"/>
        <w:rPr>
          <w:lang w:val="en-US"/>
        </w:rPr>
      </w:pPr>
    </w:p>
    <w:p w14:paraId="3F1DEDB3" w14:textId="77777777" w:rsidR="0080345D" w:rsidRDefault="0080345D" w:rsidP="0080345D">
      <w:pPr>
        <w:pStyle w:val="Heading2"/>
        <w:rPr>
          <w:lang w:val="en-US"/>
        </w:rPr>
      </w:pPr>
      <w:r>
        <w:rPr>
          <w:lang w:val="en-US"/>
        </w:rPr>
        <w:t>Dataset A – example table of coded information</w:t>
      </w:r>
    </w:p>
    <w:tbl>
      <w:tblPr>
        <w:tblStyle w:val="TableGrid"/>
        <w:tblW w:w="0" w:type="auto"/>
        <w:tblLook w:val="04A0" w:firstRow="1" w:lastRow="0" w:firstColumn="1" w:lastColumn="0" w:noHBand="0" w:noVBand="1"/>
      </w:tblPr>
      <w:tblGrid>
        <w:gridCol w:w="870"/>
        <w:gridCol w:w="674"/>
        <w:gridCol w:w="633"/>
        <w:gridCol w:w="469"/>
        <w:gridCol w:w="551"/>
        <w:gridCol w:w="1709"/>
        <w:gridCol w:w="1397"/>
        <w:gridCol w:w="1252"/>
        <w:gridCol w:w="1507"/>
      </w:tblGrid>
      <w:tr w:rsidR="00E3122B" w14:paraId="38D36F17" w14:textId="77777777" w:rsidTr="00E3122B">
        <w:tc>
          <w:tcPr>
            <w:tcW w:w="993" w:type="dxa"/>
          </w:tcPr>
          <w:p w14:paraId="7A34C929" w14:textId="77777777" w:rsidR="00E3122B" w:rsidRPr="00E3122B" w:rsidRDefault="00E3122B" w:rsidP="0080345D">
            <w:pPr>
              <w:rPr>
                <w:sz w:val="18"/>
                <w:lang w:val="en-US"/>
              </w:rPr>
            </w:pPr>
            <w:r w:rsidRPr="00E3122B">
              <w:rPr>
                <w:sz w:val="18"/>
                <w:lang w:val="en-US"/>
              </w:rPr>
              <w:t>AU</w:t>
            </w:r>
          </w:p>
        </w:tc>
        <w:tc>
          <w:tcPr>
            <w:tcW w:w="766" w:type="dxa"/>
          </w:tcPr>
          <w:p w14:paraId="561621A1" w14:textId="77777777" w:rsidR="00E3122B" w:rsidRPr="00E3122B" w:rsidRDefault="00E3122B" w:rsidP="0080345D">
            <w:pPr>
              <w:rPr>
                <w:sz w:val="18"/>
                <w:lang w:val="en-US"/>
              </w:rPr>
            </w:pPr>
            <w:r w:rsidRPr="00E3122B">
              <w:rPr>
                <w:sz w:val="18"/>
                <w:lang w:val="en-US"/>
              </w:rPr>
              <w:t>TI</w:t>
            </w:r>
          </w:p>
        </w:tc>
        <w:tc>
          <w:tcPr>
            <w:tcW w:w="720" w:type="dxa"/>
          </w:tcPr>
          <w:p w14:paraId="2A150185" w14:textId="77777777" w:rsidR="00E3122B" w:rsidRPr="00E3122B" w:rsidRDefault="00E3122B" w:rsidP="0080345D">
            <w:pPr>
              <w:rPr>
                <w:sz w:val="18"/>
                <w:lang w:val="en-US"/>
              </w:rPr>
            </w:pPr>
            <w:r w:rsidRPr="00E3122B">
              <w:rPr>
                <w:sz w:val="18"/>
                <w:lang w:val="en-US"/>
              </w:rPr>
              <w:t>PY</w:t>
            </w:r>
          </w:p>
        </w:tc>
        <w:tc>
          <w:tcPr>
            <w:tcW w:w="530" w:type="dxa"/>
          </w:tcPr>
          <w:p w14:paraId="02E8119A" w14:textId="77777777" w:rsidR="00E3122B" w:rsidRPr="00E3122B" w:rsidRDefault="00E3122B" w:rsidP="0080345D">
            <w:pPr>
              <w:rPr>
                <w:sz w:val="18"/>
                <w:lang w:val="en-US"/>
              </w:rPr>
            </w:pPr>
            <w:r w:rsidRPr="00E3122B">
              <w:rPr>
                <w:sz w:val="18"/>
                <w:lang w:val="en-US"/>
              </w:rPr>
              <w:t>DI</w:t>
            </w:r>
          </w:p>
        </w:tc>
        <w:tc>
          <w:tcPr>
            <w:tcW w:w="625" w:type="dxa"/>
          </w:tcPr>
          <w:p w14:paraId="1BF802F6" w14:textId="77777777" w:rsidR="00E3122B" w:rsidRPr="00E3122B" w:rsidRDefault="00E3122B" w:rsidP="0080345D">
            <w:pPr>
              <w:rPr>
                <w:sz w:val="18"/>
                <w:lang w:val="en-US"/>
              </w:rPr>
            </w:pPr>
            <w:r w:rsidRPr="00E3122B">
              <w:rPr>
                <w:sz w:val="18"/>
                <w:lang w:val="en-US"/>
              </w:rPr>
              <w:t>UT</w:t>
            </w:r>
          </w:p>
        </w:tc>
        <w:tc>
          <w:tcPr>
            <w:tcW w:w="1978" w:type="dxa"/>
          </w:tcPr>
          <w:p w14:paraId="14964BD3" w14:textId="77777777" w:rsidR="00E3122B" w:rsidRPr="00E3122B" w:rsidRDefault="00E3122B" w:rsidP="0080345D">
            <w:pPr>
              <w:rPr>
                <w:sz w:val="18"/>
                <w:lang w:val="en-US"/>
              </w:rPr>
            </w:pPr>
            <w:proofErr w:type="spellStart"/>
            <w:r w:rsidRPr="00E3122B">
              <w:rPr>
                <w:sz w:val="18"/>
                <w:lang w:val="en-US"/>
              </w:rPr>
              <w:t>exclusion_flagged</w:t>
            </w:r>
            <w:proofErr w:type="spellEnd"/>
          </w:p>
        </w:tc>
        <w:tc>
          <w:tcPr>
            <w:tcW w:w="1611" w:type="dxa"/>
          </w:tcPr>
          <w:p w14:paraId="64E78776" w14:textId="77777777" w:rsidR="00E3122B" w:rsidRPr="00E3122B" w:rsidRDefault="00E3122B" w:rsidP="0080345D">
            <w:pPr>
              <w:rPr>
                <w:sz w:val="18"/>
                <w:lang w:val="en-US"/>
              </w:rPr>
            </w:pPr>
            <w:proofErr w:type="spellStart"/>
            <w:r w:rsidRPr="00E3122B">
              <w:rPr>
                <w:sz w:val="18"/>
                <w:lang w:val="en-US"/>
              </w:rPr>
              <w:t>study_number</w:t>
            </w:r>
            <w:proofErr w:type="spellEnd"/>
          </w:p>
        </w:tc>
        <w:tc>
          <w:tcPr>
            <w:tcW w:w="1439" w:type="dxa"/>
          </w:tcPr>
          <w:p w14:paraId="2144A158" w14:textId="77777777" w:rsidR="00E3122B" w:rsidRPr="00E3122B" w:rsidRDefault="00E3122B" w:rsidP="0080345D">
            <w:pPr>
              <w:rPr>
                <w:sz w:val="18"/>
                <w:lang w:val="en-US"/>
              </w:rPr>
            </w:pPr>
            <w:proofErr w:type="spellStart"/>
            <w:r w:rsidRPr="00E3122B">
              <w:rPr>
                <w:sz w:val="18"/>
                <w:lang w:val="en-US"/>
              </w:rPr>
              <w:t>sample_size</w:t>
            </w:r>
            <w:proofErr w:type="spellEnd"/>
          </w:p>
        </w:tc>
        <w:tc>
          <w:tcPr>
            <w:tcW w:w="400" w:type="dxa"/>
          </w:tcPr>
          <w:p w14:paraId="60EE80E3" w14:textId="77777777" w:rsidR="00E3122B" w:rsidRPr="00E3122B" w:rsidRDefault="00E3122B" w:rsidP="0080345D">
            <w:pPr>
              <w:rPr>
                <w:sz w:val="18"/>
                <w:lang w:val="en-US"/>
              </w:rPr>
            </w:pPr>
            <w:proofErr w:type="spellStart"/>
            <w:r w:rsidRPr="00E3122B">
              <w:rPr>
                <w:sz w:val="18"/>
                <w:lang w:val="en-US"/>
              </w:rPr>
              <w:t>coder_comment</w:t>
            </w:r>
            <w:proofErr w:type="spellEnd"/>
          </w:p>
        </w:tc>
      </w:tr>
      <w:tr w:rsidR="00E3122B" w14:paraId="5E633468" w14:textId="77777777" w:rsidTr="00E3122B">
        <w:tc>
          <w:tcPr>
            <w:tcW w:w="993" w:type="dxa"/>
          </w:tcPr>
          <w:p w14:paraId="22598B0A" w14:textId="77777777" w:rsidR="00E3122B" w:rsidRPr="00E3122B" w:rsidRDefault="00E3122B" w:rsidP="0080345D">
            <w:pPr>
              <w:rPr>
                <w:sz w:val="18"/>
                <w:lang w:val="en-US"/>
              </w:rPr>
            </w:pPr>
            <w:r w:rsidRPr="00E3122B">
              <w:rPr>
                <w:sz w:val="18"/>
                <w:lang w:val="en-US"/>
              </w:rPr>
              <w:t>Author1</w:t>
            </w:r>
          </w:p>
        </w:tc>
        <w:tc>
          <w:tcPr>
            <w:tcW w:w="766" w:type="dxa"/>
          </w:tcPr>
          <w:p w14:paraId="6037D59F" w14:textId="77777777" w:rsidR="00E3122B" w:rsidRPr="00E3122B" w:rsidRDefault="00E3122B" w:rsidP="0080345D">
            <w:pPr>
              <w:rPr>
                <w:sz w:val="18"/>
                <w:lang w:val="en-US"/>
              </w:rPr>
            </w:pPr>
            <w:r w:rsidRPr="00E3122B">
              <w:rPr>
                <w:sz w:val="18"/>
                <w:lang w:val="en-US"/>
              </w:rPr>
              <w:t>Title1</w:t>
            </w:r>
          </w:p>
        </w:tc>
        <w:tc>
          <w:tcPr>
            <w:tcW w:w="720" w:type="dxa"/>
          </w:tcPr>
          <w:p w14:paraId="590B308B" w14:textId="77777777" w:rsidR="00E3122B" w:rsidRPr="00E3122B" w:rsidRDefault="00E3122B" w:rsidP="0080345D">
            <w:pPr>
              <w:rPr>
                <w:sz w:val="18"/>
                <w:lang w:val="en-US"/>
              </w:rPr>
            </w:pPr>
            <w:r w:rsidRPr="00E3122B">
              <w:rPr>
                <w:sz w:val="18"/>
                <w:lang w:val="en-US"/>
              </w:rPr>
              <w:t>2019</w:t>
            </w:r>
          </w:p>
        </w:tc>
        <w:tc>
          <w:tcPr>
            <w:tcW w:w="530" w:type="dxa"/>
          </w:tcPr>
          <w:p w14:paraId="1D522109" w14:textId="77777777" w:rsidR="00E3122B" w:rsidRPr="00E3122B" w:rsidRDefault="00E3122B" w:rsidP="00C52CF4">
            <w:pPr>
              <w:rPr>
                <w:sz w:val="18"/>
                <w:lang w:val="en-US"/>
              </w:rPr>
            </w:pPr>
            <w:proofErr w:type="spellStart"/>
            <w:r w:rsidRPr="00E3122B">
              <w:rPr>
                <w:sz w:val="18"/>
                <w:lang w:val="en-US"/>
              </w:rPr>
              <w:t>doi</w:t>
            </w:r>
            <w:proofErr w:type="spellEnd"/>
          </w:p>
        </w:tc>
        <w:tc>
          <w:tcPr>
            <w:tcW w:w="625" w:type="dxa"/>
          </w:tcPr>
          <w:p w14:paraId="72CA1641"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4DC4C076"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1</w:t>
            </w:r>
          </w:p>
        </w:tc>
        <w:tc>
          <w:tcPr>
            <w:tcW w:w="1611" w:type="dxa"/>
          </w:tcPr>
          <w:p w14:paraId="10184AA8" w14:textId="77777777" w:rsidR="00E3122B" w:rsidRPr="00E3122B" w:rsidRDefault="00E3122B" w:rsidP="0080345D">
            <w:pPr>
              <w:rPr>
                <w:sz w:val="18"/>
                <w:lang w:val="en-US"/>
              </w:rPr>
            </w:pPr>
            <w:r w:rsidRPr="00E3122B">
              <w:rPr>
                <w:sz w:val="18"/>
                <w:lang w:val="en-US"/>
              </w:rPr>
              <w:t>1</w:t>
            </w:r>
          </w:p>
        </w:tc>
        <w:tc>
          <w:tcPr>
            <w:tcW w:w="1439" w:type="dxa"/>
          </w:tcPr>
          <w:p w14:paraId="0EF4D611" w14:textId="77777777" w:rsidR="00E3122B" w:rsidRPr="00E3122B" w:rsidRDefault="00E3122B" w:rsidP="0080345D">
            <w:pPr>
              <w:rPr>
                <w:sz w:val="18"/>
                <w:lang w:val="en-US"/>
              </w:rPr>
            </w:pPr>
          </w:p>
        </w:tc>
        <w:tc>
          <w:tcPr>
            <w:tcW w:w="400" w:type="dxa"/>
          </w:tcPr>
          <w:p w14:paraId="61C50525" w14:textId="77777777" w:rsidR="00E3122B" w:rsidRPr="00E3122B" w:rsidRDefault="00E3122B" w:rsidP="0080345D">
            <w:pPr>
              <w:rPr>
                <w:sz w:val="18"/>
                <w:lang w:val="en-US"/>
              </w:rPr>
            </w:pPr>
            <w:r>
              <w:rPr>
                <w:sz w:val="18"/>
                <w:lang w:val="en-US"/>
              </w:rPr>
              <w:t>review article</w:t>
            </w:r>
          </w:p>
        </w:tc>
      </w:tr>
      <w:tr w:rsidR="00E3122B" w14:paraId="2F63BB07" w14:textId="77777777" w:rsidTr="00E3122B">
        <w:tc>
          <w:tcPr>
            <w:tcW w:w="993" w:type="dxa"/>
          </w:tcPr>
          <w:p w14:paraId="1EDE5D10" w14:textId="77777777" w:rsidR="00E3122B" w:rsidRPr="00E3122B" w:rsidRDefault="00E3122B" w:rsidP="0080345D">
            <w:pPr>
              <w:rPr>
                <w:sz w:val="18"/>
                <w:lang w:val="en-US"/>
              </w:rPr>
            </w:pPr>
            <w:r w:rsidRPr="00E3122B">
              <w:rPr>
                <w:sz w:val="18"/>
                <w:lang w:val="en-US"/>
              </w:rPr>
              <w:t>Author2</w:t>
            </w:r>
          </w:p>
        </w:tc>
        <w:tc>
          <w:tcPr>
            <w:tcW w:w="766" w:type="dxa"/>
          </w:tcPr>
          <w:p w14:paraId="53A4FC23" w14:textId="77777777" w:rsidR="00E3122B" w:rsidRPr="00E3122B" w:rsidRDefault="00E3122B" w:rsidP="0080345D">
            <w:pPr>
              <w:rPr>
                <w:sz w:val="18"/>
                <w:lang w:val="en-US"/>
              </w:rPr>
            </w:pPr>
            <w:r w:rsidRPr="00E3122B">
              <w:rPr>
                <w:sz w:val="18"/>
                <w:lang w:val="en-US"/>
              </w:rPr>
              <w:t>Title2</w:t>
            </w:r>
          </w:p>
        </w:tc>
        <w:tc>
          <w:tcPr>
            <w:tcW w:w="720" w:type="dxa"/>
          </w:tcPr>
          <w:p w14:paraId="7B69B5EF" w14:textId="77777777" w:rsidR="00E3122B" w:rsidRPr="00E3122B" w:rsidRDefault="00E3122B" w:rsidP="0080345D">
            <w:pPr>
              <w:rPr>
                <w:sz w:val="18"/>
                <w:lang w:val="en-US"/>
              </w:rPr>
            </w:pPr>
            <w:r w:rsidRPr="00E3122B">
              <w:rPr>
                <w:sz w:val="18"/>
                <w:lang w:val="en-US"/>
              </w:rPr>
              <w:t>2019</w:t>
            </w:r>
          </w:p>
        </w:tc>
        <w:tc>
          <w:tcPr>
            <w:tcW w:w="530" w:type="dxa"/>
          </w:tcPr>
          <w:p w14:paraId="21758F42"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36058D27"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0E04D129" w14:textId="77777777" w:rsidR="00E3122B" w:rsidRPr="00E3122B" w:rsidRDefault="00E3122B" w:rsidP="0080345D">
            <w:pPr>
              <w:rPr>
                <w:sz w:val="18"/>
                <w:lang w:val="en-US"/>
              </w:rPr>
            </w:pPr>
          </w:p>
        </w:tc>
        <w:tc>
          <w:tcPr>
            <w:tcW w:w="1611" w:type="dxa"/>
          </w:tcPr>
          <w:p w14:paraId="69D8CA03" w14:textId="77777777" w:rsidR="00E3122B" w:rsidRPr="00E3122B" w:rsidRDefault="00E3122B" w:rsidP="0080345D">
            <w:pPr>
              <w:rPr>
                <w:sz w:val="18"/>
                <w:lang w:val="en-US"/>
              </w:rPr>
            </w:pPr>
            <w:r w:rsidRPr="00E3122B">
              <w:rPr>
                <w:sz w:val="18"/>
                <w:lang w:val="en-US"/>
              </w:rPr>
              <w:t>1</w:t>
            </w:r>
          </w:p>
        </w:tc>
        <w:tc>
          <w:tcPr>
            <w:tcW w:w="1439" w:type="dxa"/>
          </w:tcPr>
          <w:p w14:paraId="3CCAD72A" w14:textId="77777777" w:rsidR="00E3122B" w:rsidRPr="00E3122B" w:rsidRDefault="00E3122B" w:rsidP="0080345D">
            <w:pPr>
              <w:rPr>
                <w:sz w:val="18"/>
                <w:lang w:val="en-US"/>
              </w:rPr>
            </w:pPr>
            <w:r w:rsidRPr="00E3122B">
              <w:rPr>
                <w:sz w:val="18"/>
                <w:lang w:val="en-US"/>
              </w:rPr>
              <w:t>20</w:t>
            </w:r>
          </w:p>
        </w:tc>
        <w:tc>
          <w:tcPr>
            <w:tcW w:w="400" w:type="dxa"/>
          </w:tcPr>
          <w:p w14:paraId="4CAD4CAF" w14:textId="77777777" w:rsidR="00E3122B" w:rsidRPr="00E3122B" w:rsidRDefault="00E3122B" w:rsidP="0080345D">
            <w:pPr>
              <w:rPr>
                <w:sz w:val="18"/>
                <w:lang w:val="en-US"/>
              </w:rPr>
            </w:pPr>
          </w:p>
        </w:tc>
      </w:tr>
      <w:tr w:rsidR="00E3122B" w14:paraId="0CDF3DCC" w14:textId="77777777" w:rsidTr="00E3122B">
        <w:tc>
          <w:tcPr>
            <w:tcW w:w="993" w:type="dxa"/>
          </w:tcPr>
          <w:p w14:paraId="200AD323" w14:textId="77777777" w:rsidR="00E3122B" w:rsidRPr="00E3122B" w:rsidRDefault="00E3122B" w:rsidP="0080345D">
            <w:pPr>
              <w:rPr>
                <w:sz w:val="18"/>
                <w:lang w:val="en-US"/>
              </w:rPr>
            </w:pPr>
            <w:r w:rsidRPr="00E3122B">
              <w:rPr>
                <w:sz w:val="18"/>
                <w:lang w:val="en-US"/>
              </w:rPr>
              <w:t>Author2</w:t>
            </w:r>
          </w:p>
        </w:tc>
        <w:tc>
          <w:tcPr>
            <w:tcW w:w="766" w:type="dxa"/>
          </w:tcPr>
          <w:p w14:paraId="5A52A627" w14:textId="77777777" w:rsidR="00E3122B" w:rsidRPr="00E3122B" w:rsidRDefault="00E3122B" w:rsidP="0080345D">
            <w:pPr>
              <w:rPr>
                <w:sz w:val="18"/>
                <w:lang w:val="en-US"/>
              </w:rPr>
            </w:pPr>
            <w:r w:rsidRPr="00E3122B">
              <w:rPr>
                <w:sz w:val="18"/>
                <w:lang w:val="en-US"/>
              </w:rPr>
              <w:t>Title2</w:t>
            </w:r>
          </w:p>
        </w:tc>
        <w:tc>
          <w:tcPr>
            <w:tcW w:w="720" w:type="dxa"/>
          </w:tcPr>
          <w:p w14:paraId="2FBD081A" w14:textId="77777777" w:rsidR="00E3122B" w:rsidRPr="00E3122B" w:rsidRDefault="00E3122B" w:rsidP="0080345D">
            <w:pPr>
              <w:rPr>
                <w:sz w:val="18"/>
                <w:lang w:val="en-US"/>
              </w:rPr>
            </w:pPr>
            <w:r w:rsidRPr="00E3122B">
              <w:rPr>
                <w:sz w:val="18"/>
                <w:lang w:val="en-US"/>
              </w:rPr>
              <w:t>2019</w:t>
            </w:r>
          </w:p>
        </w:tc>
        <w:tc>
          <w:tcPr>
            <w:tcW w:w="530" w:type="dxa"/>
          </w:tcPr>
          <w:p w14:paraId="01EC906F" w14:textId="77777777" w:rsidR="00E3122B" w:rsidRPr="00E3122B" w:rsidRDefault="00E3122B" w:rsidP="0080345D">
            <w:pPr>
              <w:rPr>
                <w:sz w:val="18"/>
                <w:lang w:val="en-US"/>
              </w:rPr>
            </w:pPr>
            <w:proofErr w:type="spellStart"/>
            <w:r w:rsidRPr="00E3122B">
              <w:rPr>
                <w:sz w:val="18"/>
                <w:lang w:val="en-US"/>
              </w:rPr>
              <w:t>doi</w:t>
            </w:r>
            <w:proofErr w:type="spellEnd"/>
          </w:p>
        </w:tc>
        <w:tc>
          <w:tcPr>
            <w:tcW w:w="625" w:type="dxa"/>
          </w:tcPr>
          <w:p w14:paraId="6B6DB4A2" w14:textId="77777777" w:rsidR="00E3122B" w:rsidRPr="00E3122B" w:rsidRDefault="00E3122B" w:rsidP="0080345D">
            <w:pPr>
              <w:rPr>
                <w:sz w:val="18"/>
                <w:lang w:val="en-US"/>
              </w:rPr>
            </w:pPr>
            <w:proofErr w:type="spellStart"/>
            <w:r w:rsidRPr="00E3122B">
              <w:rPr>
                <w:sz w:val="18"/>
                <w:lang w:val="en-US"/>
              </w:rPr>
              <w:t>wos</w:t>
            </w:r>
            <w:proofErr w:type="spellEnd"/>
          </w:p>
        </w:tc>
        <w:tc>
          <w:tcPr>
            <w:tcW w:w="1978" w:type="dxa"/>
          </w:tcPr>
          <w:p w14:paraId="6AB7A18A" w14:textId="77777777" w:rsidR="00E3122B" w:rsidRPr="00E3122B" w:rsidRDefault="00E3122B" w:rsidP="0080345D">
            <w:pPr>
              <w:rPr>
                <w:sz w:val="18"/>
                <w:lang w:val="en-US"/>
              </w:rPr>
            </w:pPr>
            <w:r w:rsidRPr="00E3122B">
              <w:rPr>
                <w:sz w:val="18"/>
                <w:lang w:val="en-US"/>
              </w:rPr>
              <w:t>yes</w:t>
            </w:r>
            <w:r w:rsidRPr="00E3122B">
              <w:rPr>
                <w:sz w:val="18"/>
                <w:vertAlign w:val="superscript"/>
                <w:lang w:val="en-US"/>
              </w:rPr>
              <w:t>2</w:t>
            </w:r>
          </w:p>
        </w:tc>
        <w:tc>
          <w:tcPr>
            <w:tcW w:w="1611" w:type="dxa"/>
          </w:tcPr>
          <w:p w14:paraId="21BD1143" w14:textId="77777777" w:rsidR="00E3122B" w:rsidRPr="00E3122B" w:rsidRDefault="00E3122B" w:rsidP="0080345D">
            <w:pPr>
              <w:rPr>
                <w:sz w:val="18"/>
                <w:lang w:val="en-US"/>
              </w:rPr>
            </w:pPr>
            <w:r w:rsidRPr="00E3122B">
              <w:rPr>
                <w:sz w:val="18"/>
                <w:lang w:val="en-US"/>
              </w:rPr>
              <w:t>2</w:t>
            </w:r>
          </w:p>
        </w:tc>
        <w:tc>
          <w:tcPr>
            <w:tcW w:w="1439" w:type="dxa"/>
          </w:tcPr>
          <w:p w14:paraId="6D4C00EB" w14:textId="77777777" w:rsidR="00E3122B" w:rsidRPr="00E3122B" w:rsidRDefault="00E3122B" w:rsidP="0080345D">
            <w:pPr>
              <w:rPr>
                <w:sz w:val="18"/>
                <w:lang w:val="en-US"/>
              </w:rPr>
            </w:pPr>
          </w:p>
        </w:tc>
        <w:tc>
          <w:tcPr>
            <w:tcW w:w="400" w:type="dxa"/>
          </w:tcPr>
          <w:p w14:paraId="17CC1F73" w14:textId="77777777" w:rsidR="00E3122B" w:rsidRPr="00E3122B" w:rsidRDefault="00E3122B" w:rsidP="0080345D">
            <w:pPr>
              <w:rPr>
                <w:sz w:val="18"/>
                <w:lang w:val="en-US"/>
              </w:rPr>
            </w:pPr>
            <w:r>
              <w:rPr>
                <w:sz w:val="18"/>
                <w:lang w:val="en-US"/>
              </w:rPr>
              <w:t xml:space="preserve">not </w:t>
            </w:r>
            <w:proofErr w:type="spellStart"/>
            <w:r>
              <w:rPr>
                <w:sz w:val="18"/>
                <w:lang w:val="en-US"/>
              </w:rPr>
              <w:t>fmri</w:t>
            </w:r>
            <w:proofErr w:type="spellEnd"/>
          </w:p>
        </w:tc>
      </w:tr>
    </w:tbl>
    <w:p w14:paraId="6B52655E" w14:textId="77777777" w:rsidR="0080345D" w:rsidRDefault="0080345D" w:rsidP="0080345D">
      <w:pPr>
        <w:rPr>
          <w:lang w:val="en-US"/>
        </w:rPr>
      </w:pPr>
    </w:p>
    <w:p w14:paraId="5307B212" w14:textId="77777777" w:rsidR="00C52CF4" w:rsidRDefault="00C52CF4" w:rsidP="00C52CF4">
      <w:pPr>
        <w:pStyle w:val="ListParagraph"/>
        <w:numPr>
          <w:ilvl w:val="0"/>
          <w:numId w:val="6"/>
        </w:numPr>
        <w:rPr>
          <w:lang w:val="en-US"/>
        </w:rPr>
      </w:pPr>
      <w:r w:rsidRPr="00C52CF4">
        <w:rPr>
          <w:lang w:val="en-US"/>
        </w:rPr>
        <w:t>“Title1” is fla</w:t>
      </w:r>
      <w:r>
        <w:rPr>
          <w:lang w:val="en-US"/>
        </w:rPr>
        <w:t>gged for exclusion, which means it is not necessary to code sample size</w:t>
      </w:r>
      <w:r w:rsidR="005D3C6B">
        <w:rPr>
          <w:lang w:val="en-US"/>
        </w:rPr>
        <w:t>. A brief comment detailing the reason for flagging is left in the “</w:t>
      </w:r>
      <w:proofErr w:type="spellStart"/>
      <w:r w:rsidR="005D3C6B">
        <w:rPr>
          <w:lang w:val="en-US"/>
        </w:rPr>
        <w:t>coder_comment</w:t>
      </w:r>
      <w:proofErr w:type="spellEnd"/>
      <w:r w:rsidR="005D3C6B">
        <w:rPr>
          <w:lang w:val="en-US"/>
        </w:rPr>
        <w:t>” cell.</w:t>
      </w:r>
    </w:p>
    <w:p w14:paraId="69473E2B" w14:textId="77777777" w:rsidR="00C52CF4" w:rsidRDefault="00C52CF4" w:rsidP="00C52CF4">
      <w:pPr>
        <w:pStyle w:val="ListParagraph"/>
        <w:numPr>
          <w:ilvl w:val="0"/>
          <w:numId w:val="6"/>
        </w:numPr>
        <w:rPr>
          <w:lang w:val="en-US"/>
        </w:rPr>
      </w:pPr>
      <w:r>
        <w:rPr>
          <w:lang w:val="en-US"/>
        </w:rPr>
        <w:t xml:space="preserve">“Title2” contains two studies. </w:t>
      </w:r>
    </w:p>
    <w:p w14:paraId="6D28EB75" w14:textId="77777777" w:rsidR="00C52CF4" w:rsidRDefault="00C52CF4" w:rsidP="00C52CF4">
      <w:pPr>
        <w:pStyle w:val="ListParagraph"/>
        <w:numPr>
          <w:ilvl w:val="1"/>
          <w:numId w:val="6"/>
        </w:numPr>
        <w:rPr>
          <w:lang w:val="en-US"/>
        </w:rPr>
      </w:pPr>
      <w:r>
        <w:rPr>
          <w:lang w:val="en-US"/>
        </w:rPr>
        <w:t xml:space="preserve">The first is an </w:t>
      </w:r>
      <w:proofErr w:type="spellStart"/>
      <w:r>
        <w:rPr>
          <w:lang w:val="en-US"/>
        </w:rPr>
        <w:t>fmri</w:t>
      </w:r>
      <w:proofErr w:type="spellEnd"/>
      <w:r>
        <w:rPr>
          <w:lang w:val="en-US"/>
        </w:rPr>
        <w:t xml:space="preserve"> study and is coded. The “</w:t>
      </w:r>
      <w:proofErr w:type="spellStart"/>
      <w:r>
        <w:rPr>
          <w:lang w:val="en-US"/>
        </w:rPr>
        <w:t>exclusion_flagged</w:t>
      </w:r>
      <w:proofErr w:type="spellEnd"/>
      <w:r>
        <w:rPr>
          <w:lang w:val="en-US"/>
        </w:rPr>
        <w:t>” column can be left blank.</w:t>
      </w:r>
    </w:p>
    <w:p w14:paraId="55DDE0A9" w14:textId="07DDA33B" w:rsidR="00C52CF4" w:rsidRDefault="00C52CF4" w:rsidP="00C52CF4">
      <w:pPr>
        <w:pStyle w:val="ListParagraph"/>
        <w:numPr>
          <w:ilvl w:val="1"/>
          <w:numId w:val="6"/>
        </w:numPr>
        <w:rPr>
          <w:lang w:val="en-US"/>
        </w:rPr>
      </w:pPr>
      <w:r>
        <w:rPr>
          <w:lang w:val="en-US"/>
        </w:rPr>
        <w:t xml:space="preserve">The second is a </w:t>
      </w:r>
      <w:r w:rsidR="0084428A">
        <w:rPr>
          <w:lang w:val="en-US"/>
        </w:rPr>
        <w:t xml:space="preserve">purely </w:t>
      </w:r>
      <w:r>
        <w:rPr>
          <w:lang w:val="en-US"/>
        </w:rPr>
        <w:t>behavioral study, which is flagged for exclusion, and no sample size needs to be coded.</w:t>
      </w:r>
    </w:p>
    <w:p w14:paraId="5CCBB026" w14:textId="411D6365" w:rsidR="00E71848" w:rsidRDefault="00E71848" w:rsidP="00E71848">
      <w:pPr>
        <w:rPr>
          <w:lang w:val="en-US"/>
        </w:rPr>
      </w:pPr>
    </w:p>
    <w:p w14:paraId="4F96DC96" w14:textId="77777777" w:rsidR="00A23ABE" w:rsidRDefault="00A23ABE">
      <w:pPr>
        <w:rPr>
          <w:b/>
          <w:lang w:val="en-US"/>
        </w:rPr>
      </w:pPr>
      <w:r>
        <w:rPr>
          <w:b/>
          <w:lang w:val="en-US"/>
        </w:rPr>
        <w:br w:type="page"/>
      </w:r>
    </w:p>
    <w:p w14:paraId="1F7AE5BF" w14:textId="243991B0" w:rsidR="00E71848" w:rsidRDefault="00E71848" w:rsidP="00E71848">
      <w:pPr>
        <w:rPr>
          <w:b/>
          <w:lang w:val="en-US"/>
        </w:rPr>
      </w:pPr>
      <w:proofErr w:type="gramStart"/>
      <w:r>
        <w:rPr>
          <w:b/>
          <w:lang w:val="en-US"/>
        </w:rPr>
        <w:lastRenderedPageBreak/>
        <w:t>Tips :</w:t>
      </w:r>
      <w:proofErr w:type="gramEnd"/>
    </w:p>
    <w:p w14:paraId="50764A40" w14:textId="382FC0FA" w:rsidR="00E71848" w:rsidRPr="00A23ABE" w:rsidRDefault="00E71848" w:rsidP="00A23ABE">
      <w:pPr>
        <w:pStyle w:val="ListParagraph"/>
        <w:numPr>
          <w:ilvl w:val="0"/>
          <w:numId w:val="7"/>
        </w:numPr>
        <w:rPr>
          <w:lang w:val="en-US"/>
        </w:rPr>
      </w:pPr>
      <w:r>
        <w:rPr>
          <w:lang w:val="en-US"/>
        </w:rPr>
        <w:t>Read the title and the abstract.  Usually this is the easiest way to tell if the study will have to be excluded: this is where you will be able to tell if it is a non-fMRI, non-experimental paper</w:t>
      </w:r>
      <w:r w:rsidR="00A23ABE">
        <w:rPr>
          <w:lang w:val="en-US"/>
        </w:rPr>
        <w:br/>
      </w:r>
      <w:r w:rsidR="00A23ABE">
        <w:rPr>
          <w:lang w:val="en-US"/>
        </w:rPr>
        <w:br/>
        <w:t xml:space="preserve">- </w:t>
      </w:r>
      <w:r w:rsidRPr="00A23ABE">
        <w:rPr>
          <w:lang w:val="en-US"/>
        </w:rPr>
        <w:t>Keep an eye on the keywords by the abstract, if the word ‘fMRI’ or equivalent is written there, chances are the paper is appropriate.  Not a hard rule, just a hint if coder is suspicious</w:t>
      </w:r>
      <w:r w:rsidR="00A23ABE" w:rsidRPr="00A23ABE">
        <w:rPr>
          <w:lang w:val="en-US"/>
        </w:rPr>
        <w:br/>
      </w:r>
    </w:p>
    <w:p w14:paraId="40B38747" w14:textId="054BBCA7" w:rsidR="00A23ABE" w:rsidRDefault="00E71848" w:rsidP="00E71848">
      <w:pPr>
        <w:pStyle w:val="ListParagraph"/>
        <w:numPr>
          <w:ilvl w:val="0"/>
          <w:numId w:val="7"/>
        </w:numPr>
        <w:rPr>
          <w:lang w:val="en-US"/>
        </w:rPr>
      </w:pPr>
      <w:r>
        <w:rPr>
          <w:lang w:val="en-US"/>
        </w:rPr>
        <w:t xml:space="preserve">Usually the most important information about sample size is at the beginning of the </w:t>
      </w:r>
      <w:r w:rsidRPr="00E71848">
        <w:rPr>
          <w:b/>
          <w:lang w:val="en-US"/>
        </w:rPr>
        <w:t>methods</w:t>
      </w:r>
      <w:r>
        <w:rPr>
          <w:lang w:val="en-US"/>
        </w:rPr>
        <w:t xml:space="preserve"> section, however, exclusions are not always mentioned at this stage:</w:t>
      </w:r>
      <w:r>
        <w:rPr>
          <w:lang w:val="en-US"/>
        </w:rPr>
        <w:br/>
      </w:r>
      <w:r>
        <w:rPr>
          <w:lang w:val="en-US"/>
        </w:rPr>
        <w:br/>
        <w:t xml:space="preserve">- sometimes exclusions are mentioned in the </w:t>
      </w:r>
      <w:r w:rsidRPr="00E71848">
        <w:rPr>
          <w:b/>
          <w:lang w:val="en-US"/>
        </w:rPr>
        <w:t>fMRI data cleaning</w:t>
      </w:r>
      <w:r>
        <w:rPr>
          <w:lang w:val="en-US"/>
        </w:rPr>
        <w:t xml:space="preserve"> paragraph</w:t>
      </w:r>
      <w:r>
        <w:rPr>
          <w:lang w:val="en-US"/>
        </w:rPr>
        <w:br/>
        <w:t xml:space="preserve">- a good way to confirm the number of participants mentioned in the methods section is to look at the degrees of freedom of the descriptive stats in the </w:t>
      </w:r>
      <w:r>
        <w:rPr>
          <w:b/>
          <w:lang w:val="en-US"/>
        </w:rPr>
        <w:t xml:space="preserve">results </w:t>
      </w:r>
      <w:r>
        <w:rPr>
          <w:lang w:val="en-US"/>
        </w:rPr>
        <w:t xml:space="preserve">section.  Usually the best place to look is after a </w:t>
      </w:r>
      <w:r>
        <w:rPr>
          <w:b/>
          <w:lang w:val="en-US"/>
        </w:rPr>
        <w:t>t-statistic</w:t>
      </w:r>
      <w:r w:rsidR="00A23ABE">
        <w:rPr>
          <w:b/>
          <w:lang w:val="en-US"/>
        </w:rPr>
        <w:t xml:space="preserve"> or F-statistic</w:t>
      </w:r>
      <w:r>
        <w:rPr>
          <w:b/>
          <w:lang w:val="en-US"/>
        </w:rPr>
        <w:t xml:space="preserve"> </w:t>
      </w:r>
      <w:r>
        <w:rPr>
          <w:lang w:val="en-US"/>
        </w:rPr>
        <w:t>is mentioned</w:t>
      </w:r>
    </w:p>
    <w:p w14:paraId="3617A73A" w14:textId="77777777" w:rsidR="00A23ABE" w:rsidRDefault="00A23ABE" w:rsidP="00A23ABE">
      <w:pPr>
        <w:pStyle w:val="ListParagraph"/>
        <w:rPr>
          <w:lang w:val="en-US"/>
        </w:rPr>
      </w:pPr>
    </w:p>
    <w:p w14:paraId="6DF92C21" w14:textId="0B6B7FEF" w:rsidR="00E71848" w:rsidRPr="00A23ABE" w:rsidRDefault="00E71848" w:rsidP="00A23ABE">
      <w:pPr>
        <w:pStyle w:val="ListParagraph"/>
        <w:jc w:val="center"/>
        <w:rPr>
          <w:i/>
          <w:lang w:val="en-US"/>
        </w:rPr>
      </w:pPr>
      <w:proofErr w:type="spellStart"/>
      <w:r w:rsidRPr="00A23ABE">
        <w:rPr>
          <w:i/>
          <w:lang w:val="en-US"/>
        </w:rPr>
        <w:t>eg</w:t>
      </w:r>
      <w:proofErr w:type="spellEnd"/>
      <w:r w:rsidRPr="00A23ABE">
        <w:rPr>
          <w:i/>
        </w:rPr>
        <w:t xml:space="preserve">.         </w:t>
      </w:r>
      <w:r w:rsidRPr="00A23ABE">
        <w:rPr>
          <w:i/>
        </w:rPr>
        <w:t>F(1,18)</w:t>
      </w:r>
      <w:r w:rsidRPr="00A23ABE">
        <w:rPr>
          <w:i/>
        </w:rPr>
        <w:t>=</w:t>
      </w:r>
      <w:r w:rsidRPr="00A23ABE">
        <w:rPr>
          <w:i/>
        </w:rPr>
        <w:t>50.97, P &lt; 0.001, d</w:t>
      </w:r>
      <w:r w:rsidRPr="00A23ABE">
        <w:rPr>
          <w:i/>
        </w:rPr>
        <w:t>=</w:t>
      </w:r>
      <w:r w:rsidRPr="00A23ABE">
        <w:rPr>
          <w:i/>
        </w:rPr>
        <w:t>3.3</w:t>
      </w:r>
      <w:r w:rsidRPr="00A23ABE">
        <w:rPr>
          <w:i/>
        </w:rPr>
        <w:br/>
      </w:r>
      <w:r w:rsidRPr="00A23ABE">
        <w:rPr>
          <w:i/>
        </w:rPr>
        <w:br/>
        <w:t>in the above, 18 indicates the degrees of freedom</w:t>
      </w:r>
      <w:r w:rsidR="00A23ABE" w:rsidRPr="00A23ABE">
        <w:rPr>
          <w:i/>
        </w:rPr>
        <w:br/>
      </w:r>
    </w:p>
    <w:p w14:paraId="1A796F56" w14:textId="42F3912E" w:rsidR="00BB3784" w:rsidRDefault="00E71848" w:rsidP="00E71848">
      <w:pPr>
        <w:pStyle w:val="ListParagraph"/>
        <w:numPr>
          <w:ilvl w:val="0"/>
          <w:numId w:val="7"/>
        </w:numPr>
        <w:rPr>
          <w:b/>
        </w:rPr>
      </w:pPr>
      <w:r>
        <w:t>Searching for keywords (</w:t>
      </w:r>
      <w:r w:rsidRPr="00E71848">
        <w:rPr>
          <w:b/>
        </w:rPr>
        <w:t>Ctrl F</w:t>
      </w:r>
      <w:r>
        <w:t>) can be used as something of a last resort.  Usually a somewhat successful search term is ‘exclu</w:t>
      </w:r>
      <w:r w:rsidR="00A23ABE">
        <w:t>’, as this includes the possibility of the words exclu</w:t>
      </w:r>
      <w:r w:rsidR="00A23ABE" w:rsidRPr="00A23ABE">
        <w:rPr>
          <w:b/>
        </w:rPr>
        <w:t>sion</w:t>
      </w:r>
      <w:r w:rsidR="00A23ABE">
        <w:t xml:space="preserve"> or exclu</w:t>
      </w:r>
      <w:r w:rsidR="00A23ABE" w:rsidRPr="00A23ABE">
        <w:rPr>
          <w:b/>
        </w:rPr>
        <w:t>ded</w:t>
      </w:r>
      <w:r w:rsidR="00167F37">
        <w:rPr>
          <w:b/>
        </w:rPr>
        <w:t xml:space="preserve">.  </w:t>
      </w:r>
      <w:bookmarkStart w:id="1" w:name="_GoBack"/>
      <w:bookmarkEnd w:id="1"/>
      <w:r w:rsidR="00167F37" w:rsidRPr="00167F37">
        <w:t xml:space="preserve">another </w:t>
      </w:r>
      <w:r w:rsidR="00167F37">
        <w:t>term is “remove”.</w:t>
      </w:r>
    </w:p>
    <w:p w14:paraId="006B0E3F" w14:textId="77777777" w:rsidR="00BB3784" w:rsidRDefault="00BB3784">
      <w:pPr>
        <w:rPr>
          <w:b/>
        </w:rPr>
      </w:pPr>
      <w:r>
        <w:rPr>
          <w:b/>
        </w:rPr>
        <w:br w:type="page"/>
      </w:r>
    </w:p>
    <w:p w14:paraId="3B89B851" w14:textId="5E5F6A8B" w:rsidR="00BB3784" w:rsidRDefault="00BB3784" w:rsidP="00BB3784">
      <w:pPr>
        <w:rPr>
          <w:b/>
          <w:lang w:val="en-US"/>
        </w:rPr>
      </w:pPr>
      <w:r w:rsidRPr="00BB3784">
        <w:rPr>
          <w:b/>
          <w:lang w:val="en-US"/>
        </w:rPr>
        <w:lastRenderedPageBreak/>
        <w:t>Common Issues encountered</w:t>
      </w:r>
    </w:p>
    <w:p w14:paraId="6A0BB3CA" w14:textId="7B504FBC" w:rsidR="00D45B8D" w:rsidRDefault="00D45B8D" w:rsidP="00BB3784">
      <w:pPr>
        <w:pStyle w:val="ListParagraph"/>
        <w:numPr>
          <w:ilvl w:val="0"/>
          <w:numId w:val="8"/>
        </w:numPr>
        <w:rPr>
          <w:lang w:val="en-US"/>
        </w:rPr>
      </w:pPr>
      <w:r>
        <w:rPr>
          <w:lang w:val="en-US"/>
        </w:rPr>
        <w:t>Confusing phrasing of exclusions:</w:t>
      </w:r>
      <w:r>
        <w:rPr>
          <w:lang w:val="en-US"/>
        </w:rPr>
        <w:br/>
      </w:r>
    </w:p>
    <w:p w14:paraId="4F07BA7E" w14:textId="77777777" w:rsidR="00D45B8D" w:rsidRDefault="00D45B8D" w:rsidP="00D45B8D">
      <w:pPr>
        <w:ind w:left="360"/>
        <w:rPr>
          <w:lang w:val="en-US"/>
        </w:rPr>
      </w:pPr>
      <w:r w:rsidRPr="00D45B8D">
        <w:rPr>
          <w:lang w:val="en-US"/>
        </w:rPr>
        <w:t>“139 participants were recruited for the study.  An additional 14 were recruited and excluded due to …”</w:t>
      </w:r>
      <w:r w:rsidRPr="00D45B8D">
        <w:rPr>
          <w:lang w:val="en-US"/>
        </w:rPr>
        <w:br/>
      </w:r>
      <w:r>
        <w:rPr>
          <w:lang w:val="en-US"/>
        </w:rPr>
        <w:br/>
        <w:t>Generally this indicates that 139 participants were used in the final analysis, however the easiest solution is to check the degrees of freedom used.</w:t>
      </w:r>
    </w:p>
    <w:p w14:paraId="5A33D28B" w14:textId="77777777" w:rsidR="00D45B8D" w:rsidRDefault="00D45B8D" w:rsidP="00D45B8D">
      <w:pPr>
        <w:rPr>
          <w:lang w:val="en-US"/>
        </w:rPr>
      </w:pPr>
    </w:p>
    <w:p w14:paraId="6933446A" w14:textId="392129FB" w:rsidR="00D45B8D" w:rsidRDefault="00D45B8D" w:rsidP="00D45B8D">
      <w:pPr>
        <w:pStyle w:val="ListParagraph"/>
        <w:numPr>
          <w:ilvl w:val="0"/>
          <w:numId w:val="8"/>
        </w:numPr>
        <w:rPr>
          <w:lang w:val="en-US"/>
        </w:rPr>
      </w:pPr>
      <w:r>
        <w:rPr>
          <w:lang w:val="en-US"/>
        </w:rPr>
        <w:t>When pairs are recruited – important to check whether each individual is getting scanned, differences are calculated etc.</w:t>
      </w:r>
    </w:p>
    <w:p w14:paraId="48546696" w14:textId="2C2ED62F" w:rsidR="004C41F3" w:rsidRDefault="00B1588F" w:rsidP="00D45B8D">
      <w:pPr>
        <w:pStyle w:val="ListParagraph"/>
        <w:numPr>
          <w:ilvl w:val="0"/>
          <w:numId w:val="8"/>
        </w:numPr>
        <w:rPr>
          <w:lang w:val="en-US"/>
        </w:rPr>
      </w:pPr>
      <w:r>
        <w:rPr>
          <w:lang w:val="en-US"/>
        </w:rPr>
        <w:t xml:space="preserve">When the topic is not evidently ‘social neuroscience’ </w:t>
      </w:r>
      <w:r>
        <w:rPr>
          <w:lang w:val="en-US"/>
        </w:rPr>
        <w:br/>
        <w:t>- we have decided to be liberal with inclusion here, as long as the study is something that someone studying neuroscience might be interested in, it counts</w:t>
      </w:r>
    </w:p>
    <w:p w14:paraId="0DB67839" w14:textId="638E1FFB" w:rsidR="00D45B8D" w:rsidRDefault="004C41F3" w:rsidP="004C41F3">
      <w:pPr>
        <w:rPr>
          <w:lang w:val="en-US"/>
        </w:rPr>
      </w:pPr>
      <w:r>
        <w:rPr>
          <w:lang w:val="en-US"/>
        </w:rPr>
        <w:br w:type="page"/>
      </w:r>
    </w:p>
    <w:p w14:paraId="3EBF6E37" w14:textId="77777777" w:rsidR="00063FD7" w:rsidRDefault="004C41F3" w:rsidP="004C41F3">
      <w:pPr>
        <w:rPr>
          <w:b/>
          <w:lang w:val="en-US"/>
        </w:rPr>
      </w:pPr>
      <w:r>
        <w:rPr>
          <w:b/>
          <w:lang w:val="en-US"/>
        </w:rPr>
        <w:lastRenderedPageBreak/>
        <w:t xml:space="preserve">Unifying </w:t>
      </w:r>
      <w:r w:rsidR="00063FD7">
        <w:rPr>
          <w:b/>
          <w:lang w:val="en-US"/>
        </w:rPr>
        <w:t>different spreadsheets</w:t>
      </w:r>
    </w:p>
    <w:p w14:paraId="3A7E8898" w14:textId="310C4907" w:rsidR="00063FD7" w:rsidRPr="00063FD7" w:rsidRDefault="00063FD7" w:rsidP="004C41F3">
      <w:pPr>
        <w:rPr>
          <w:lang w:val="en-US"/>
        </w:rPr>
      </w:pPr>
      <w:r>
        <w:rPr>
          <w:lang w:val="en-US"/>
        </w:rPr>
        <w:t>Consider the main spreadsheet (</w:t>
      </w:r>
      <w:proofErr w:type="spellStart"/>
      <w:r>
        <w:rPr>
          <w:lang w:val="en-US"/>
        </w:rPr>
        <w:t>dataset_A_coded.tsv</w:t>
      </w:r>
      <w:proofErr w:type="spellEnd"/>
      <w:r>
        <w:rPr>
          <w:lang w:val="en-US"/>
        </w:rPr>
        <w:t xml:space="preserve">) the central one, and the other spreadsheets secondary.  Imagine the coder has been tasked to work on all the articles starting with “A” until “C” (up until D). </w:t>
      </w:r>
    </w:p>
    <w:p w14:paraId="5E6DD1A0" w14:textId="7B989AAE" w:rsidR="004C41F3" w:rsidRPr="00063FD7" w:rsidRDefault="00063FD7" w:rsidP="00063FD7">
      <w:pPr>
        <w:pStyle w:val="ListParagraph"/>
        <w:numPr>
          <w:ilvl w:val="0"/>
          <w:numId w:val="9"/>
        </w:numPr>
        <w:rPr>
          <w:b/>
          <w:lang w:val="en-US"/>
        </w:rPr>
      </w:pPr>
      <w:r>
        <w:rPr>
          <w:lang w:val="en-US"/>
        </w:rPr>
        <w:t>Work by chunks of articles (</w:t>
      </w:r>
      <w:proofErr w:type="spellStart"/>
      <w:r>
        <w:rPr>
          <w:lang w:val="en-US"/>
        </w:rPr>
        <w:t>ie</w:t>
      </w:r>
      <w:proofErr w:type="spellEnd"/>
      <w:r>
        <w:rPr>
          <w:lang w:val="en-US"/>
        </w:rPr>
        <w:t>. articles beginning with a given letter)</w:t>
      </w:r>
    </w:p>
    <w:p w14:paraId="3A782828" w14:textId="27B0024A" w:rsidR="00063FD7" w:rsidRPr="00063FD7" w:rsidRDefault="00063FD7" w:rsidP="00063FD7">
      <w:pPr>
        <w:pStyle w:val="ListParagraph"/>
        <w:numPr>
          <w:ilvl w:val="0"/>
          <w:numId w:val="9"/>
        </w:numPr>
        <w:rPr>
          <w:b/>
          <w:lang w:val="en-US"/>
        </w:rPr>
      </w:pPr>
      <w:r>
        <w:rPr>
          <w:lang w:val="en-US"/>
        </w:rPr>
        <w:t>In the central spreadsheet, check how many articles begin with the letter ‘A’</w:t>
      </w:r>
      <w:r>
        <w:rPr>
          <w:lang w:val="en-US"/>
        </w:rPr>
        <w:br/>
      </w:r>
      <w:r w:rsidR="004925B8">
        <w:rPr>
          <w:noProof/>
        </w:rPr>
        <w:drawing>
          <wp:inline distT="0" distB="0" distL="0" distR="0" wp14:anchorId="2654996A" wp14:editId="6617BF3D">
            <wp:extent cx="4480810" cy="2919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9409" cy="2931162"/>
                    </a:xfrm>
                    <a:prstGeom prst="rect">
                      <a:avLst/>
                    </a:prstGeom>
                  </pic:spPr>
                </pic:pic>
              </a:graphicData>
            </a:graphic>
          </wp:inline>
        </w:drawing>
      </w:r>
      <w:r>
        <w:rPr>
          <w:lang w:val="en-US"/>
        </w:rPr>
        <w:br/>
      </w:r>
    </w:p>
    <w:p w14:paraId="655E32B2" w14:textId="7AE1C215" w:rsidR="00063FD7" w:rsidRPr="00402DD1" w:rsidRDefault="00063FD7" w:rsidP="00063FD7">
      <w:pPr>
        <w:pStyle w:val="ListParagraph"/>
        <w:numPr>
          <w:ilvl w:val="0"/>
          <w:numId w:val="9"/>
        </w:numPr>
        <w:rPr>
          <w:b/>
          <w:lang w:val="en-US"/>
        </w:rPr>
      </w:pPr>
      <w:r>
        <w:rPr>
          <w:lang w:val="en-US"/>
        </w:rPr>
        <w:t>Compare this with the secondary sprea</w:t>
      </w:r>
      <w:r w:rsidR="004925B8">
        <w:rPr>
          <w:lang w:val="en-US"/>
        </w:rPr>
        <w:t>d</w:t>
      </w:r>
      <w:r>
        <w:rPr>
          <w:lang w:val="en-US"/>
        </w:rPr>
        <w:t xml:space="preserve">sheet from the coder </w:t>
      </w:r>
      <w:r w:rsidR="00402DD1">
        <w:rPr>
          <w:lang w:val="en-US"/>
        </w:rPr>
        <w:br/>
      </w:r>
      <w:r>
        <w:rPr>
          <w:lang w:val="en-US"/>
        </w:rPr>
        <w:t xml:space="preserve">(usually there are more in the secondary, since some studies have more than one group of participants, </w:t>
      </w:r>
      <w:proofErr w:type="spellStart"/>
      <w:r>
        <w:rPr>
          <w:lang w:val="en-US"/>
        </w:rPr>
        <w:t>ie</w:t>
      </w:r>
      <w:proofErr w:type="spellEnd"/>
      <w:r>
        <w:rPr>
          <w:lang w:val="en-US"/>
        </w:rPr>
        <w:t>, more rows)</w:t>
      </w:r>
      <w:r w:rsidR="004925B8">
        <w:rPr>
          <w:lang w:val="en-US"/>
        </w:rPr>
        <w:br/>
        <w:t xml:space="preserve">-in our example, the secondary has 110, while the central has 100 </w:t>
      </w:r>
      <w:r w:rsidR="00402DD1">
        <w:rPr>
          <w:lang w:val="en-US"/>
        </w:rPr>
        <w:br/>
      </w:r>
    </w:p>
    <w:p w14:paraId="51CF3AFB" w14:textId="6AE654C1" w:rsidR="00402DD1" w:rsidRDefault="00402DD1" w:rsidP="00063FD7">
      <w:pPr>
        <w:pStyle w:val="ListParagraph"/>
        <w:numPr>
          <w:ilvl w:val="0"/>
          <w:numId w:val="9"/>
        </w:numPr>
        <w:rPr>
          <w:b/>
          <w:lang w:val="en-US"/>
        </w:rPr>
      </w:pPr>
      <w:r>
        <w:rPr>
          <w:lang w:val="en-US"/>
        </w:rPr>
        <w:t>Select all the information of the chunk (A) in the central spreadsheet, by clicking on the row numbers in Excel</w:t>
      </w:r>
      <w:r w:rsidR="004925B8">
        <w:rPr>
          <w:lang w:val="en-US"/>
        </w:rPr>
        <w:br/>
      </w:r>
      <w:r w:rsidR="004925B8">
        <w:rPr>
          <w:noProof/>
        </w:rPr>
        <w:drawing>
          <wp:inline distT="0" distB="0" distL="0" distR="0" wp14:anchorId="5572A6C7" wp14:editId="010ADF0C">
            <wp:extent cx="4527135" cy="2511083"/>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536" cy="2520180"/>
                    </a:xfrm>
                    <a:prstGeom prst="rect">
                      <a:avLst/>
                    </a:prstGeom>
                  </pic:spPr>
                </pic:pic>
              </a:graphicData>
            </a:graphic>
          </wp:inline>
        </w:drawing>
      </w:r>
      <w:r>
        <w:rPr>
          <w:lang w:val="en-US"/>
        </w:rPr>
        <w:br/>
      </w:r>
      <w:r>
        <w:rPr>
          <w:lang w:val="en-US"/>
        </w:rPr>
        <w:br/>
      </w:r>
      <w:r>
        <w:rPr>
          <w:b/>
          <w:lang w:val="en-US"/>
        </w:rPr>
        <w:br/>
      </w:r>
      <w:r w:rsidRPr="004925B8">
        <w:rPr>
          <w:b/>
          <w:color w:val="FF0000"/>
          <w:lang w:val="en-US"/>
        </w:rPr>
        <w:t>remember the row number of the end of your chunk (1</w:t>
      </w:r>
      <w:r w:rsidR="004925B8">
        <w:rPr>
          <w:b/>
          <w:color w:val="FF0000"/>
          <w:lang w:val="en-US"/>
        </w:rPr>
        <w:t>02</w:t>
      </w:r>
      <w:r w:rsidRPr="004925B8">
        <w:rPr>
          <w:b/>
          <w:color w:val="FF0000"/>
          <w:lang w:val="en-US"/>
        </w:rPr>
        <w:t xml:space="preserve"> in the example)</w:t>
      </w:r>
      <w:r>
        <w:rPr>
          <w:b/>
          <w:lang w:val="en-US"/>
        </w:rPr>
        <w:br/>
      </w:r>
    </w:p>
    <w:p w14:paraId="18700C8D" w14:textId="63A17F44" w:rsidR="00402DD1" w:rsidRPr="00402DD1" w:rsidRDefault="00402DD1" w:rsidP="00063FD7">
      <w:pPr>
        <w:pStyle w:val="ListParagraph"/>
        <w:numPr>
          <w:ilvl w:val="0"/>
          <w:numId w:val="9"/>
        </w:numPr>
        <w:rPr>
          <w:b/>
          <w:lang w:val="en-US"/>
        </w:rPr>
      </w:pPr>
      <w:r>
        <w:rPr>
          <w:lang w:val="en-US"/>
        </w:rPr>
        <w:lastRenderedPageBreak/>
        <w:t>Switch over to the secondary, and in the same way, highlight all the information within the chunk, from the secondary</w:t>
      </w:r>
      <w:r w:rsidR="004925B8">
        <w:rPr>
          <w:lang w:val="en-US"/>
        </w:rPr>
        <w:br/>
      </w:r>
    </w:p>
    <w:p w14:paraId="4151EA60" w14:textId="47D8CF9C" w:rsidR="00402DD1" w:rsidRPr="00402DD1" w:rsidRDefault="00402DD1" w:rsidP="00063FD7">
      <w:pPr>
        <w:pStyle w:val="ListParagraph"/>
        <w:numPr>
          <w:ilvl w:val="0"/>
          <w:numId w:val="9"/>
        </w:numPr>
        <w:rPr>
          <w:b/>
          <w:lang w:val="en-US"/>
        </w:rPr>
      </w:pPr>
      <w:r>
        <w:rPr>
          <w:lang w:val="en-US"/>
        </w:rPr>
        <w:t>Copy the information from the secondary (ctrl-C)</w:t>
      </w:r>
      <w:r w:rsidR="004925B8">
        <w:rPr>
          <w:lang w:val="en-US"/>
        </w:rPr>
        <w:br/>
      </w:r>
    </w:p>
    <w:p w14:paraId="713C0EBC" w14:textId="5A31E987" w:rsidR="00402DD1" w:rsidRDefault="00402DD1" w:rsidP="00063FD7">
      <w:pPr>
        <w:pStyle w:val="ListParagraph"/>
        <w:numPr>
          <w:ilvl w:val="0"/>
          <w:numId w:val="9"/>
        </w:numPr>
        <w:rPr>
          <w:b/>
          <w:lang w:val="en-US"/>
        </w:rPr>
      </w:pPr>
      <w:r>
        <w:rPr>
          <w:lang w:val="en-US"/>
        </w:rPr>
        <w:t xml:space="preserve">Switch over to the central spreadsheet, and: </w:t>
      </w:r>
      <w:r>
        <w:rPr>
          <w:lang w:val="en-US"/>
        </w:rPr>
        <w:br/>
      </w:r>
      <w:r w:rsidRPr="004925B8">
        <w:rPr>
          <w:b/>
          <w:color w:val="FF0000"/>
          <w:lang w:val="en-US"/>
        </w:rPr>
        <w:t>right click</w:t>
      </w:r>
      <w:r w:rsidRPr="004925B8">
        <w:rPr>
          <w:color w:val="FF0000"/>
          <w:lang w:val="en-US"/>
        </w:rPr>
        <w:t xml:space="preserve"> </w:t>
      </w:r>
      <w:r w:rsidRPr="00402DD1">
        <w:rPr>
          <w:lang w:val="en-US"/>
        </w:rPr>
        <w:t>[within the selected area]</w:t>
      </w:r>
      <w:r>
        <w:rPr>
          <w:b/>
          <w:lang w:val="en-US"/>
        </w:rPr>
        <w:t xml:space="preserve"> </w:t>
      </w:r>
      <w:r w:rsidRPr="00402DD1">
        <w:rPr>
          <w:b/>
          <w:lang w:val="en-US"/>
        </w:rPr>
        <w:sym w:font="Wingdings" w:char="F0E0"/>
      </w:r>
      <w:r w:rsidRPr="004925B8">
        <w:rPr>
          <w:b/>
          <w:color w:val="FF0000"/>
          <w:lang w:val="en-US"/>
        </w:rPr>
        <w:t xml:space="preserve"> insert copied cells</w:t>
      </w:r>
      <w:r w:rsidR="004925B8">
        <w:rPr>
          <w:b/>
          <w:color w:val="FF0000"/>
          <w:lang w:val="en-US"/>
        </w:rPr>
        <w:br/>
      </w:r>
    </w:p>
    <w:p w14:paraId="5590FE7D" w14:textId="71E786F9" w:rsidR="00402DD1" w:rsidRPr="004925B8" w:rsidRDefault="004925B8" w:rsidP="00063FD7">
      <w:pPr>
        <w:pStyle w:val="ListParagraph"/>
        <w:numPr>
          <w:ilvl w:val="0"/>
          <w:numId w:val="9"/>
        </w:numPr>
        <w:rPr>
          <w:b/>
          <w:lang w:val="en-US"/>
        </w:rPr>
      </w:pPr>
      <w:r>
        <w:rPr>
          <w:lang w:val="en-US"/>
        </w:rPr>
        <w:t>After inserting, p</w:t>
      </w:r>
      <w:r w:rsidR="00402DD1">
        <w:rPr>
          <w:lang w:val="en-US"/>
        </w:rPr>
        <w:t xml:space="preserve">ay attention to the </w:t>
      </w:r>
      <w:r>
        <w:rPr>
          <w:lang w:val="en-US"/>
        </w:rPr>
        <w:t>row number, this number should have increased, since the secondary spreadsheet had more rows containing articles beginning with A</w:t>
      </w:r>
      <w:r>
        <w:rPr>
          <w:lang w:val="en-US"/>
        </w:rPr>
        <w:br/>
      </w:r>
      <w:r>
        <w:rPr>
          <w:noProof/>
        </w:rPr>
        <w:drawing>
          <wp:inline distT="0" distB="0" distL="0" distR="0" wp14:anchorId="67AED838" wp14:editId="39A9C2C5">
            <wp:extent cx="4501662" cy="2522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6401" cy="2531017"/>
                    </a:xfrm>
                    <a:prstGeom prst="rect">
                      <a:avLst/>
                    </a:prstGeom>
                  </pic:spPr>
                </pic:pic>
              </a:graphicData>
            </a:graphic>
          </wp:inline>
        </w:drawing>
      </w:r>
      <w:r>
        <w:rPr>
          <w:lang w:val="en-US"/>
        </w:rPr>
        <w:br/>
      </w:r>
    </w:p>
    <w:p w14:paraId="1DDBC869" w14:textId="74758F83" w:rsidR="004925B8" w:rsidRPr="00063FD7" w:rsidRDefault="004925B8" w:rsidP="00063FD7">
      <w:pPr>
        <w:pStyle w:val="ListParagraph"/>
        <w:numPr>
          <w:ilvl w:val="0"/>
          <w:numId w:val="9"/>
        </w:numPr>
        <w:rPr>
          <w:b/>
          <w:lang w:val="en-US"/>
        </w:rPr>
      </w:pPr>
      <w:r>
        <w:rPr>
          <w:lang w:val="en-US"/>
        </w:rPr>
        <w:t>If the row number has increased: all went well, and the information from the secondary is now in the central spreadsheet.  All that remains is to remove the (empty) chunk that is below what you’ve pasted.</w:t>
      </w:r>
    </w:p>
    <w:p w14:paraId="6E2EAC79" w14:textId="701ADB97" w:rsidR="00BB3784" w:rsidRDefault="00BB3784" w:rsidP="004925B8">
      <w:pPr>
        <w:jc w:val="center"/>
        <w:rPr>
          <w:b/>
          <w:lang w:val="en-US"/>
        </w:rPr>
      </w:pPr>
    </w:p>
    <w:p w14:paraId="3AA1C486" w14:textId="77777777" w:rsidR="004925B8" w:rsidRPr="004925B8" w:rsidRDefault="004925B8" w:rsidP="004925B8">
      <w:pPr>
        <w:jc w:val="center"/>
        <w:rPr>
          <w:b/>
          <w:lang w:val="en-US"/>
        </w:rPr>
      </w:pPr>
    </w:p>
    <w:p w14:paraId="3C00A8A8" w14:textId="77777777" w:rsidR="00D83B8B" w:rsidRPr="0080345D" w:rsidRDefault="00D83B8B" w:rsidP="0080345D">
      <w:pPr>
        <w:rPr>
          <w:rFonts w:asciiTheme="majorHAnsi" w:eastAsiaTheme="majorEastAsia" w:hAnsiTheme="majorHAnsi" w:cstheme="majorBidi"/>
          <w:color w:val="2E74B5" w:themeColor="accent1" w:themeShade="BF"/>
          <w:sz w:val="26"/>
          <w:szCs w:val="26"/>
          <w:lang w:val="en-US"/>
        </w:rPr>
      </w:pPr>
      <w:r>
        <w:rPr>
          <w:lang w:val="en-US"/>
        </w:rPr>
        <w:br w:type="page"/>
      </w:r>
    </w:p>
    <w:p w14:paraId="00531924" w14:textId="77777777" w:rsidR="00D83B8B" w:rsidRPr="00E3122B" w:rsidRDefault="00D83B8B" w:rsidP="00035E41">
      <w:pPr>
        <w:pStyle w:val="Heading1"/>
        <w:rPr>
          <w:lang w:val="nb-NO"/>
        </w:rPr>
      </w:pPr>
      <w:r w:rsidRPr="00E3122B">
        <w:rPr>
          <w:lang w:val="nb-NO"/>
        </w:rPr>
        <w:lastRenderedPageBreak/>
        <w:t>Dataset B</w:t>
      </w:r>
    </w:p>
    <w:p w14:paraId="0EF820F8" w14:textId="77777777" w:rsidR="00035E41" w:rsidRPr="00E3122B" w:rsidRDefault="00CA0C98" w:rsidP="00D83B8B">
      <w:pPr>
        <w:pStyle w:val="Heading2"/>
        <w:rPr>
          <w:lang w:val="nb-NO"/>
        </w:rPr>
      </w:pPr>
      <w:r w:rsidRPr="00E3122B">
        <w:rPr>
          <w:lang w:val="nb-NO"/>
        </w:rPr>
        <w:t xml:space="preserve">Variables to code for </w:t>
      </w:r>
      <w:r w:rsidR="00035E41" w:rsidRPr="00E3122B">
        <w:rPr>
          <w:lang w:val="nb-NO"/>
        </w:rPr>
        <w:t>dataset</w:t>
      </w:r>
      <w:r w:rsidRPr="00E3122B">
        <w:rPr>
          <w:lang w:val="nb-NO"/>
        </w:rPr>
        <w:t xml:space="preserve"> B</w:t>
      </w:r>
    </w:p>
    <w:p w14:paraId="601587FC" w14:textId="77777777" w:rsidR="0060436D" w:rsidRDefault="00824A2D" w:rsidP="00824A2D">
      <w:pPr>
        <w:rPr>
          <w:lang w:val="en-US"/>
        </w:rPr>
      </w:pPr>
      <w:r>
        <w:rPr>
          <w:lang w:val="en-US"/>
        </w:rPr>
        <w:t xml:space="preserve">Factor between or within subject: </w:t>
      </w:r>
    </w:p>
    <w:p w14:paraId="350EB81A" w14:textId="77777777" w:rsidR="0060436D" w:rsidRDefault="0060436D" w:rsidP="0060436D">
      <w:pPr>
        <w:rPr>
          <w:lang w:val="en-US"/>
        </w:rPr>
      </w:pPr>
      <w:r>
        <w:rPr>
          <w:lang w:val="en-US"/>
        </w:rPr>
        <w:t>Number of conditions per factor:</w:t>
      </w:r>
    </w:p>
    <w:p w14:paraId="10B99C88" w14:textId="77777777" w:rsidR="0060436D" w:rsidRDefault="0060436D" w:rsidP="0060436D">
      <w:pPr>
        <w:rPr>
          <w:lang w:val="en-US"/>
        </w:rPr>
      </w:pPr>
      <w:r>
        <w:rPr>
          <w:lang w:val="en-US"/>
        </w:rPr>
        <w:t>Number of factors:</w:t>
      </w:r>
    </w:p>
    <w:p w14:paraId="3BB6D424" w14:textId="77777777" w:rsidR="0060436D" w:rsidRDefault="0060436D" w:rsidP="00824A2D">
      <w:pPr>
        <w:rPr>
          <w:lang w:val="en-US"/>
        </w:rPr>
      </w:pPr>
      <w:r>
        <w:rPr>
          <w:lang w:val="en-US"/>
        </w:rPr>
        <w:t>Number of participants in each between-subject group:</w:t>
      </w:r>
    </w:p>
    <w:p w14:paraId="6FF52E89" w14:textId="77777777" w:rsidR="00035E41" w:rsidRDefault="00C74A8E" w:rsidP="00035E41">
      <w:pPr>
        <w:rPr>
          <w:lang w:val="en-US"/>
        </w:rPr>
      </w:pPr>
      <w:r>
        <w:rPr>
          <w:lang w:val="en-US"/>
        </w:rPr>
        <w:t>Open data URL:</w:t>
      </w:r>
    </w:p>
    <w:p w14:paraId="2C072639" w14:textId="77777777" w:rsidR="00C74A8E" w:rsidRDefault="00C74A8E" w:rsidP="00035E41">
      <w:pPr>
        <w:rPr>
          <w:lang w:val="en-US"/>
        </w:rPr>
      </w:pPr>
      <w:r>
        <w:rPr>
          <w:lang w:val="en-US"/>
        </w:rPr>
        <w:t>Open materials URL:</w:t>
      </w:r>
    </w:p>
    <w:p w14:paraId="29521447" w14:textId="77777777" w:rsidR="001F387B" w:rsidRPr="00FD43F8" w:rsidRDefault="001F387B" w:rsidP="001F387B">
      <w:pPr>
        <w:rPr>
          <w:b/>
          <w:lang w:val="en-US"/>
        </w:rPr>
      </w:pPr>
      <w:r w:rsidRPr="00FD43F8">
        <w:rPr>
          <w:b/>
          <w:lang w:val="en-US"/>
        </w:rPr>
        <w:t xml:space="preserve">Participant characteristics: </w:t>
      </w:r>
    </w:p>
    <w:p w14:paraId="4CE0AAC7" w14:textId="77777777" w:rsidR="001F387B" w:rsidRDefault="001F387B" w:rsidP="001F387B">
      <w:pPr>
        <w:rPr>
          <w:lang w:val="en-US"/>
        </w:rPr>
      </w:pPr>
      <w:r>
        <w:rPr>
          <w:lang w:val="en-US"/>
        </w:rPr>
        <w:t xml:space="preserve">For each study, code any major participant characteristics that defines the population being studied, such as gender (if only one is included), age group (if only particular ones are included), diagnosis if a patient group is included, etc. </w:t>
      </w:r>
    </w:p>
    <w:p w14:paraId="62047CF7" w14:textId="77777777" w:rsidR="001F387B" w:rsidRDefault="001F387B" w:rsidP="001F387B">
      <w:pPr>
        <w:rPr>
          <w:lang w:val="en-US"/>
        </w:rPr>
      </w:pPr>
      <w:r>
        <w:rPr>
          <w:lang w:val="en-US"/>
        </w:rPr>
        <w:t xml:space="preserve">Default value: “healthy”. Healthy participants imply a sample where no specified population of interest was target during recruitment. A convenience sample of healthy subjects should be coded as “healthy” even if it happens be restricted on certain characteristics, such as age, ethnicity, or other demographics. In other words, “healthy” indicates that the authors’ intention was to sample from a population of healthy human beings, with no additional population characteristics restricting recruitment. </w:t>
      </w:r>
    </w:p>
    <w:p w14:paraId="613B066A" w14:textId="77777777" w:rsidR="001F387B" w:rsidRDefault="001F387B" w:rsidP="001F387B">
      <w:pPr>
        <w:rPr>
          <w:lang w:val="en-US"/>
        </w:rPr>
      </w:pPr>
      <w:r>
        <w:rPr>
          <w:lang w:val="en-US"/>
        </w:rPr>
        <w:t xml:space="preserve">If any population characteristics are specified for any group, these should be coded instead of the default value. If a study contains a group from a specified population of interest and a group of healthy controls, the characteristics of the sample from the population of interest should be coded. </w:t>
      </w:r>
    </w:p>
    <w:p w14:paraId="307205EC" w14:textId="77777777" w:rsidR="001F387B" w:rsidRDefault="001F387B" w:rsidP="001F387B">
      <w:pPr>
        <w:rPr>
          <w:lang w:val="en-US"/>
        </w:rPr>
      </w:pPr>
      <w:r>
        <w:rPr>
          <w:lang w:val="en-US"/>
        </w:rPr>
        <w:t xml:space="preserve">If more than one participant characteristic is defined for the population of interest (e.g. adolescent males diagnosed with autism spectrum disorder), each characteristic should be listed in the same cell, with a comma “,” separating each characteristic. </w:t>
      </w:r>
    </w:p>
    <w:p w14:paraId="2159FA6A" w14:textId="77777777" w:rsidR="001F387B" w:rsidRPr="00C603D0" w:rsidRDefault="001F387B" w:rsidP="001F387B">
      <w:pPr>
        <w:rPr>
          <w:b/>
          <w:lang w:val="en-US"/>
        </w:rPr>
      </w:pPr>
      <w:r w:rsidRPr="00C603D0">
        <w:rPr>
          <w:b/>
          <w:lang w:val="en-US"/>
        </w:rPr>
        <w:t>Imaging techniques:</w:t>
      </w:r>
    </w:p>
    <w:p w14:paraId="13E87985" w14:textId="77777777" w:rsidR="001F387B" w:rsidRDefault="001F387B" w:rsidP="001F387B">
      <w:pPr>
        <w:rPr>
          <w:lang w:val="en-US"/>
        </w:rPr>
      </w:pPr>
      <w:r>
        <w:rPr>
          <w:lang w:val="en-US"/>
        </w:rPr>
        <w:t xml:space="preserve">For each study, code any neuroimaging/neurostimulation techniques utilized as part of the study design. </w:t>
      </w:r>
    </w:p>
    <w:p w14:paraId="588AA1F5" w14:textId="77777777" w:rsidR="001F387B" w:rsidRDefault="001F387B" w:rsidP="001F387B">
      <w:pPr>
        <w:rPr>
          <w:lang w:val="en-US"/>
        </w:rPr>
      </w:pPr>
      <w:r>
        <w:rPr>
          <w:lang w:val="en-US"/>
        </w:rPr>
        <w:t>Specified variable values and their meaning:</w:t>
      </w:r>
    </w:p>
    <w:p w14:paraId="59740826" w14:textId="77777777" w:rsidR="001F387B" w:rsidRPr="00D466F8" w:rsidRDefault="001F387B" w:rsidP="001F387B">
      <w:pPr>
        <w:pStyle w:val="ListParagraph"/>
        <w:numPr>
          <w:ilvl w:val="0"/>
          <w:numId w:val="2"/>
        </w:numPr>
        <w:rPr>
          <w:lang w:val="en-US"/>
        </w:rPr>
      </w:pPr>
      <w:r>
        <w:rPr>
          <w:lang w:val="en-US"/>
        </w:rPr>
        <w:t>“</w:t>
      </w:r>
      <w:proofErr w:type="spellStart"/>
      <w:r>
        <w:rPr>
          <w:lang w:val="en-US"/>
        </w:rPr>
        <w:t>eeg</w:t>
      </w:r>
      <w:proofErr w:type="spellEnd"/>
      <w:r>
        <w:rPr>
          <w:lang w:val="en-US"/>
        </w:rPr>
        <w:t>”: electroencephalography</w:t>
      </w:r>
    </w:p>
    <w:p w14:paraId="536972F8" w14:textId="77777777" w:rsidR="001F387B" w:rsidRDefault="001F387B" w:rsidP="001F387B">
      <w:pPr>
        <w:pStyle w:val="ListParagraph"/>
        <w:numPr>
          <w:ilvl w:val="0"/>
          <w:numId w:val="2"/>
        </w:numPr>
        <w:rPr>
          <w:lang w:val="en-US"/>
        </w:rPr>
      </w:pPr>
      <w:r>
        <w:rPr>
          <w:lang w:val="en-US"/>
        </w:rPr>
        <w:t>“</w:t>
      </w:r>
      <w:proofErr w:type="spellStart"/>
      <w:r>
        <w:rPr>
          <w:lang w:val="en-US"/>
        </w:rPr>
        <w:t>fmri</w:t>
      </w:r>
      <w:proofErr w:type="spellEnd"/>
      <w:r>
        <w:rPr>
          <w:lang w:val="en-US"/>
        </w:rPr>
        <w:t>”: functional magnetic resonance imaging</w:t>
      </w:r>
    </w:p>
    <w:p w14:paraId="0F6C73C8" w14:textId="77777777" w:rsidR="001F387B" w:rsidRDefault="001F387B" w:rsidP="001F387B">
      <w:pPr>
        <w:pStyle w:val="ListParagraph"/>
        <w:numPr>
          <w:ilvl w:val="0"/>
          <w:numId w:val="2"/>
        </w:numPr>
        <w:rPr>
          <w:lang w:val="en-US"/>
        </w:rPr>
      </w:pPr>
      <w:r>
        <w:rPr>
          <w:lang w:val="en-US"/>
        </w:rPr>
        <w:t>“</w:t>
      </w:r>
      <w:proofErr w:type="spellStart"/>
      <w:r>
        <w:rPr>
          <w:lang w:val="en-US"/>
        </w:rPr>
        <w:t>fnir</w:t>
      </w:r>
      <w:proofErr w:type="spellEnd"/>
      <w:r>
        <w:rPr>
          <w:lang w:val="en-US"/>
        </w:rPr>
        <w:t>: functional near-infrared spectroscopy</w:t>
      </w:r>
    </w:p>
    <w:p w14:paraId="4EA27168" w14:textId="77777777" w:rsidR="001F387B" w:rsidRDefault="001F387B" w:rsidP="001F387B">
      <w:pPr>
        <w:pStyle w:val="ListParagraph"/>
        <w:numPr>
          <w:ilvl w:val="0"/>
          <w:numId w:val="2"/>
        </w:numPr>
        <w:rPr>
          <w:lang w:val="en-US"/>
        </w:rPr>
      </w:pPr>
      <w:r>
        <w:rPr>
          <w:lang w:val="en-US"/>
        </w:rPr>
        <w:t>“meg”: magnetoencephalography</w:t>
      </w:r>
    </w:p>
    <w:p w14:paraId="48E593FF" w14:textId="77777777" w:rsidR="001F387B" w:rsidRDefault="001F387B" w:rsidP="001F387B">
      <w:pPr>
        <w:pStyle w:val="ListParagraph"/>
        <w:numPr>
          <w:ilvl w:val="0"/>
          <w:numId w:val="2"/>
        </w:numPr>
        <w:rPr>
          <w:lang w:val="en-US"/>
        </w:rPr>
      </w:pPr>
      <w:r>
        <w:rPr>
          <w:lang w:val="en-US"/>
        </w:rPr>
        <w:t>“pet”: positron emission tomography</w:t>
      </w:r>
    </w:p>
    <w:p w14:paraId="2A6B8916" w14:textId="7656621E" w:rsidR="001F387B" w:rsidRDefault="001F387B" w:rsidP="001F387B">
      <w:pPr>
        <w:pStyle w:val="ListParagraph"/>
        <w:numPr>
          <w:ilvl w:val="0"/>
          <w:numId w:val="2"/>
        </w:numPr>
        <w:rPr>
          <w:lang w:val="en-US"/>
        </w:rPr>
      </w:pPr>
      <w:r>
        <w:rPr>
          <w:lang w:val="en-US"/>
        </w:rPr>
        <w:t>“</w:t>
      </w:r>
      <w:proofErr w:type="spellStart"/>
      <w:r>
        <w:rPr>
          <w:lang w:val="en-US"/>
        </w:rPr>
        <w:t>tdcs</w:t>
      </w:r>
      <w:proofErr w:type="spellEnd"/>
      <w:r>
        <w:rPr>
          <w:lang w:val="en-US"/>
        </w:rPr>
        <w:t>”:</w:t>
      </w:r>
      <w:r w:rsidR="007070DA">
        <w:rPr>
          <w:lang w:val="en-US"/>
        </w:rPr>
        <w:t xml:space="preserve"> </w:t>
      </w:r>
      <w:r>
        <w:rPr>
          <w:lang w:val="en-US"/>
        </w:rPr>
        <w:t xml:space="preserve">transcranial direct-current stimulation </w:t>
      </w:r>
    </w:p>
    <w:p w14:paraId="7A76D699" w14:textId="77777777" w:rsidR="001F387B" w:rsidRDefault="001F387B" w:rsidP="001F387B">
      <w:pPr>
        <w:pStyle w:val="ListParagraph"/>
        <w:numPr>
          <w:ilvl w:val="0"/>
          <w:numId w:val="2"/>
        </w:numPr>
        <w:rPr>
          <w:lang w:val="en-US"/>
        </w:rPr>
      </w:pPr>
      <w:r>
        <w:rPr>
          <w:lang w:val="en-US"/>
        </w:rPr>
        <w:t>“</w:t>
      </w:r>
      <w:proofErr w:type="spellStart"/>
      <w:r>
        <w:rPr>
          <w:lang w:val="en-US"/>
        </w:rPr>
        <w:t>tms</w:t>
      </w:r>
      <w:proofErr w:type="spellEnd"/>
      <w:r>
        <w:rPr>
          <w:lang w:val="en-US"/>
        </w:rPr>
        <w:t>”: transcranial magnetic stimulation</w:t>
      </w:r>
    </w:p>
    <w:p w14:paraId="3C13A1F8" w14:textId="77777777" w:rsidR="001F387B" w:rsidRPr="00D466F8" w:rsidRDefault="001F387B" w:rsidP="001F387B">
      <w:pPr>
        <w:rPr>
          <w:lang w:val="en-US"/>
        </w:rPr>
      </w:pPr>
      <w:r>
        <w:rPr>
          <w:lang w:val="en-US"/>
        </w:rPr>
        <w:t xml:space="preserve">If other potentially relevant techniques are discovered during coding, the research team should be notified and discuss their relevance on a case-by-case basis. For example, even though electromyography is not a neuroimaging technique per se, it is a commonly used imaging technique in social neuroscience, and we may want to consider adding it to the list of specified values depending on the context of the study it is applied in. </w:t>
      </w:r>
    </w:p>
    <w:p w14:paraId="583980A2" w14:textId="77777777" w:rsidR="00824A2D" w:rsidRPr="00035E41" w:rsidRDefault="00824A2D">
      <w:pPr>
        <w:rPr>
          <w:lang w:val="en-US"/>
        </w:rPr>
      </w:pPr>
    </w:p>
    <w:sectPr w:rsidR="00824A2D" w:rsidRPr="00035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47410"/>
    <w:multiLevelType w:val="hybridMultilevel"/>
    <w:tmpl w:val="3474CDF8"/>
    <w:lvl w:ilvl="0" w:tplc="46881A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00C57"/>
    <w:multiLevelType w:val="hybridMultilevel"/>
    <w:tmpl w:val="B3822B50"/>
    <w:lvl w:ilvl="0" w:tplc="77D23F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F7CC4"/>
    <w:multiLevelType w:val="hybridMultilevel"/>
    <w:tmpl w:val="9E2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437604"/>
    <w:multiLevelType w:val="hybridMultilevel"/>
    <w:tmpl w:val="D15E9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60C28CA">
      <w:start w:val="1"/>
      <w:numFmt w:val="bullet"/>
      <w:lvlText w:val="-"/>
      <w:lvlJc w:val="left"/>
      <w:pPr>
        <w:ind w:left="2340" w:hanging="360"/>
      </w:pPr>
      <w:rPr>
        <w:rFonts w:ascii="Arial" w:eastAsiaTheme="minorHAnsi" w:hAnsi="Arial" w:cs="Arial" w:hint="default"/>
      </w:rPr>
    </w:lvl>
    <w:lvl w:ilvl="3" w:tplc="340AE9E4">
      <w:start w:val="1"/>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11615"/>
    <w:multiLevelType w:val="hybridMultilevel"/>
    <w:tmpl w:val="A5BEE3E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44302A2B"/>
    <w:multiLevelType w:val="hybridMultilevel"/>
    <w:tmpl w:val="D5244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70FBA"/>
    <w:multiLevelType w:val="hybridMultilevel"/>
    <w:tmpl w:val="E2660EA2"/>
    <w:lvl w:ilvl="0" w:tplc="5C9C2D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326ED"/>
    <w:multiLevelType w:val="hybridMultilevel"/>
    <w:tmpl w:val="C452115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256FE2"/>
    <w:multiLevelType w:val="hybridMultilevel"/>
    <w:tmpl w:val="0078724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5C002BFF"/>
    <w:multiLevelType w:val="hybridMultilevel"/>
    <w:tmpl w:val="2240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2060B"/>
    <w:multiLevelType w:val="hybridMultilevel"/>
    <w:tmpl w:val="60B8EB02"/>
    <w:lvl w:ilvl="0" w:tplc="F216D9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
  </w:num>
  <w:num w:numId="5">
    <w:abstractNumId w:val="2"/>
  </w:num>
  <w:num w:numId="6">
    <w:abstractNumId w:val="3"/>
  </w:num>
  <w:num w:numId="7">
    <w:abstractNumId w:val="6"/>
  </w:num>
  <w:num w:numId="8">
    <w:abstractNumId w:val="9"/>
  </w:num>
  <w:num w:numId="9">
    <w:abstractNumId w:val="8"/>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00D"/>
    <w:rsid w:val="00035E41"/>
    <w:rsid w:val="00063FD7"/>
    <w:rsid w:val="0006707F"/>
    <w:rsid w:val="00167F37"/>
    <w:rsid w:val="001F387B"/>
    <w:rsid w:val="001F48E7"/>
    <w:rsid w:val="002127A7"/>
    <w:rsid w:val="00381F07"/>
    <w:rsid w:val="003C129D"/>
    <w:rsid w:val="00402DD1"/>
    <w:rsid w:val="004925B8"/>
    <w:rsid w:val="004B4300"/>
    <w:rsid w:val="004C41F3"/>
    <w:rsid w:val="005D3C6B"/>
    <w:rsid w:val="0060436D"/>
    <w:rsid w:val="007070DA"/>
    <w:rsid w:val="00740EBE"/>
    <w:rsid w:val="00782303"/>
    <w:rsid w:val="0080345D"/>
    <w:rsid w:val="00820C4A"/>
    <w:rsid w:val="00824A2D"/>
    <w:rsid w:val="0084428A"/>
    <w:rsid w:val="008C30EA"/>
    <w:rsid w:val="008F5F23"/>
    <w:rsid w:val="009F6033"/>
    <w:rsid w:val="00A23ABE"/>
    <w:rsid w:val="00B1588F"/>
    <w:rsid w:val="00BB3784"/>
    <w:rsid w:val="00C52CF4"/>
    <w:rsid w:val="00C603D0"/>
    <w:rsid w:val="00C74A8E"/>
    <w:rsid w:val="00C879A1"/>
    <w:rsid w:val="00C974FC"/>
    <w:rsid w:val="00CA0C98"/>
    <w:rsid w:val="00CF75BE"/>
    <w:rsid w:val="00D45B8D"/>
    <w:rsid w:val="00D466F8"/>
    <w:rsid w:val="00D83B8B"/>
    <w:rsid w:val="00DB100D"/>
    <w:rsid w:val="00DC1962"/>
    <w:rsid w:val="00E3122B"/>
    <w:rsid w:val="00E71848"/>
    <w:rsid w:val="00EF1244"/>
    <w:rsid w:val="00FD43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93F7"/>
  <w15:chartTrackingRefBased/>
  <w15:docId w15:val="{9A06137F-7BB2-42A9-AE42-E9BCAEB2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35E41"/>
    <w:pPr>
      <w:ind w:left="720"/>
      <w:contextualSpacing/>
    </w:pPr>
  </w:style>
  <w:style w:type="character" w:customStyle="1" w:styleId="Heading2Char">
    <w:name w:val="Heading 2 Char"/>
    <w:basedOn w:val="DefaultParagraphFont"/>
    <w:link w:val="Heading2"/>
    <w:uiPriority w:val="9"/>
    <w:rsid w:val="00C879A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F38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87B"/>
    <w:rPr>
      <w:rFonts w:ascii="Segoe UI" w:hAnsi="Segoe UI" w:cs="Segoe UI"/>
      <w:sz w:val="18"/>
      <w:szCs w:val="18"/>
    </w:rPr>
  </w:style>
  <w:style w:type="table" w:styleId="TableGrid">
    <w:name w:val="Table Grid"/>
    <w:basedOn w:val="TableNormal"/>
    <w:uiPriority w:val="39"/>
    <w:rsid w:val="00C52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EBE"/>
    <w:rPr>
      <w:sz w:val="16"/>
      <w:szCs w:val="16"/>
    </w:rPr>
  </w:style>
  <w:style w:type="paragraph" w:styleId="CommentText">
    <w:name w:val="annotation text"/>
    <w:basedOn w:val="Normal"/>
    <w:link w:val="CommentTextChar"/>
    <w:uiPriority w:val="99"/>
    <w:semiHidden/>
    <w:unhideWhenUsed/>
    <w:rsid w:val="00740EBE"/>
    <w:pPr>
      <w:spacing w:line="240" w:lineRule="auto"/>
    </w:pPr>
    <w:rPr>
      <w:sz w:val="20"/>
      <w:szCs w:val="20"/>
    </w:rPr>
  </w:style>
  <w:style w:type="character" w:customStyle="1" w:styleId="CommentTextChar">
    <w:name w:val="Comment Text Char"/>
    <w:basedOn w:val="DefaultParagraphFont"/>
    <w:link w:val="CommentText"/>
    <w:uiPriority w:val="99"/>
    <w:semiHidden/>
    <w:rsid w:val="00740EBE"/>
    <w:rPr>
      <w:sz w:val="20"/>
      <w:szCs w:val="20"/>
    </w:rPr>
  </w:style>
  <w:style w:type="paragraph" w:styleId="CommentSubject">
    <w:name w:val="annotation subject"/>
    <w:basedOn w:val="CommentText"/>
    <w:next w:val="CommentText"/>
    <w:link w:val="CommentSubjectChar"/>
    <w:uiPriority w:val="99"/>
    <w:semiHidden/>
    <w:unhideWhenUsed/>
    <w:rsid w:val="00740EBE"/>
    <w:rPr>
      <w:b/>
      <w:bCs/>
    </w:rPr>
  </w:style>
  <w:style w:type="character" w:customStyle="1" w:styleId="CommentSubjectChar">
    <w:name w:val="Comment Subject Char"/>
    <w:basedOn w:val="CommentTextChar"/>
    <w:link w:val="CommentSubject"/>
    <w:uiPriority w:val="99"/>
    <w:semiHidden/>
    <w:rsid w:val="00740E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66462">
      <w:bodyDiv w:val="1"/>
      <w:marLeft w:val="0"/>
      <w:marRight w:val="0"/>
      <w:marTop w:val="0"/>
      <w:marBottom w:val="0"/>
      <w:divBdr>
        <w:top w:val="none" w:sz="0" w:space="0" w:color="auto"/>
        <w:left w:val="none" w:sz="0" w:space="0" w:color="auto"/>
        <w:bottom w:val="none" w:sz="0" w:space="0" w:color="auto"/>
        <w:right w:val="none" w:sz="0" w:space="0" w:color="auto"/>
      </w:divBdr>
    </w:div>
    <w:div w:id="1971593731">
      <w:bodyDiv w:val="1"/>
      <w:marLeft w:val="0"/>
      <w:marRight w:val="0"/>
      <w:marTop w:val="0"/>
      <w:marBottom w:val="0"/>
      <w:divBdr>
        <w:top w:val="none" w:sz="0" w:space="0" w:color="auto"/>
        <w:left w:val="none" w:sz="0" w:space="0" w:color="auto"/>
        <w:bottom w:val="none" w:sz="0" w:space="0" w:color="auto"/>
        <w:right w:val="none" w:sz="0" w:space="0" w:color="auto"/>
      </w:divBdr>
    </w:div>
    <w:div w:id="20921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8</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dc:creator>
  <cp:keywords/>
  <dc:description/>
  <cp:lastModifiedBy>Tobias Nosten</cp:lastModifiedBy>
  <cp:revision>22</cp:revision>
  <dcterms:created xsi:type="dcterms:W3CDTF">2019-02-01T17:29:00Z</dcterms:created>
  <dcterms:modified xsi:type="dcterms:W3CDTF">2019-05-03T15:16:00Z</dcterms:modified>
</cp:coreProperties>
</file>