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sz w:val="32"/>
          <w:szCs w:val="32"/>
          <w:rtl w:val="0"/>
        </w:rPr>
        <w:t xml:space="preserve">Assignment_1: -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1.Explore the Python SDK for AWS Iot to implement Pub-Sub via MQTT Protocol, Store the Message Data in Dynamo DB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sz w:val="32"/>
          <w:szCs w:val="32"/>
          <w:rtl w:val="0"/>
        </w:rPr>
        <w:t xml:space="preserve">Assignment_2: -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1.Explore the following tools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a) ftp, telnet, ssh, scp, mail, finger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b) hostname, ifconfig, ping, netstat, tcpdump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2.Implement simple client and server using TCP protocol, server may be designed for echo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service (simply send back same string sent by client)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3.Implement simple file transfer over TCP protocol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4.Implement simple sender, receiver using UDP protocol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5.Implement Time of the Day service using UDP protocol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Useful tools, techniques for debugging: -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1.netstat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eg: - netstat --inet -a -n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netstat --inet -l -n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2.tcpdump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eg: - tcpdump -i lo -n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tcpdump “tcp port 5000 or tcp port 6000” -n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3./etc/services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4. /proc/net/tcp, /proc/net/udp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5.lsof #list of open files (file descriptors)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eg: - lsof -i TCP:5000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6. /proc/&lt;pid&gt;/fd # replace &lt;pid&gt; with process id of tcp/udp node, check entries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#for sockets in fd table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7.strace #tracing system calls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sz w:val="32"/>
          <w:szCs w:val="32"/>
          <w:rtl w:val="0"/>
        </w:rPr>
        <w:t xml:space="preserve">Assignment_3: -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sz w:val="32"/>
          <w:szCs w:val="32"/>
          <w:rtl w:val="0"/>
        </w:rPr>
        <w:t xml:space="preserve">Web Sockets using WiFi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1.Interface DHT11/DHT22 to ESP32 and Display Temperature and Humidity data on web browser data on Client Device via Web sockets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sz w:val="32"/>
          <w:szCs w:val="32"/>
          <w:rtl w:val="0"/>
        </w:rPr>
        <w:t xml:space="preserve">Assignment_4: -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LiberationSerif-Bold" w:cs="LiberationSerif-Bold" w:eastAsia="LiberationSerif-Bold" w:hAnsi="LiberationSerif-Bold"/>
          <w:b w:val="1"/>
          <w:sz w:val="32"/>
          <w:szCs w:val="3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sz w:val="32"/>
          <w:szCs w:val="32"/>
          <w:rtl w:val="0"/>
        </w:rPr>
        <w:t xml:space="preserve">BLE Server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1.Interface DHT11/DHT22 to ESP32 via Bluetooth Low Energy and Display Temperature and Humidity data on BLE Scanner App/NRF Connect App using BLE Characteristics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Serif-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CDAC ACTS Pune</w:t>
      <w:tab/>
      <w:tab/>
      <w:t xml:space="preserve">Pg.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CDAC ACTS Headquarters, Pune</w:t>
      <w:tab/>
      <w:tab/>
      <w:t xml:space="preserve">PG-DIOT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76E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6EB5"/>
  </w:style>
  <w:style w:type="paragraph" w:styleId="Footer">
    <w:name w:val="footer"/>
    <w:basedOn w:val="Normal"/>
    <w:link w:val="FooterChar"/>
    <w:uiPriority w:val="99"/>
    <w:unhideWhenUsed w:val="1"/>
    <w:rsid w:val="00A76E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6EB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pTtSGcLDzCgeAshBuI4z/82B2Q==">AMUW2mVIUNUoJvxbWPxi7J25pNlpXNDoGG9uXYDfDHN/ZJXDFoNwDIMoX7KU6iJcUqDpES+oUvgHNmNzUj9KRJY/A5pn2bE2KIJKo69ZEtWbwWETBdDO31kYLDirvXeZyf44hE/BkBv0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2020-10-16T07:44:00Z</dcterms:created>
  <dc:creator>Bharani Tarun HDR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ifizierung">
    <vt:lpwstr>Public</vt:lpwstr>
  </property>
  <property fmtid="{D5CDD505-2E9C-101B-9397-08002B2CF9AE}" pid="3" name="Klassifizierungs-Id">
    <vt:lpwstr>1010</vt:lpwstr>
  </property>
  <property fmtid="{D5CDD505-2E9C-101B-9397-08002B2CF9AE}" pid="4" name="Klassifizierungs-Datum">
    <vt:lpwstr>10/16/2020 13:22:57</vt:lpwstr>
  </property>
  <property fmtid="{D5CDD505-2E9C-101B-9397-08002B2CF9AE}" pid="5" name="NovaPath-SeverityName">
    <vt:lpwstr>Undefined</vt:lpwstr>
  </property>
  <property fmtid="{D5CDD505-2E9C-101B-9397-08002B2CF9AE}" pid="6" name="NovaPath-SeverityLevel">
    <vt:lpwstr>0</vt:lpwstr>
  </property>
  <property fmtid="{D5CDD505-2E9C-101B-9397-08002B2CF9AE}" pid="7" name="Dokumenten-ID">
    <vt:lpwstr>INHV7DBLAKEJDY9LK4BYAH94OY</vt:lpwstr>
  </property>
  <property fmtid="{D5CDD505-2E9C-101B-9397-08002B2CF9AE}" pid="8" name="NovaPath-Version">
    <vt:lpwstr>5.0.3.12870</vt:lpwstr>
  </property>
</Properties>
</file>