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890D" w14:textId="6C81A329" w:rsidR="0080000F" w:rsidRPr="007E3C72" w:rsidRDefault="007E3C72">
      <w:pPr>
        <w:rPr>
          <w:lang w:val="en-GB"/>
        </w:rPr>
      </w:pPr>
      <w:r>
        <w:rPr>
          <w:rFonts w:ascii="Calibri" w:eastAsia="Calibri" w:hAnsi="Calibri" w:cs="Calibri"/>
          <w:b/>
          <w:bCs/>
          <w:color w:val="111111"/>
          <w:sz w:val="72"/>
          <w:szCs w:val="72"/>
          <w:lang w:val="en-GB"/>
        </w:rPr>
        <w:t>SIMPLIFICAÇÃO</w:t>
      </w:r>
      <w:r w:rsidR="00000000" w:rsidRPr="007E3C72">
        <w:rPr>
          <w:rFonts w:ascii="Calibri" w:eastAsia="Calibri" w:hAnsi="Calibri" w:cs="Calibri"/>
          <w:b/>
          <w:bCs/>
          <w:color w:val="111111"/>
          <w:sz w:val="72"/>
          <w:szCs w:val="72"/>
          <w:lang w:val="en-GB"/>
        </w:rPr>
        <w:t xml:space="preserve"> </w:t>
      </w:r>
      <w:r>
        <w:rPr>
          <w:rFonts w:ascii="Calibri" w:eastAsia="Calibri" w:hAnsi="Calibri" w:cs="Calibri"/>
          <w:b/>
          <w:bCs/>
          <w:color w:val="111111"/>
          <w:sz w:val="72"/>
          <w:szCs w:val="72"/>
          <w:lang w:val="en-GB"/>
        </w:rPr>
        <w:t>DO</w:t>
      </w:r>
      <w:r w:rsidR="00000000" w:rsidRPr="007E3C72">
        <w:rPr>
          <w:rFonts w:ascii="Calibri" w:eastAsia="Calibri" w:hAnsi="Calibri" w:cs="Calibri"/>
          <w:b/>
          <w:bCs/>
          <w:color w:val="111111"/>
          <w:sz w:val="72"/>
          <w:szCs w:val="72"/>
          <w:lang w:val="en-GB"/>
        </w:rPr>
        <w:t xml:space="preserve"> AI ACT</w:t>
      </w:r>
    </w:p>
    <w:p w14:paraId="0A1D910A" w14:textId="48149FD5" w:rsidR="0080000F" w:rsidRPr="00F244C0" w:rsidRDefault="00F244C0">
      <w:pPr>
        <w:spacing w:after="240"/>
      </w:pPr>
      <w:r>
        <w:rPr>
          <w:rFonts w:ascii="Calibri" w:eastAsia="Calibri" w:hAnsi="Calibri" w:cs="Calibri"/>
          <w:b/>
          <w:bCs/>
          <w:color w:val="1A9E8A"/>
          <w:sz w:val="28"/>
          <w:szCs w:val="28"/>
        </w:rPr>
        <w:t>A REGULAMENTAÇÃO E A RESPETIVA IMPLEMENTAÇÃO NA UE</w:t>
      </w:r>
      <w:r w:rsidR="007E3C72" w:rsidRPr="00F244C0">
        <w:rPr>
          <w:rFonts w:ascii="Calibri" w:eastAsia="Calibri" w:hAnsi="Calibri" w:cs="Calibri"/>
          <w:b/>
          <w:bCs/>
          <w:color w:val="1A9E8A"/>
          <w:sz w:val="28"/>
          <w:szCs w:val="28"/>
        </w:rPr>
        <w:t xml:space="preserve"> </w:t>
      </w:r>
    </w:p>
    <w:p w14:paraId="2B51F3E4" w14:textId="77777777" w:rsidR="0080000F" w:rsidRDefault="00000000">
      <w:pPr>
        <w:spacing w:after="60"/>
      </w:pPr>
      <w:r>
        <w:rPr>
          <w:rFonts w:ascii="Calibri" w:eastAsia="Calibri" w:hAnsi="Calibri" w:cs="Calibri"/>
          <w:b/>
          <w:bCs/>
        </w:rPr>
        <w:t xml:space="preserve">Pedro Alves </w:t>
      </w:r>
      <w:proofErr w:type="gramStart"/>
      <w:r>
        <w:rPr>
          <w:rFonts w:ascii="Calibri" w:eastAsia="Calibri" w:hAnsi="Calibri" w:cs="Calibri"/>
          <w:b/>
          <w:bCs/>
        </w:rPr>
        <w:t>Martins</w:t>
      </w:r>
      <w:r>
        <w:rPr>
          <w:rFonts w:ascii="Calibri" w:eastAsia="Calibri" w:hAnsi="Calibri" w:cs="Calibri"/>
          <w:color w:val="5A6A78"/>
        </w:rPr>
        <w:t xml:space="preserve">  ·</w:t>
      </w:r>
      <w:proofErr w:type="gramEnd"/>
      <w:r>
        <w:rPr>
          <w:rFonts w:ascii="Calibri" w:eastAsia="Calibri" w:hAnsi="Calibri" w:cs="Calibri"/>
          <w:color w:val="5A6A78"/>
        </w:rPr>
        <w:t xml:space="preserve">  </w:t>
      </w:r>
      <w:proofErr w:type="spellStart"/>
      <w:r>
        <w:rPr>
          <w:rFonts w:ascii="Calibri" w:eastAsia="Calibri" w:hAnsi="Calibri" w:cs="Calibri"/>
          <w:color w:val="5A6A78"/>
        </w:rPr>
        <w:t>Senior</w:t>
      </w:r>
      <w:proofErr w:type="spellEnd"/>
      <w:r>
        <w:rPr>
          <w:rFonts w:ascii="Calibri" w:eastAsia="Calibri" w:hAnsi="Calibri" w:cs="Calibri"/>
          <w:color w:val="5A6A78"/>
        </w:rPr>
        <w:t xml:space="preserve"> </w:t>
      </w:r>
      <w:proofErr w:type="spellStart"/>
      <w:r>
        <w:rPr>
          <w:rFonts w:ascii="Calibri" w:eastAsia="Calibri" w:hAnsi="Calibri" w:cs="Calibri"/>
          <w:color w:val="5A6A78"/>
        </w:rPr>
        <w:t>Adviser</w:t>
      </w:r>
      <w:proofErr w:type="spellEnd"/>
      <w:r>
        <w:rPr>
          <w:rFonts w:ascii="Calibri" w:eastAsia="Calibri" w:hAnsi="Calibri" w:cs="Calibri"/>
          <w:color w:val="5A6A78"/>
        </w:rPr>
        <w:t xml:space="preserve"> — AI </w:t>
      </w:r>
      <w:proofErr w:type="spellStart"/>
      <w:r>
        <w:rPr>
          <w:rFonts w:ascii="Calibri" w:eastAsia="Calibri" w:hAnsi="Calibri" w:cs="Calibri"/>
          <w:color w:val="5A6A78"/>
        </w:rPr>
        <w:t>Governance</w:t>
      </w:r>
      <w:proofErr w:type="spellEnd"/>
      <w:r>
        <w:rPr>
          <w:rFonts w:ascii="Calibri" w:eastAsia="Calibri" w:hAnsi="Calibri" w:cs="Calibri"/>
          <w:color w:val="5A6A78"/>
        </w:rPr>
        <w:t xml:space="preserve"> &amp; </w:t>
      </w:r>
      <w:proofErr w:type="spellStart"/>
      <w:r>
        <w:rPr>
          <w:rFonts w:ascii="Calibri" w:eastAsia="Calibri" w:hAnsi="Calibri" w:cs="Calibri"/>
          <w:color w:val="5A6A78"/>
        </w:rPr>
        <w:t>Institutional</w:t>
      </w:r>
      <w:proofErr w:type="spellEnd"/>
      <w:r>
        <w:rPr>
          <w:rFonts w:ascii="Calibri" w:eastAsia="Calibri" w:hAnsi="Calibri" w:cs="Calibri"/>
          <w:color w:val="5A6A78"/>
        </w:rPr>
        <w:t xml:space="preserve"> </w:t>
      </w:r>
      <w:proofErr w:type="spellStart"/>
      <w:r>
        <w:rPr>
          <w:rFonts w:ascii="Calibri" w:eastAsia="Calibri" w:hAnsi="Calibri" w:cs="Calibri"/>
          <w:color w:val="5A6A78"/>
        </w:rPr>
        <w:t>Strategy</w:t>
      </w:r>
      <w:proofErr w:type="spellEnd"/>
    </w:p>
    <w:p w14:paraId="020641B5" w14:textId="77777777" w:rsidR="0080000F" w:rsidRDefault="00000000">
      <w:pPr>
        <w:spacing w:after="480"/>
      </w:pPr>
      <w:proofErr w:type="spellStart"/>
      <w:r>
        <w:rPr>
          <w:rFonts w:ascii="Calibri" w:eastAsia="Calibri" w:hAnsi="Calibri" w:cs="Calibri"/>
          <w:i/>
          <w:iCs/>
          <w:color w:val="5A6A78"/>
          <w:sz w:val="18"/>
          <w:szCs w:val="18"/>
        </w:rPr>
        <w:t>May</w:t>
      </w:r>
      <w:proofErr w:type="spellEnd"/>
      <w:r>
        <w:rPr>
          <w:rFonts w:ascii="Calibri" w:eastAsia="Calibri" w:hAnsi="Calibri" w:cs="Calibri"/>
          <w:i/>
          <w:iCs/>
          <w:color w:val="5A6A78"/>
          <w:sz w:val="18"/>
          <w:szCs w:val="18"/>
        </w:rPr>
        <w:t xml:space="preserve"> 27, </w:t>
      </w:r>
      <w:proofErr w:type="gramStart"/>
      <w:r>
        <w:rPr>
          <w:rFonts w:ascii="Calibri" w:eastAsia="Calibri" w:hAnsi="Calibri" w:cs="Calibri"/>
          <w:i/>
          <w:iCs/>
          <w:color w:val="5A6A78"/>
          <w:sz w:val="18"/>
          <w:szCs w:val="18"/>
        </w:rPr>
        <w:t>2026  ·</w:t>
      </w:r>
      <w:proofErr w:type="gramEnd"/>
      <w:r>
        <w:rPr>
          <w:rFonts w:ascii="Calibri" w:eastAsia="Calibri" w:hAnsi="Calibri" w:cs="Calibri"/>
          <w:i/>
          <w:iCs/>
          <w:color w:val="5A6A78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A6A78"/>
          <w:sz w:val="18"/>
          <w:szCs w:val="18"/>
        </w:rPr>
        <w:t>LinkedIn</w:t>
      </w:r>
      <w:proofErr w:type="spellEnd"/>
      <w:r>
        <w:rPr>
          <w:rFonts w:ascii="Calibri" w:eastAsia="Calibri" w:hAnsi="Calibri" w:cs="Calibri"/>
          <w:i/>
          <w:iCs/>
          <w:color w:val="5A6A78"/>
          <w:sz w:val="18"/>
          <w:szCs w:val="18"/>
        </w:rPr>
        <w:t xml:space="preserve"> Pulse</w:t>
      </w:r>
    </w:p>
    <w:p w14:paraId="451361FE" w14:textId="32F52820" w:rsidR="0080000F" w:rsidRDefault="007E3C72">
      <w:pPr>
        <w:pBdr>
          <w:top w:val="single" w:sz="4" w:space="6" w:color="CCCCCC"/>
          <w:bottom w:val="single" w:sz="4" w:space="6" w:color="CCCCCC"/>
        </w:pBdr>
        <w:spacing w:after="480"/>
        <w:jc w:val="center"/>
      </w:pPr>
      <w:r>
        <w:rPr>
          <w:noProof/>
        </w:rPr>
        <w:drawing>
          <wp:inline distT="0" distB="0" distL="0" distR="0" wp14:anchorId="02111138" wp14:editId="0C9A9C0A">
            <wp:extent cx="5731510" cy="3199130"/>
            <wp:effectExtent l="0" t="0" r="0" b="1270"/>
            <wp:docPr id="1148038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38277" name="Imagem 11480382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C152" w14:textId="57432C20" w:rsidR="006A361C" w:rsidRPr="006A361C" w:rsidRDefault="00F244C0">
      <w:pPr>
        <w:spacing w:after="160"/>
        <w:jc w:val="both"/>
        <w:rPr>
          <w:rFonts w:ascii="Calibri" w:eastAsia="Calibri" w:hAnsi="Calibri" w:cs="Calibri"/>
          <w:color w:val="111111"/>
          <w:sz w:val="22"/>
          <w:szCs w:val="22"/>
        </w:rPr>
      </w:pPr>
      <w:r w:rsidRPr="00F244C0">
        <w:rPr>
          <w:rFonts w:ascii="Calibri" w:eastAsia="Calibri" w:hAnsi="Calibri" w:cs="Calibri"/>
          <w:color w:val="111111"/>
          <w:sz w:val="22"/>
          <w:szCs w:val="22"/>
        </w:rPr>
        <w:t xml:space="preserve">O AI </w:t>
      </w:r>
      <w:proofErr w:type="spellStart"/>
      <w:r w:rsidRPr="00F244C0">
        <w:rPr>
          <w:rFonts w:ascii="Calibri" w:eastAsia="Calibri" w:hAnsi="Calibri" w:cs="Calibri"/>
          <w:color w:val="111111"/>
          <w:sz w:val="22"/>
          <w:szCs w:val="22"/>
        </w:rPr>
        <w:t>Act</w:t>
      </w:r>
      <w:proofErr w:type="spellEnd"/>
      <w:r w:rsidRPr="00F244C0">
        <w:rPr>
          <w:rFonts w:ascii="Calibri" w:eastAsia="Calibri" w:hAnsi="Calibri" w:cs="Calibri"/>
          <w:color w:val="111111"/>
          <w:sz w:val="22"/>
          <w:szCs w:val="22"/>
        </w:rPr>
        <w:t xml:space="preserve"> da União Europeia é p primeiro quadr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o jurídico abrangente do mundo para a inteligência artificial. </w:t>
      </w:r>
      <w:r w:rsidRPr="00F244C0">
        <w:rPr>
          <w:rFonts w:ascii="Calibri" w:eastAsia="Calibri" w:hAnsi="Calibri" w:cs="Calibri"/>
          <w:color w:val="111111"/>
          <w:sz w:val="22"/>
          <w:szCs w:val="22"/>
        </w:rPr>
        <w:t>A legislação por si só não determina resultados</w:t>
      </w:r>
      <w:r w:rsidR="006A361C">
        <w:rPr>
          <w:rFonts w:ascii="Calibri" w:eastAsia="Calibri" w:hAnsi="Calibri" w:cs="Calibri"/>
          <w:color w:val="111111"/>
          <w:sz w:val="22"/>
          <w:szCs w:val="22"/>
        </w:rPr>
        <w:t xml:space="preserve"> </w:t>
      </w:r>
      <w:r w:rsidRPr="00F244C0">
        <w:rPr>
          <w:rFonts w:ascii="Calibri" w:eastAsia="Calibri" w:hAnsi="Calibri" w:cs="Calibri"/>
          <w:color w:val="111111"/>
          <w:sz w:val="22"/>
          <w:szCs w:val="22"/>
        </w:rPr>
        <w:t>- mas a sua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 implementação, sim. </w:t>
      </w:r>
      <w:r w:rsidR="006A361C">
        <w:rPr>
          <w:rFonts w:ascii="Calibri" w:eastAsia="Calibri" w:hAnsi="Calibri" w:cs="Calibri"/>
          <w:color w:val="111111"/>
          <w:sz w:val="22"/>
          <w:szCs w:val="22"/>
        </w:rPr>
        <w:t>Desde que o Regulamento entrou em vigor em agosto de 2024, as questões sobre como funcionaria na prática multiplicaram-se para as empresas, para os reguladores, e para os inovadores que tentam empreender de acordo com as suas regras.</w:t>
      </w:r>
    </w:p>
    <w:p w14:paraId="7DE607E8" w14:textId="01A8F330" w:rsidR="006A361C" w:rsidRDefault="006A361C">
      <w:pPr>
        <w:spacing w:after="160"/>
        <w:jc w:val="both"/>
        <w:rPr>
          <w:rFonts w:ascii="Calibri" w:eastAsia="Calibri" w:hAnsi="Calibri" w:cs="Calibri"/>
          <w:color w:val="111111"/>
          <w:sz w:val="22"/>
          <w:szCs w:val="22"/>
        </w:rPr>
      </w:pPr>
      <w:r w:rsidRPr="006A361C">
        <w:rPr>
          <w:rFonts w:ascii="Calibri" w:eastAsia="Calibri" w:hAnsi="Calibri" w:cs="Calibri"/>
          <w:color w:val="111111"/>
          <w:sz w:val="22"/>
          <w:szCs w:val="22"/>
        </w:rPr>
        <w:t>Em novembro de 2025, a Comissão Europeia de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u um passo significativo: adotou o Pacote Digital de Simplificação, uma proposta legislativa para simplificar e clarificar a implementação do AI </w:t>
      </w:r>
      <w:proofErr w:type="spellStart"/>
      <w:r>
        <w:rPr>
          <w:rFonts w:ascii="Calibri" w:eastAsia="Calibri" w:hAnsi="Calibri" w:cs="Calibri"/>
          <w:color w:val="111111"/>
          <w:sz w:val="22"/>
          <w:szCs w:val="22"/>
        </w:rPr>
        <w:t>Act</w:t>
      </w:r>
      <w:proofErr w:type="spellEnd"/>
      <w:r>
        <w:rPr>
          <w:rFonts w:ascii="Calibri" w:eastAsia="Calibri" w:hAnsi="Calibri" w:cs="Calibri"/>
          <w:color w:val="111111"/>
          <w:sz w:val="22"/>
          <w:szCs w:val="22"/>
        </w:rPr>
        <w:t>. A 7 de maio de 2026, foi alcançado um acordo político. A Europa pretende que a sua regulamentação de IA seja efetivamente adotada e não apenas um modelo aspiracional.</w:t>
      </w:r>
    </w:p>
    <w:p w14:paraId="387E0224" w14:textId="68C79E9A" w:rsidR="006A361C" w:rsidRPr="006A361C" w:rsidRDefault="006A361C">
      <w:pPr>
        <w:spacing w:after="160"/>
        <w:jc w:val="both"/>
        <w:rPr>
          <w:rFonts w:ascii="Calibri" w:eastAsia="Calibri" w:hAnsi="Calibri" w:cs="Calibri"/>
          <w:color w:val="111111"/>
          <w:sz w:val="22"/>
          <w:szCs w:val="22"/>
        </w:rPr>
      </w:pPr>
      <w:r>
        <w:rPr>
          <w:rFonts w:ascii="Calibri" w:eastAsia="Calibri" w:hAnsi="Calibri" w:cs="Calibri"/>
          <w:color w:val="111111"/>
          <w:sz w:val="22"/>
          <w:szCs w:val="22"/>
        </w:rPr>
        <w:t xml:space="preserve">Em que consiste esta simplificação? </w:t>
      </w:r>
      <w:r w:rsidRPr="006A361C">
        <w:rPr>
          <w:rFonts w:ascii="Calibri" w:eastAsia="Calibri" w:hAnsi="Calibri" w:cs="Calibri"/>
          <w:color w:val="111111"/>
          <w:sz w:val="22"/>
          <w:szCs w:val="22"/>
        </w:rPr>
        <w:t xml:space="preserve">E qual o 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seu </w:t>
      </w:r>
      <w:r w:rsidRPr="006A361C">
        <w:rPr>
          <w:rFonts w:ascii="Calibri" w:eastAsia="Calibri" w:hAnsi="Calibri" w:cs="Calibri"/>
          <w:color w:val="111111"/>
          <w:sz w:val="22"/>
          <w:szCs w:val="22"/>
        </w:rPr>
        <w:t>impacto real for a dos corredores p</w:t>
      </w:r>
      <w:r>
        <w:rPr>
          <w:rFonts w:ascii="Calibri" w:eastAsia="Calibri" w:hAnsi="Calibri" w:cs="Calibri"/>
          <w:color w:val="111111"/>
          <w:sz w:val="22"/>
          <w:szCs w:val="22"/>
        </w:rPr>
        <w:t>olíticos de Bruxelas?</w:t>
      </w:r>
    </w:p>
    <w:p w14:paraId="574BD044" w14:textId="754D7A95" w:rsidR="0080000F" w:rsidRPr="006A361C" w:rsidRDefault="006A361C">
      <w:pPr>
        <w:pBdr>
          <w:bottom w:val="single" w:sz="6" w:space="6" w:color="1A9E8A"/>
        </w:pBdr>
        <w:spacing w:before="400" w:after="100"/>
      </w:pPr>
      <w:r w:rsidRPr="006A361C">
        <w:rPr>
          <w:rFonts w:ascii="Calibri" w:eastAsia="Calibri" w:hAnsi="Calibri" w:cs="Calibri"/>
          <w:b/>
          <w:bCs/>
          <w:color w:val="1A9E8A"/>
          <w:sz w:val="22"/>
          <w:szCs w:val="22"/>
        </w:rPr>
        <w:t>D</w:t>
      </w:r>
      <w:r>
        <w:rPr>
          <w:rFonts w:ascii="Calibri" w:eastAsia="Calibri" w:hAnsi="Calibri" w:cs="Calibri"/>
          <w:b/>
          <w:bCs/>
          <w:color w:val="1A9E8A"/>
          <w:sz w:val="22"/>
          <w:szCs w:val="22"/>
        </w:rPr>
        <w:t>ESDE A</w:t>
      </w:r>
      <w:r w:rsidRPr="006A361C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REGULAMENTA</w:t>
      </w:r>
      <w:r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ÇÃO À </w:t>
      </w:r>
      <w:r w:rsidRPr="006A361C">
        <w:rPr>
          <w:rFonts w:ascii="Calibri" w:eastAsia="Calibri" w:hAnsi="Calibri" w:cs="Calibri"/>
          <w:b/>
          <w:bCs/>
          <w:color w:val="1A9E8A"/>
          <w:sz w:val="22"/>
          <w:szCs w:val="22"/>
        </w:rPr>
        <w:t>IMPLEMENTAÇÃO: O OMNIBUS</w:t>
      </w:r>
    </w:p>
    <w:p w14:paraId="105200D6" w14:textId="1A28ED3B" w:rsidR="0080000F" w:rsidRDefault="006A361C">
      <w:pPr>
        <w:spacing w:after="160"/>
        <w:jc w:val="both"/>
        <w:rPr>
          <w:rFonts w:ascii="Calibri" w:eastAsia="Calibri" w:hAnsi="Calibri" w:cs="Calibri"/>
          <w:color w:val="111111"/>
          <w:sz w:val="22"/>
          <w:szCs w:val="22"/>
        </w:rPr>
      </w:pPr>
      <w:r w:rsidRPr="006A361C">
        <w:rPr>
          <w:rFonts w:ascii="Calibri" w:eastAsia="Calibri" w:hAnsi="Calibri" w:cs="Calibri"/>
          <w:color w:val="111111"/>
          <w:sz w:val="22"/>
          <w:szCs w:val="22"/>
        </w:rPr>
        <w:t xml:space="preserve">O Pacote Digital de Simplificação propôs alteações para garantir que as regras do AI </w:t>
      </w:r>
      <w:proofErr w:type="spellStart"/>
      <w:r w:rsidRPr="006A361C">
        <w:rPr>
          <w:rFonts w:ascii="Calibri" w:eastAsia="Calibri" w:hAnsi="Calibri" w:cs="Calibri"/>
          <w:color w:val="111111"/>
          <w:sz w:val="22"/>
          <w:szCs w:val="22"/>
        </w:rPr>
        <w:t>Act</w:t>
      </w:r>
      <w:proofErr w:type="spellEnd"/>
      <w:r>
        <w:rPr>
          <w:rFonts w:ascii="Calibri" w:eastAsia="Calibri" w:hAnsi="Calibri" w:cs="Calibri"/>
          <w:color w:val="111111"/>
          <w:sz w:val="22"/>
          <w:szCs w:val="22"/>
        </w:rPr>
        <w:t xml:space="preserve"> se mantêm claras, simples e favoráveis à inovação. A proposta legislativa resultante – o “AI </w:t>
      </w:r>
      <w:r w:rsidR="00B361AF">
        <w:rPr>
          <w:rFonts w:ascii="Calibri" w:eastAsia="Calibri" w:hAnsi="Calibri" w:cs="Calibri"/>
          <w:color w:val="111111"/>
          <w:sz w:val="22"/>
          <w:szCs w:val="22"/>
        </w:rPr>
        <w:t>o</w:t>
      </w:r>
      <w:r>
        <w:rPr>
          <w:rFonts w:ascii="Calibri" w:eastAsia="Calibri" w:hAnsi="Calibri" w:cs="Calibri"/>
          <w:color w:val="111111"/>
          <w:sz w:val="22"/>
          <w:szCs w:val="22"/>
        </w:rPr>
        <w:t>mnibus” – foi adotada a 19 de novembro de 2025, com um acordo político alcançado a 7 de maio de 2026</w:t>
      </w:r>
      <w:r w:rsidR="00000000" w:rsidRPr="006A361C">
        <w:rPr>
          <w:rFonts w:ascii="Calibri" w:eastAsia="Calibri" w:hAnsi="Calibri" w:cs="Calibri"/>
          <w:color w:val="111111"/>
          <w:sz w:val="22"/>
          <w:szCs w:val="22"/>
        </w:rPr>
        <w:t>.</w:t>
      </w:r>
    </w:p>
    <w:p w14:paraId="37F05AF3" w14:textId="1BFC715D" w:rsidR="00B361AF" w:rsidRPr="006A361C" w:rsidRDefault="00B361AF">
      <w:pPr>
        <w:spacing w:after="160"/>
        <w:jc w:val="both"/>
      </w:pPr>
      <w:r>
        <w:rPr>
          <w:rFonts w:ascii="Calibri" w:eastAsia="Calibri" w:hAnsi="Calibri" w:cs="Calibri"/>
          <w:color w:val="111111"/>
          <w:sz w:val="22"/>
          <w:szCs w:val="22"/>
        </w:rPr>
        <w:t xml:space="preserve">A lógica central do omnibus é a calibração. O objetivo é garantir que as regras se aplicam quando as empresas dispõem efetivamente das ferramentas e normas necessárias para cumprir. Uma </w:t>
      </w:r>
      <w:r>
        <w:rPr>
          <w:rFonts w:ascii="Calibri" w:eastAsia="Calibri" w:hAnsi="Calibri" w:cs="Calibri"/>
          <w:color w:val="111111"/>
          <w:sz w:val="22"/>
          <w:szCs w:val="22"/>
        </w:rPr>
        <w:lastRenderedPageBreak/>
        <w:t>regulamentação que ultrapassa o ecossistema que governa não é regulação eficaz. É apenas peso administrativo.</w:t>
      </w:r>
    </w:p>
    <w:p w14:paraId="34F6CC56" w14:textId="11E4C2FA" w:rsidR="0080000F" w:rsidRPr="00B361AF" w:rsidRDefault="00B361AF">
      <w:pPr>
        <w:pBdr>
          <w:left w:val="single" w:sz="12" w:space="12" w:color="1A9E8A"/>
        </w:pBdr>
        <w:spacing w:before="200" w:after="200"/>
        <w:ind w:left="300"/>
      </w:pPr>
      <w:r w:rsidRPr="00B361AF">
        <w:rPr>
          <w:rFonts w:ascii="Calibri" w:eastAsia="Calibri" w:hAnsi="Calibri" w:cs="Calibri"/>
          <w:i/>
          <w:iCs/>
          <w:color w:val="5A6A78"/>
        </w:rPr>
        <w:t>O</w:t>
      </w:r>
      <w:r w:rsidR="00000000" w:rsidRPr="00B361AF">
        <w:rPr>
          <w:rFonts w:ascii="Calibri" w:eastAsia="Calibri" w:hAnsi="Calibri" w:cs="Calibri"/>
          <w:i/>
          <w:iCs/>
          <w:color w:val="5A6A78"/>
        </w:rPr>
        <w:t xml:space="preserve"> AI </w:t>
      </w:r>
      <w:proofErr w:type="spellStart"/>
      <w:r w:rsidR="00000000" w:rsidRPr="00B361AF">
        <w:rPr>
          <w:rFonts w:ascii="Calibri" w:eastAsia="Calibri" w:hAnsi="Calibri" w:cs="Calibri"/>
          <w:i/>
          <w:iCs/>
          <w:color w:val="5A6A78"/>
        </w:rPr>
        <w:t>Act</w:t>
      </w:r>
      <w:proofErr w:type="spellEnd"/>
      <w:r w:rsidR="00000000" w:rsidRPr="00B361AF">
        <w:rPr>
          <w:rFonts w:ascii="Calibri" w:eastAsia="Calibri" w:hAnsi="Calibri" w:cs="Calibri"/>
          <w:i/>
          <w:iCs/>
          <w:color w:val="5A6A78"/>
        </w:rPr>
        <w:t xml:space="preserve"> </w:t>
      </w:r>
      <w:r w:rsidRPr="00B361AF">
        <w:rPr>
          <w:rFonts w:ascii="Calibri" w:eastAsia="Calibri" w:hAnsi="Calibri" w:cs="Calibri"/>
          <w:i/>
          <w:iCs/>
          <w:color w:val="5A6A78"/>
        </w:rPr>
        <w:t>não está a ser enfraquecido</w:t>
      </w:r>
      <w:r w:rsidR="00000000" w:rsidRPr="00B361AF">
        <w:rPr>
          <w:rFonts w:ascii="Calibri" w:eastAsia="Calibri" w:hAnsi="Calibri" w:cs="Calibri"/>
          <w:i/>
          <w:iCs/>
          <w:color w:val="5A6A78"/>
        </w:rPr>
        <w:t>.</w:t>
      </w:r>
      <w:r w:rsidRPr="00B361AF">
        <w:rPr>
          <w:rFonts w:ascii="Calibri" w:eastAsia="Calibri" w:hAnsi="Calibri" w:cs="Calibri"/>
          <w:i/>
          <w:iCs/>
          <w:color w:val="5A6A78"/>
        </w:rPr>
        <w:t xml:space="preserve"> Está a ser </w:t>
      </w:r>
      <w:r>
        <w:rPr>
          <w:rFonts w:ascii="Calibri" w:eastAsia="Calibri" w:hAnsi="Calibri" w:cs="Calibri"/>
          <w:i/>
          <w:iCs/>
          <w:color w:val="5A6A78"/>
        </w:rPr>
        <w:t xml:space="preserve">objeto de regras de </w:t>
      </w:r>
      <w:r w:rsidRPr="00B361AF">
        <w:rPr>
          <w:rFonts w:ascii="Calibri" w:eastAsia="Calibri" w:hAnsi="Calibri" w:cs="Calibri"/>
          <w:i/>
          <w:iCs/>
          <w:color w:val="5A6A78"/>
        </w:rPr>
        <w:t>priori</w:t>
      </w:r>
      <w:r>
        <w:rPr>
          <w:rFonts w:ascii="Calibri" w:eastAsia="Calibri" w:hAnsi="Calibri" w:cs="Calibri"/>
          <w:i/>
          <w:iCs/>
          <w:color w:val="5A6A78"/>
        </w:rPr>
        <w:t>ti</w:t>
      </w:r>
      <w:r w:rsidRPr="00B361AF">
        <w:rPr>
          <w:rFonts w:ascii="Calibri" w:eastAsia="Calibri" w:hAnsi="Calibri" w:cs="Calibri"/>
          <w:i/>
          <w:iCs/>
          <w:color w:val="5A6A78"/>
        </w:rPr>
        <w:t>zação.</w:t>
      </w:r>
      <w:r w:rsidR="00000000" w:rsidRPr="00B361AF">
        <w:rPr>
          <w:rFonts w:ascii="Calibri" w:eastAsia="Calibri" w:hAnsi="Calibri" w:cs="Calibri"/>
          <w:i/>
          <w:iCs/>
          <w:color w:val="5A6A78"/>
        </w:rPr>
        <w:br/>
      </w:r>
      <w:r w:rsidRPr="00B361AF">
        <w:rPr>
          <w:rFonts w:ascii="Calibri" w:eastAsia="Calibri" w:hAnsi="Calibri" w:cs="Calibri"/>
          <w:i/>
          <w:iCs/>
          <w:color w:val="5A6A78"/>
        </w:rPr>
        <w:t>As regras serão aplicadas quando a infraestrutura de suporte</w:t>
      </w:r>
      <w:r>
        <w:rPr>
          <w:rFonts w:ascii="Calibri" w:eastAsia="Calibri" w:hAnsi="Calibri" w:cs="Calibri"/>
          <w:i/>
          <w:iCs/>
          <w:color w:val="5A6A78"/>
        </w:rPr>
        <w:t xml:space="preserve"> – normas técnicas, sandboxes, orientações – estiver pronta para as sustentar</w:t>
      </w:r>
      <w:r w:rsidR="00000000" w:rsidRPr="00B361AF">
        <w:rPr>
          <w:rFonts w:ascii="Calibri" w:eastAsia="Calibri" w:hAnsi="Calibri" w:cs="Calibri"/>
          <w:i/>
          <w:iCs/>
          <w:color w:val="5A6A78"/>
        </w:rPr>
        <w:t>.</w:t>
      </w:r>
    </w:p>
    <w:p w14:paraId="7B09DABA" w14:textId="0D465BFA" w:rsidR="0080000F" w:rsidRPr="00B361AF" w:rsidRDefault="00B361AF">
      <w:pPr>
        <w:pBdr>
          <w:bottom w:val="single" w:sz="6" w:space="6" w:color="1A9E8A"/>
        </w:pBdr>
        <w:spacing w:before="400" w:after="100"/>
      </w:pPr>
      <w:r w:rsidRPr="00B361AF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UM CALENDÁRIO DE IMPLEMENTAÇÃO MAIS </w:t>
      </w:r>
      <w:r>
        <w:rPr>
          <w:rFonts w:ascii="Calibri" w:eastAsia="Calibri" w:hAnsi="Calibri" w:cs="Calibri"/>
          <w:b/>
          <w:bCs/>
          <w:color w:val="1A9E8A"/>
          <w:sz w:val="22"/>
          <w:szCs w:val="22"/>
        </w:rPr>
        <w:t>BEM DEFINIDO</w:t>
      </w:r>
    </w:p>
    <w:p w14:paraId="44190975" w14:textId="4C71B3AC" w:rsidR="0080000F" w:rsidRPr="000A2A63" w:rsidRDefault="000A2A63">
      <w:pPr>
        <w:spacing w:after="160"/>
        <w:jc w:val="both"/>
      </w:pPr>
      <w:r w:rsidRPr="000A2A63">
        <w:rPr>
          <w:rFonts w:ascii="Calibri" w:eastAsia="Calibri" w:hAnsi="Calibri" w:cs="Calibri"/>
          <w:color w:val="111111"/>
          <w:sz w:val="22"/>
          <w:szCs w:val="22"/>
        </w:rPr>
        <w:t>Um dos elementos mais consequentes do acordo político é um calendário revisto para os sistemas de IA de alto risco.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 O quadro distingue agora duas categorias, cada uma com distintas datas de aplicação</w:t>
      </w:r>
      <w:r w:rsidR="00000000" w:rsidRPr="000A2A63">
        <w:rPr>
          <w:rFonts w:ascii="Calibri" w:eastAsia="Calibri" w:hAnsi="Calibri" w:cs="Calibri"/>
          <w:color w:val="111111"/>
          <w:sz w:val="22"/>
          <w:szCs w:val="22"/>
        </w:rPr>
        <w:t>:</w:t>
      </w:r>
    </w:p>
    <w:p w14:paraId="0F8C98F6" w14:textId="520AECDE" w:rsidR="0080000F" w:rsidRPr="000A2A63" w:rsidRDefault="00000000" w:rsidP="000A2A63">
      <w:pPr>
        <w:spacing w:before="100" w:after="100"/>
        <w:jc w:val="both"/>
      </w:pP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2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de dezembro,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2027 — </w:t>
      </w:r>
      <w:r w:rsidR="000A2A63" w:rsidRPr="000A2A63">
        <w:rPr>
          <w:rFonts w:ascii="Calibri" w:eastAsia="Calibri" w:hAnsi="Calibri" w:cs="Calibri"/>
          <w:color w:val="111111"/>
          <w:sz w:val="22"/>
          <w:szCs w:val="22"/>
        </w:rPr>
        <w:t>As regras aplicam-se aos sistemas de IA de alto risco utilizados em biometria, infraestruturas críticas, educação, emprego, e migração, asilo e controlo de fronteiras</w:t>
      </w:r>
      <w:r w:rsidRPr="000A2A63">
        <w:rPr>
          <w:rFonts w:ascii="Calibri" w:eastAsia="Calibri" w:hAnsi="Calibri" w:cs="Calibri"/>
          <w:color w:val="111111"/>
          <w:sz w:val="22"/>
          <w:szCs w:val="22"/>
        </w:rPr>
        <w:t>.</w:t>
      </w:r>
    </w:p>
    <w:p w14:paraId="1FD4C579" w14:textId="77777777" w:rsidR="0080000F" w:rsidRPr="000A2A63" w:rsidRDefault="0080000F" w:rsidP="000A2A63">
      <w:pPr>
        <w:spacing w:after="60"/>
      </w:pPr>
    </w:p>
    <w:p w14:paraId="40A87DF6" w14:textId="611B4AFA" w:rsidR="0080000F" w:rsidRPr="000A2A63" w:rsidRDefault="00000000" w:rsidP="000A2A63">
      <w:pPr>
        <w:spacing w:before="100" w:after="100"/>
        <w:jc w:val="both"/>
      </w:pP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2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de Agosto,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2028 — </w:t>
      </w:r>
      <w:r w:rsidR="000A2A63" w:rsidRPr="000A2A63">
        <w:rPr>
          <w:rFonts w:ascii="Calibri" w:eastAsia="Calibri" w:hAnsi="Calibri" w:cs="Calibri"/>
          <w:color w:val="111111"/>
          <w:sz w:val="22"/>
          <w:szCs w:val="22"/>
        </w:rPr>
        <w:t>As regras aplicam-se aos sistemas de IA integrados em produtos regulamentados, como elevadores, dispositivos médicos ou brinquedos</w:t>
      </w:r>
      <w:r w:rsidRPr="000A2A63">
        <w:rPr>
          <w:rFonts w:ascii="Calibri" w:eastAsia="Calibri" w:hAnsi="Calibri" w:cs="Calibri"/>
          <w:color w:val="111111"/>
          <w:sz w:val="22"/>
          <w:szCs w:val="22"/>
        </w:rPr>
        <w:t>.</w:t>
      </w:r>
    </w:p>
    <w:p w14:paraId="1AF51964" w14:textId="77777777" w:rsidR="0080000F" w:rsidRPr="000A2A63" w:rsidRDefault="0080000F">
      <w:pPr>
        <w:spacing w:after="160"/>
      </w:pPr>
    </w:p>
    <w:p w14:paraId="47DBCEB2" w14:textId="7F428F5A" w:rsidR="0080000F" w:rsidRPr="00F6400D" w:rsidRDefault="00F6400D">
      <w:pPr>
        <w:spacing w:after="160"/>
        <w:jc w:val="both"/>
      </w:pPr>
      <w:r w:rsidRPr="00F6400D">
        <w:rPr>
          <w:rFonts w:ascii="Calibri" w:eastAsia="Calibri" w:hAnsi="Calibri" w:cs="Calibri"/>
          <w:color w:val="111111"/>
          <w:sz w:val="22"/>
          <w:szCs w:val="22"/>
        </w:rPr>
        <w:t xml:space="preserve">A distinção é relevante. Os sistemas utilizados em domínios de elevado risco, como a biometria e o emprego, serão responsabilizados mais cedo. Os sistemas incorporados em produtos físicos, onde a articulação com 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as leis </w:t>
      </w:r>
      <w:r w:rsidRPr="00F6400D">
        <w:rPr>
          <w:rFonts w:ascii="Calibri" w:eastAsia="Calibri" w:hAnsi="Calibri" w:cs="Calibri"/>
          <w:color w:val="111111"/>
          <w:sz w:val="22"/>
          <w:szCs w:val="22"/>
        </w:rPr>
        <w:t xml:space="preserve">da segurança de produtos é mais complexa, </w:t>
      </w:r>
      <w:r>
        <w:rPr>
          <w:rFonts w:ascii="Calibri" w:eastAsia="Calibri" w:hAnsi="Calibri" w:cs="Calibri"/>
          <w:color w:val="111111"/>
          <w:sz w:val="22"/>
          <w:szCs w:val="22"/>
        </w:rPr>
        <w:t>terão</w:t>
      </w:r>
      <w:r w:rsidRPr="00F6400D">
        <w:rPr>
          <w:rFonts w:ascii="Calibri" w:eastAsia="Calibri" w:hAnsi="Calibri" w:cs="Calibri"/>
          <w:color w:val="111111"/>
          <w:sz w:val="22"/>
          <w:szCs w:val="22"/>
        </w:rPr>
        <w:t xml:space="preserve"> tempo adicional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 de adaptação</w:t>
      </w:r>
      <w:r w:rsidRPr="00F6400D">
        <w:rPr>
          <w:rFonts w:ascii="Calibri" w:eastAsia="Calibri" w:hAnsi="Calibri" w:cs="Calibri"/>
          <w:color w:val="111111"/>
          <w:sz w:val="22"/>
          <w:szCs w:val="22"/>
        </w:rPr>
        <w:t xml:space="preserve">. 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Este </w:t>
      </w:r>
      <w:r w:rsidRPr="00F6400D">
        <w:rPr>
          <w:rFonts w:ascii="Calibri" w:eastAsia="Calibri" w:hAnsi="Calibri" w:cs="Calibri"/>
          <w:color w:val="111111"/>
          <w:sz w:val="22"/>
          <w:szCs w:val="22"/>
        </w:rPr>
        <w:t>é o reconhecimento de que o cumprimento requer normas técnicas, e as normas levam tempo a desenvolver</w:t>
      </w:r>
      <w:r w:rsidR="00000000" w:rsidRPr="00F6400D">
        <w:rPr>
          <w:rFonts w:ascii="Calibri" w:eastAsia="Calibri" w:hAnsi="Calibri" w:cs="Calibri"/>
          <w:color w:val="111111"/>
          <w:sz w:val="22"/>
          <w:szCs w:val="22"/>
        </w:rPr>
        <w:t>.</w:t>
      </w:r>
    </w:p>
    <w:p w14:paraId="56955370" w14:textId="58BFDBD0" w:rsidR="0080000F" w:rsidRPr="00703290" w:rsidRDefault="00703290">
      <w:pPr>
        <w:pBdr>
          <w:bottom w:val="single" w:sz="6" w:space="6" w:color="1A9E8A"/>
        </w:pBdr>
        <w:spacing w:before="400" w:after="100"/>
      </w:pPr>
      <w:r w:rsidRPr="00703290">
        <w:rPr>
          <w:rFonts w:ascii="Calibri" w:eastAsia="Calibri" w:hAnsi="Calibri" w:cs="Calibri"/>
          <w:b/>
          <w:bCs/>
          <w:color w:val="1A9E8A"/>
          <w:sz w:val="22"/>
          <w:szCs w:val="22"/>
        </w:rPr>
        <w:t>O QUE JÁ FOI ACORDADO</w:t>
      </w:r>
      <w:r w:rsidR="00000000" w:rsidRPr="00703290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bCs/>
          <w:color w:val="1A9E8A"/>
          <w:sz w:val="22"/>
          <w:szCs w:val="22"/>
        </w:rPr>
        <w:t>ALTERAÇÕES PRINCIPAIS</w:t>
      </w:r>
    </w:p>
    <w:p w14:paraId="39AEC22F" w14:textId="345DBDDD" w:rsidR="0080000F" w:rsidRPr="00703290" w:rsidRDefault="00703290">
      <w:pPr>
        <w:spacing w:after="160"/>
        <w:jc w:val="both"/>
        <w:rPr>
          <w:rFonts w:ascii="Calibri" w:eastAsia="Calibri" w:hAnsi="Calibri" w:cs="Calibri"/>
          <w:color w:val="111111"/>
          <w:sz w:val="22"/>
          <w:szCs w:val="22"/>
        </w:rPr>
      </w:pP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Para além do calendário, o omnibus introduz várias alterações direcionadas ao AI </w:t>
      </w:r>
      <w:proofErr w:type="spellStart"/>
      <w:r w:rsidRPr="00703290">
        <w:rPr>
          <w:rFonts w:ascii="Calibri" w:eastAsia="Calibri" w:hAnsi="Calibri" w:cs="Calibri"/>
          <w:color w:val="111111"/>
          <w:sz w:val="22"/>
          <w:szCs w:val="22"/>
        </w:rPr>
        <w:t>Act</w:t>
      </w:r>
      <w:proofErr w:type="spellEnd"/>
      <w:r w:rsidRPr="00703290">
        <w:rPr>
          <w:rFonts w:ascii="Calibri" w:eastAsia="Calibri" w:hAnsi="Calibri" w:cs="Calibri"/>
          <w:color w:val="111111"/>
          <w:sz w:val="22"/>
          <w:szCs w:val="22"/>
        </w:rPr>
        <w:t>. Cada uma responde a um ponto de pressão específico identificado durante o primeiro ano de implementação</w:t>
      </w:r>
      <w:r w:rsidR="00000000" w:rsidRPr="00703290">
        <w:rPr>
          <w:rFonts w:ascii="Calibri" w:eastAsia="Calibri" w:hAnsi="Calibri" w:cs="Calibri"/>
          <w:color w:val="111111"/>
          <w:sz w:val="22"/>
          <w:szCs w:val="22"/>
        </w:rPr>
        <w:t>:</w:t>
      </w:r>
    </w:p>
    <w:p w14:paraId="005C5E65" w14:textId="3E0405BF" w:rsidR="0080000F" w:rsidRPr="000A2A63" w:rsidRDefault="00000000" w:rsidP="00A22589">
      <w:pPr>
        <w:spacing w:before="60" w:after="60"/>
        <w:jc w:val="both"/>
      </w:pPr>
      <w:proofErr w:type="gramStart"/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▸  </w:t>
      </w:r>
      <w:r w:rsidR="00703290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Apps</w:t>
      </w:r>
      <w:proofErr w:type="gramEnd"/>
      <w:r w:rsidR="00703290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de “</w:t>
      </w:r>
      <w:r w:rsid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nudez</w:t>
      </w:r>
      <w:r w:rsidR="00703290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” proibidas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— 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>Os sistemas de IA que geram conteúdo sexualmente explícito não consensual ou íntimo, incluindo as ferramentas de "</w:t>
      </w:r>
      <w:proofErr w:type="spellStart"/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>nudificação</w:t>
      </w:r>
      <w:proofErr w:type="spellEnd"/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>", passam a ser explicitamente proibidos. Esta alteração colmata uma lacuna que se tornara urgente</w:t>
      </w:r>
      <w:r w:rsidRPr="000A2A63">
        <w:rPr>
          <w:rFonts w:ascii="Calibri" w:eastAsia="Calibri" w:hAnsi="Calibri" w:cs="Calibri"/>
          <w:color w:val="5A6A78"/>
          <w:sz w:val="22"/>
          <w:szCs w:val="22"/>
        </w:rPr>
        <w:t>.</w:t>
      </w:r>
    </w:p>
    <w:p w14:paraId="729DE995" w14:textId="3B5D3399" w:rsidR="0080000F" w:rsidRPr="000A2A63" w:rsidRDefault="00000000" w:rsidP="00A22589">
      <w:pPr>
        <w:spacing w:before="60" w:after="60"/>
        <w:jc w:val="both"/>
      </w:pPr>
      <w:proofErr w:type="gramStart"/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▸ 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Poderes</w:t>
      </w:r>
      <w:proofErr w:type="gramEnd"/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do Gabinete de 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AI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reforçados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— 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>O papel de supervisão do Gabinete de IA sobre os sistemas construídos com base em modelos de IA de uso geral é centralizado e reforçado. Isto reduz a fragmentação da governança e consolida a responsabilização.</w:t>
      </w:r>
    </w:p>
    <w:p w14:paraId="2F16EF5E" w14:textId="7530D044" w:rsidR="0080000F" w:rsidRPr="000A2A63" w:rsidRDefault="00000000" w:rsidP="00A22589">
      <w:pPr>
        <w:spacing w:before="60" w:after="60"/>
        <w:jc w:val="both"/>
      </w:pPr>
      <w:proofErr w:type="gramStart"/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▸ 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PMEs</w:t>
      </w:r>
      <w:proofErr w:type="gramEnd"/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e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</w:t>
      </w:r>
      <w:proofErr w:type="spellStart"/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Mid</w:t>
      </w:r>
      <w:proofErr w:type="spellEnd"/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</w:t>
      </w:r>
      <w:proofErr w:type="spellStart"/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Caps</w:t>
      </w:r>
      <w:proofErr w:type="spellEnd"/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— 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Os requisitos simplificados anteriormente </w:t>
      </w:r>
      <w:r w:rsidR="000A2A63">
        <w:rPr>
          <w:rFonts w:ascii="Calibri" w:eastAsia="Calibri" w:hAnsi="Calibri" w:cs="Calibri"/>
          <w:color w:val="5A6A78"/>
          <w:sz w:val="22"/>
          <w:szCs w:val="22"/>
        </w:rPr>
        <w:t xml:space="preserve">aplicáveis às 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pequenas e médias empresas são </w:t>
      </w:r>
      <w:r w:rsidR="000A2A63">
        <w:rPr>
          <w:rFonts w:ascii="Calibri" w:eastAsia="Calibri" w:hAnsi="Calibri" w:cs="Calibri"/>
          <w:color w:val="5A6A78"/>
          <w:sz w:val="22"/>
          <w:szCs w:val="22"/>
        </w:rPr>
        <w:t xml:space="preserve">agora 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alargados às empresas de média capitalização. Tal </w:t>
      </w:r>
      <w:r w:rsidR="000A2A63">
        <w:rPr>
          <w:rFonts w:ascii="Calibri" w:eastAsia="Calibri" w:hAnsi="Calibri" w:cs="Calibri"/>
          <w:color w:val="5A6A78"/>
          <w:sz w:val="22"/>
          <w:szCs w:val="22"/>
        </w:rPr>
        <w:t>como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 obrigações de documentação técnica </w:t>
      </w:r>
      <w:r w:rsidR="000A2A63">
        <w:rPr>
          <w:rFonts w:ascii="Calibri" w:eastAsia="Calibri" w:hAnsi="Calibri" w:cs="Calibri"/>
          <w:color w:val="5A6A78"/>
          <w:sz w:val="22"/>
          <w:szCs w:val="22"/>
        </w:rPr>
        <w:t>aligeiradas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 — </w:t>
      </w:r>
      <w:r w:rsidR="000A2A63">
        <w:rPr>
          <w:rFonts w:ascii="Calibri" w:eastAsia="Calibri" w:hAnsi="Calibri" w:cs="Calibri"/>
          <w:color w:val="5A6A78"/>
          <w:sz w:val="22"/>
          <w:szCs w:val="22"/>
        </w:rPr>
        <w:t>isto resulta n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>uma redução significativa dos custos de conformidade</w:t>
      </w:r>
      <w:r w:rsidRPr="000A2A63">
        <w:rPr>
          <w:rFonts w:ascii="Calibri" w:eastAsia="Calibri" w:hAnsi="Calibri" w:cs="Calibri"/>
          <w:color w:val="5A6A78"/>
          <w:sz w:val="22"/>
          <w:szCs w:val="22"/>
        </w:rPr>
        <w:t>.</w:t>
      </w:r>
    </w:p>
    <w:p w14:paraId="1DE9C324" w14:textId="4919610E" w:rsidR="0080000F" w:rsidRPr="000A2A63" w:rsidRDefault="00000000" w:rsidP="00A22589">
      <w:pPr>
        <w:spacing w:before="60" w:after="60"/>
        <w:jc w:val="both"/>
      </w:pP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▸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Maior acesso a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sandbox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es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regulatórias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— 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Empresas empreendedoras podem 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aceder a sandboxes regulatórias, incluindo uma nova </w:t>
      </w:r>
      <w:proofErr w:type="spellStart"/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>sandbox</w:t>
      </w:r>
      <w:proofErr w:type="spellEnd"/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 a nível da UE, para testar soluções de IA em condições reais antes de as obrigações de conformidade plenas se aplicarem</w:t>
      </w:r>
      <w:r w:rsidRPr="000A2A63">
        <w:rPr>
          <w:rFonts w:ascii="Calibri" w:eastAsia="Calibri" w:hAnsi="Calibri" w:cs="Calibri"/>
          <w:color w:val="5A6A78"/>
          <w:sz w:val="22"/>
          <w:szCs w:val="22"/>
        </w:rPr>
        <w:t>.</w:t>
      </w:r>
    </w:p>
    <w:p w14:paraId="0A27A3FD" w14:textId="593F9084" w:rsidR="000A2A63" w:rsidRPr="000A2A63" w:rsidRDefault="00000000" w:rsidP="00A22589">
      <w:pPr>
        <w:spacing w:before="60" w:after="60"/>
        <w:jc w:val="both"/>
        <w:rPr>
          <w:rFonts w:ascii="Calibri" w:eastAsia="Calibri" w:hAnsi="Calibri" w:cs="Calibri"/>
          <w:color w:val="5A6A78"/>
          <w:sz w:val="22"/>
          <w:szCs w:val="22"/>
        </w:rPr>
      </w:pPr>
      <w:proofErr w:type="gramStart"/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▸  </w:t>
      </w:r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>Clarificação</w:t>
      </w:r>
      <w:proofErr w:type="gramEnd"/>
      <w:r w:rsidR="000A2A63"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em matéria de segurança dos produtos </w:t>
      </w:r>
      <w:r w:rsidRPr="000A2A63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— </w:t>
      </w:r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A articulação entre o AI </w:t>
      </w:r>
      <w:proofErr w:type="spellStart"/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>Act</w:t>
      </w:r>
      <w:proofErr w:type="spellEnd"/>
      <w:r w:rsidR="000A2A63" w:rsidRPr="000A2A63">
        <w:rPr>
          <w:rFonts w:ascii="Calibri" w:eastAsia="Calibri" w:hAnsi="Calibri" w:cs="Calibri"/>
          <w:color w:val="5A6A78"/>
          <w:sz w:val="22"/>
          <w:szCs w:val="22"/>
        </w:rPr>
        <w:t xml:space="preserve"> e a legislação europeia de segurança de produtos — em particular o Regulamento sobre Máquinas — é clarificada, eliminando o risco de obrigações de conformidade duplicadas entre as regras sectoriais e as regras específicas de IA.</w:t>
      </w:r>
    </w:p>
    <w:p w14:paraId="2BEFF553" w14:textId="2DCAD882" w:rsidR="0080000F" w:rsidRPr="000A2A63" w:rsidRDefault="00000000">
      <w:pPr>
        <w:spacing w:before="60" w:after="60"/>
        <w:ind w:left="400"/>
        <w:jc w:val="both"/>
      </w:pPr>
      <w:r w:rsidRPr="000A2A63">
        <w:rPr>
          <w:rFonts w:ascii="Calibri" w:eastAsia="Calibri" w:hAnsi="Calibri" w:cs="Calibri"/>
          <w:color w:val="5A6A78"/>
          <w:sz w:val="22"/>
          <w:szCs w:val="22"/>
        </w:rPr>
        <w:t>.</w:t>
      </w:r>
    </w:p>
    <w:p w14:paraId="2FA3424D" w14:textId="77777777" w:rsidR="0080000F" w:rsidRPr="000A2A63" w:rsidRDefault="0080000F">
      <w:pPr>
        <w:spacing w:after="100"/>
      </w:pPr>
    </w:p>
    <w:p w14:paraId="75391D9E" w14:textId="3269E2D2" w:rsidR="0080000F" w:rsidRPr="00703290" w:rsidRDefault="00703290">
      <w:pPr>
        <w:pBdr>
          <w:bottom w:val="single" w:sz="6" w:space="6" w:color="1A9E8A"/>
        </w:pBdr>
        <w:spacing w:before="400" w:after="100"/>
      </w:pPr>
      <w:proofErr w:type="gramStart"/>
      <w:r w:rsidRPr="00703290">
        <w:rPr>
          <w:rFonts w:ascii="Calibri" w:eastAsia="Calibri" w:hAnsi="Calibri" w:cs="Calibri"/>
          <w:b/>
          <w:bCs/>
          <w:color w:val="1A9E8A"/>
          <w:sz w:val="22"/>
          <w:szCs w:val="22"/>
        </w:rPr>
        <w:lastRenderedPageBreak/>
        <w:t>PORQUE</w:t>
      </w:r>
      <w:proofErr w:type="gramEnd"/>
      <w:r w:rsidRPr="00703290"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MOTIVO </w:t>
      </w:r>
      <w:r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IMPORTA, </w:t>
      </w:r>
      <w:r w:rsidRPr="00703290">
        <w:rPr>
          <w:rFonts w:ascii="Calibri" w:eastAsia="Calibri" w:hAnsi="Calibri" w:cs="Calibri"/>
          <w:b/>
          <w:bCs/>
          <w:color w:val="1A9E8A"/>
          <w:sz w:val="22"/>
          <w:szCs w:val="22"/>
        </w:rPr>
        <w:t>ALÉM DE</w:t>
      </w:r>
      <w:r>
        <w:rPr>
          <w:rFonts w:ascii="Calibri" w:eastAsia="Calibri" w:hAnsi="Calibri" w:cs="Calibri"/>
          <w:b/>
          <w:bCs/>
          <w:color w:val="1A9E8A"/>
          <w:sz w:val="22"/>
          <w:szCs w:val="22"/>
        </w:rPr>
        <w:t xml:space="preserve"> BRUXELAS</w:t>
      </w:r>
    </w:p>
    <w:p w14:paraId="2B321B8E" w14:textId="1CA15431" w:rsidR="0080000F" w:rsidRPr="00703290" w:rsidRDefault="00703290">
      <w:pPr>
        <w:spacing w:after="160"/>
        <w:jc w:val="both"/>
        <w:rPr>
          <w:rFonts w:ascii="Calibri" w:eastAsia="Calibri" w:hAnsi="Calibri" w:cs="Calibri"/>
          <w:color w:val="111111"/>
          <w:sz w:val="22"/>
          <w:szCs w:val="22"/>
        </w:rPr>
      </w:pP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O significado global do AI </w:t>
      </w:r>
      <w:proofErr w:type="spellStart"/>
      <w:r w:rsidRPr="00703290">
        <w:rPr>
          <w:rFonts w:ascii="Calibri" w:eastAsia="Calibri" w:hAnsi="Calibri" w:cs="Calibri"/>
          <w:color w:val="111111"/>
          <w:sz w:val="22"/>
          <w:szCs w:val="22"/>
        </w:rPr>
        <w:t>Act</w:t>
      </w:r>
      <w:proofErr w:type="spellEnd"/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 não está em causa. Como primeiro quadro jurídico vinculativo do seu género, irá influenciar a forma como a governança de IA é concebida em jurisdições que não dispõem da arquitetura institucional da </w:t>
      </w:r>
      <w:proofErr w:type="gramStart"/>
      <w:r w:rsidRPr="00703290">
        <w:rPr>
          <w:rFonts w:ascii="Calibri" w:eastAsia="Calibri" w:hAnsi="Calibri" w:cs="Calibri"/>
          <w:color w:val="111111"/>
          <w:sz w:val="22"/>
          <w:szCs w:val="22"/>
        </w:rPr>
        <w:t>UE</w:t>
      </w:r>
      <w:proofErr w:type="gramEnd"/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 mas que a tomam como ponto de referência</w:t>
      </w:r>
      <w:r w:rsidR="00000000" w:rsidRPr="00703290">
        <w:rPr>
          <w:rFonts w:ascii="Calibri" w:eastAsia="Calibri" w:hAnsi="Calibri" w:cs="Calibri"/>
          <w:color w:val="111111"/>
          <w:sz w:val="22"/>
          <w:szCs w:val="22"/>
        </w:rPr>
        <w:t>.</w:t>
      </w:r>
    </w:p>
    <w:p w14:paraId="3C57D24E" w14:textId="0881A56C" w:rsidR="0080000F" w:rsidRPr="00703290" w:rsidRDefault="00703290">
      <w:pPr>
        <w:spacing w:after="160"/>
        <w:jc w:val="both"/>
        <w:rPr>
          <w:rFonts w:ascii="Calibri" w:eastAsia="Calibri" w:hAnsi="Calibri" w:cs="Calibri"/>
          <w:color w:val="111111"/>
          <w:sz w:val="22"/>
          <w:szCs w:val="22"/>
        </w:rPr>
      </w:pPr>
      <w:r>
        <w:rPr>
          <w:rFonts w:ascii="Calibri" w:eastAsia="Calibri" w:hAnsi="Calibri" w:cs="Calibri"/>
          <w:color w:val="111111"/>
          <w:sz w:val="22"/>
          <w:szCs w:val="22"/>
        </w:rPr>
        <w:t>P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>ara além dos detalhes técnicos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 o omnibus é importante porque revela que a Europa tem capacidade 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de rever as suas próprias regras em resposta 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à realidade da 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implementação. </w:t>
      </w:r>
      <w:r>
        <w:rPr>
          <w:rFonts w:ascii="Calibri" w:eastAsia="Calibri" w:hAnsi="Calibri" w:cs="Calibri"/>
          <w:color w:val="111111"/>
          <w:sz w:val="22"/>
          <w:szCs w:val="22"/>
        </w:rPr>
        <w:t>Porque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 o objetivo não é a conformidade </w:t>
      </w:r>
      <w:r>
        <w:rPr>
          <w:rFonts w:ascii="Calibri" w:eastAsia="Calibri" w:hAnsi="Calibri" w:cs="Calibri"/>
          <w:color w:val="111111"/>
          <w:sz w:val="22"/>
          <w:szCs w:val="22"/>
        </w:rPr>
        <w:t>enquanto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111111"/>
          <w:sz w:val="22"/>
          <w:szCs w:val="22"/>
        </w:rPr>
        <w:t>finalidade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 em si, mas </w:t>
      </w:r>
      <w:r>
        <w:rPr>
          <w:rFonts w:ascii="Calibri" w:eastAsia="Calibri" w:hAnsi="Calibri" w:cs="Calibri"/>
          <w:color w:val="111111"/>
          <w:sz w:val="22"/>
          <w:szCs w:val="22"/>
        </w:rPr>
        <w:t>promover a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AI com as 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>condiç</w:t>
      </w:r>
      <w:r>
        <w:rPr>
          <w:rFonts w:ascii="Calibri" w:eastAsia="Calibri" w:hAnsi="Calibri" w:cs="Calibri"/>
          <w:color w:val="111111"/>
          <w:sz w:val="22"/>
          <w:szCs w:val="22"/>
        </w:rPr>
        <w:t>ões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111111"/>
          <w:sz w:val="22"/>
          <w:szCs w:val="22"/>
        </w:rPr>
        <w:t xml:space="preserve">que visam </w:t>
      </w:r>
      <w:r w:rsidRPr="00703290">
        <w:rPr>
          <w:rFonts w:ascii="Calibri" w:eastAsia="Calibri" w:hAnsi="Calibri" w:cs="Calibri"/>
          <w:color w:val="111111"/>
          <w:sz w:val="22"/>
          <w:szCs w:val="22"/>
        </w:rPr>
        <w:t>uma adoção sustentável.</w:t>
      </w:r>
    </w:p>
    <w:p w14:paraId="33E48827" w14:textId="366EE3E8" w:rsidR="00703290" w:rsidRPr="00703290" w:rsidRDefault="00703290" w:rsidP="00703290">
      <w:pPr>
        <w:pBdr>
          <w:left w:val="single" w:sz="12" w:space="12" w:color="1A9E8A"/>
        </w:pBdr>
        <w:spacing w:before="200" w:after="200"/>
        <w:ind w:left="300"/>
        <w:rPr>
          <w:rFonts w:ascii="Calibri" w:eastAsia="Calibri" w:hAnsi="Calibri" w:cs="Calibri"/>
          <w:i/>
          <w:iCs/>
          <w:color w:val="5A6A78"/>
        </w:rPr>
      </w:pPr>
      <w:r w:rsidRPr="00703290">
        <w:rPr>
          <w:rFonts w:ascii="Calibri" w:eastAsia="Calibri" w:hAnsi="Calibri" w:cs="Calibri"/>
          <w:i/>
          <w:iCs/>
          <w:color w:val="5A6A78"/>
        </w:rPr>
        <w:t>Um</w:t>
      </w:r>
      <w:r>
        <w:rPr>
          <w:rFonts w:ascii="Calibri" w:eastAsia="Calibri" w:hAnsi="Calibri" w:cs="Calibri"/>
          <w:i/>
          <w:iCs/>
          <w:color w:val="5A6A78"/>
        </w:rPr>
        <w:t xml:space="preserve"> modelo de governo </w:t>
      </w:r>
      <w:r w:rsidRPr="00703290">
        <w:rPr>
          <w:rFonts w:ascii="Calibri" w:eastAsia="Calibri" w:hAnsi="Calibri" w:cs="Calibri"/>
          <w:i/>
          <w:iCs/>
          <w:color w:val="5A6A78"/>
        </w:rPr>
        <w:t>que não consegue adaptar-se ao que governa acaba por não governar nada. O omnibus é uma tentativa de manter as regras em contacto com a realidade — o que é, em última análise, a condição mínima para que qualquer regula</w:t>
      </w:r>
      <w:r>
        <w:rPr>
          <w:rFonts w:ascii="Calibri" w:eastAsia="Calibri" w:hAnsi="Calibri" w:cs="Calibri"/>
          <w:i/>
          <w:iCs/>
          <w:color w:val="5A6A78"/>
        </w:rPr>
        <w:t>menta</w:t>
      </w:r>
      <w:r w:rsidRPr="00703290">
        <w:rPr>
          <w:rFonts w:ascii="Calibri" w:eastAsia="Calibri" w:hAnsi="Calibri" w:cs="Calibri"/>
          <w:i/>
          <w:iCs/>
          <w:color w:val="5A6A78"/>
        </w:rPr>
        <w:t>ção funcione.</w:t>
      </w:r>
    </w:p>
    <w:p w14:paraId="59694059" w14:textId="77777777" w:rsidR="0080000F" w:rsidRPr="007E3C72" w:rsidRDefault="00000000">
      <w:pPr>
        <w:spacing w:before="480" w:after="120"/>
        <w:rPr>
          <w:lang w:val="en-GB"/>
        </w:rPr>
      </w:pPr>
      <w:r w:rsidRPr="007E3C72">
        <w:rPr>
          <w:rFonts w:ascii="Calibri" w:eastAsia="Calibri" w:hAnsi="Calibri" w:cs="Calibri"/>
          <w:color w:val="1A9E8A"/>
          <w:sz w:val="18"/>
          <w:szCs w:val="18"/>
          <w:lang w:val="en-GB"/>
        </w:rPr>
        <w:t>#</w:t>
      </w:r>
      <w:proofErr w:type="gramStart"/>
      <w:r w:rsidRPr="007E3C72">
        <w:rPr>
          <w:rFonts w:ascii="Calibri" w:eastAsia="Calibri" w:hAnsi="Calibri" w:cs="Calibri"/>
          <w:color w:val="1A9E8A"/>
          <w:sz w:val="18"/>
          <w:szCs w:val="18"/>
          <w:lang w:val="en-GB"/>
        </w:rPr>
        <w:t>AIAct  #AIGovernance  #EuropeanUnion  #ArtificialIntelligence  #DigitalPolicy  #Regulation  #</w:t>
      </w:r>
      <w:proofErr w:type="gramEnd"/>
      <w:r w:rsidRPr="007E3C72">
        <w:rPr>
          <w:rFonts w:ascii="Calibri" w:eastAsia="Calibri" w:hAnsi="Calibri" w:cs="Calibri"/>
          <w:color w:val="1A9E8A"/>
          <w:sz w:val="18"/>
          <w:szCs w:val="18"/>
          <w:lang w:val="en-GB"/>
        </w:rPr>
        <w:t>Innovation</w:t>
      </w:r>
    </w:p>
    <w:p w14:paraId="35D68587" w14:textId="77777777" w:rsidR="0080000F" w:rsidRPr="007E3C72" w:rsidRDefault="00000000">
      <w:pPr>
        <w:rPr>
          <w:lang w:val="en-GB"/>
        </w:rPr>
      </w:pPr>
      <w:hyperlink r:id="rId6" w:history="1">
        <w:r w:rsidRPr="007E3C72">
          <w:rPr>
            <w:rStyle w:val="Hiperligao"/>
            <w:rFonts w:ascii="Calibri" w:eastAsia="Calibri" w:hAnsi="Calibri" w:cs="Calibri"/>
            <w:color w:val="1A9E8A"/>
            <w:sz w:val="18"/>
            <w:szCs w:val="18"/>
            <w:lang w:val="en-GB"/>
          </w:rPr>
          <w:t>https://digital-strategy.ec.europa.eu/en/policies/regulatory-framework-ai</w:t>
        </w:r>
      </w:hyperlink>
    </w:p>
    <w:sectPr w:rsidR="0080000F" w:rsidRPr="007E3C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3DE"/>
    <w:multiLevelType w:val="hybridMultilevel"/>
    <w:tmpl w:val="06E86BF8"/>
    <w:lvl w:ilvl="0" w:tplc="6A327468">
      <w:start w:val="1"/>
      <w:numFmt w:val="bullet"/>
      <w:lvlText w:val="●"/>
      <w:lvlJc w:val="left"/>
      <w:pPr>
        <w:ind w:left="720" w:hanging="360"/>
      </w:pPr>
    </w:lvl>
    <w:lvl w:ilvl="1" w:tplc="267CB186">
      <w:start w:val="1"/>
      <w:numFmt w:val="bullet"/>
      <w:lvlText w:val="○"/>
      <w:lvlJc w:val="left"/>
      <w:pPr>
        <w:ind w:left="1440" w:hanging="360"/>
      </w:pPr>
    </w:lvl>
    <w:lvl w:ilvl="2" w:tplc="F4760948">
      <w:start w:val="1"/>
      <w:numFmt w:val="bullet"/>
      <w:lvlText w:val="■"/>
      <w:lvlJc w:val="left"/>
      <w:pPr>
        <w:ind w:left="2160" w:hanging="360"/>
      </w:pPr>
    </w:lvl>
    <w:lvl w:ilvl="3" w:tplc="4E626E64">
      <w:start w:val="1"/>
      <w:numFmt w:val="bullet"/>
      <w:lvlText w:val="●"/>
      <w:lvlJc w:val="left"/>
      <w:pPr>
        <w:ind w:left="2880" w:hanging="360"/>
      </w:pPr>
    </w:lvl>
    <w:lvl w:ilvl="4" w:tplc="75EA00AA">
      <w:start w:val="1"/>
      <w:numFmt w:val="bullet"/>
      <w:lvlText w:val="○"/>
      <w:lvlJc w:val="left"/>
      <w:pPr>
        <w:ind w:left="3600" w:hanging="360"/>
      </w:pPr>
    </w:lvl>
    <w:lvl w:ilvl="5" w:tplc="BCD27E0A">
      <w:start w:val="1"/>
      <w:numFmt w:val="bullet"/>
      <w:lvlText w:val="■"/>
      <w:lvlJc w:val="left"/>
      <w:pPr>
        <w:ind w:left="4320" w:hanging="360"/>
      </w:pPr>
    </w:lvl>
    <w:lvl w:ilvl="6" w:tplc="D9B6BF24">
      <w:start w:val="1"/>
      <w:numFmt w:val="bullet"/>
      <w:lvlText w:val="●"/>
      <w:lvlJc w:val="left"/>
      <w:pPr>
        <w:ind w:left="5040" w:hanging="360"/>
      </w:pPr>
    </w:lvl>
    <w:lvl w:ilvl="7" w:tplc="42A4F8E4">
      <w:start w:val="1"/>
      <w:numFmt w:val="bullet"/>
      <w:lvlText w:val="●"/>
      <w:lvlJc w:val="left"/>
      <w:pPr>
        <w:ind w:left="5760" w:hanging="360"/>
      </w:pPr>
    </w:lvl>
    <w:lvl w:ilvl="8" w:tplc="C7162B1C">
      <w:start w:val="1"/>
      <w:numFmt w:val="bullet"/>
      <w:lvlText w:val="●"/>
      <w:lvlJc w:val="left"/>
      <w:pPr>
        <w:ind w:left="6480" w:hanging="360"/>
      </w:pPr>
    </w:lvl>
  </w:abstractNum>
  <w:num w:numId="1" w16cid:durableId="1954315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00F"/>
    <w:rsid w:val="000A2A63"/>
    <w:rsid w:val="006A361C"/>
    <w:rsid w:val="00703290"/>
    <w:rsid w:val="007E3C72"/>
    <w:rsid w:val="0080000F"/>
    <w:rsid w:val="00A22589"/>
    <w:rsid w:val="00B361AF"/>
    <w:rsid w:val="00F244C0"/>
    <w:rsid w:val="00F27167"/>
    <w:rsid w:val="00F6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4EA4FF"/>
  <w15:docId w15:val="{D20D6103-085D-0041-97BB-FFF7490B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290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gital-strategy.ec.europa.eu/en/policies/regulatory-framework-a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845</Words>
  <Characters>4834</Characters>
  <Application>Microsoft Office Word</Application>
  <DocSecurity>0</DocSecurity>
  <Lines>80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Martins</cp:lastModifiedBy>
  <cp:revision>4</cp:revision>
  <dcterms:created xsi:type="dcterms:W3CDTF">2026-05-27T08:04:00Z</dcterms:created>
  <dcterms:modified xsi:type="dcterms:W3CDTF">2026-05-28T07:41:00Z</dcterms:modified>
</cp:coreProperties>
</file>