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Exerc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cios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X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.0"/>
              <w:spacing w:before="8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Wagner Gad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 Lorenz</w:t>
            </w:r>
          </w:p>
        </w:tc>
      </w:tr>
    </w:tbl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Data 10/11/2015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</w:pPr>
      <w:r>
        <w:rPr>
          <w:rFonts w:ascii="Arial" w:hAnsi="Arial"/>
          <w:rtl w:val="0"/>
          <w:lang w:val="en-US"/>
        </w:rPr>
        <w:t>1</w:t>
      </w:r>
      <w:r>
        <w:rPr>
          <w:rtl w:val="0"/>
          <w:lang w:val="pt-PT"/>
        </w:rPr>
        <w:t xml:space="preserve">. Qual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entre configurar um cliente dinamicamente e estaticamente?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en-US"/>
        </w:rPr>
        <w:t>2</w:t>
      </w:r>
      <w:r>
        <w:rPr>
          <w:rtl w:val="0"/>
          <w:lang w:val="pt-PT"/>
        </w:rPr>
        <w:t>. Qual a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entre gateway e DHCP?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en-US"/>
        </w:rPr>
        <w:t>3</w:t>
      </w:r>
      <w:r>
        <w:rPr>
          <w:rtl w:val="0"/>
          <w:lang w:val="pt-PT"/>
        </w:rPr>
        <w:t xml:space="preserve">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correto afirmar que o DHCP pode configurar o gateway em uma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</w:t>
      </w:r>
    </w:p>
    <w:p>
      <w:pPr>
        <w:pStyle w:val="Normal.0"/>
        <w:jc w:val="both"/>
      </w:pPr>
      <w:r>
        <w:rPr>
          <w:rtl w:val="0"/>
          <w:lang w:val="pt-PT"/>
        </w:rPr>
        <w:t>cliente? Explique sua resposta.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en-US"/>
        </w:rPr>
        <w:t>4</w:t>
      </w:r>
      <w:r>
        <w:rPr>
          <w:rtl w:val="0"/>
          <w:lang w:val="pt-PT"/>
        </w:rPr>
        <w:t>. O que o proxy e o firewall possuem em comum?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en-US"/>
        </w:rPr>
        <w:t>5</w:t>
      </w:r>
      <w:r>
        <w:rPr>
          <w:rtl w:val="0"/>
          <w:lang w:val="pt-PT"/>
        </w:rPr>
        <w:t xml:space="preserve">. Qual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principal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entre um proxy e um firewall?</w:t>
      </w:r>
      <w:r/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jc w:val="both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both"/>
                    </w:pP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