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81AF9" w14:textId="77777777" w:rsidR="0019542D" w:rsidRDefault="0019542D" w:rsidP="00F53A2E">
      <w:pPr>
        <w:spacing w:after="0"/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inline distT="0" distB="0" distL="0" distR="0" wp14:anchorId="20330044" wp14:editId="3AADDA58">
                <wp:extent cx="6165850" cy="1047750"/>
                <wp:effectExtent l="0" t="0" r="0" b="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65850" cy="10477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8F3E9" w14:textId="77777777" w:rsidR="00145EF1" w:rsidRPr="00A050CF" w:rsidRDefault="00145EF1" w:rsidP="00145EF1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6</w:t>
                            </w: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ème</w:t>
                            </w: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CONGRES INTERNATIONAL </w:t>
                            </w:r>
                          </w:p>
                          <w:p w14:paraId="0A121A06" w14:textId="77777777" w:rsidR="00145EF1" w:rsidRPr="00A050CF" w:rsidRDefault="00145EF1" w:rsidP="00145EF1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DE LA SOCIETE SENEGALAISE DE CARDIOLOGIE (SOSECAR)</w:t>
                            </w:r>
                          </w:p>
                          <w:p w14:paraId="737D0CA0" w14:textId="77777777" w:rsidR="00145EF1" w:rsidRPr="00A050CF" w:rsidRDefault="00145EF1" w:rsidP="00145EF1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COUPLE A LA 4</w:t>
                            </w: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ème</w:t>
                            </w: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EDITION DE CARDIOTECH SENEGAL</w:t>
                            </w:r>
                          </w:p>
                          <w:p w14:paraId="1F5A5C06" w14:textId="77777777" w:rsidR="00145EF1" w:rsidRPr="001C0A7D" w:rsidRDefault="00145EF1" w:rsidP="00145EF1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Hôtel Radisson Blu de Dakar</w:t>
                            </w:r>
                            <w:r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11, 12 et 13 décembre 2023</w:t>
                            </w:r>
                          </w:p>
                          <w:p w14:paraId="49EFEDE1" w14:textId="094CA815" w:rsidR="00AF675A" w:rsidRPr="00CB07E6" w:rsidRDefault="00AF675A" w:rsidP="00E9716A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300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5.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GIvAIAAKYFAAAOAAAAZHJzL2Uyb0RvYy54bWysVE2PmzAQvVfqf7C4EyABEtCSVZINvWzb&#10;lTbVSr052AS3gF3bCURV/3vHhmR320vVlgOyx+M3H+95bm77pkYnKhXjbeYEE99BtC04Ye0hcz7t&#10;cnfhIKVxS3DNW5o5Z6qc2+XbNzedSOmUV7wmVCIAaVXaicyptBap56miog1WEy5oC4cllw3WsJUH&#10;j0jcAXpTe1Pfj72OSyIkL6hSYL0bDp2lxS9LWuiPZamoRnXmQG7a/qX9783fW97g9CCxqFgxpoH/&#10;IosGsxaCXqHusMboKNlvUA0rJFe81JOCNx4vS1ZQWwNUE/i/VPNYYUFtLdAcJa5tUv8PtvhwepCI&#10;EeDOQS1ugKLPQBQiFGnaa4oC06JOqBQ8HwX46n7Ne+NuylXinhdfFWr5psLtga6k5F1FMYEUDeBo&#10;toXszgLQrXUH0FvCgA0L773AH4IpE2nfvecEruCj5jZaX8rGRIW2IUgB+DxfOQREVIAxDuJoEcFR&#10;AWeBH87nsIESPJxergup9DvKG2QWmSNBJBYen+6VHlwvLiYaIIN9XA2kfk+Caeivp4mbx4u5G+Zh&#10;5CZzf+H6QbJOYj9Mwrv8hwENwrRihND2nkFXB52D8c8IHKU+SMNKDHWZk0TTaGg+rxnJWV2b3JQ8&#10;7De1RCdslG6/sWz10k3yY0us6A1L23GtMauHtfc6Y9s3aMDr6ld55M/D2cKF5s7ccLb13fUi37ir&#10;TRDH8+16s94Gr6vf2qeo/r0BNhELduHq2uExxnPKQPmFO6swI6pBXrrf96Os95ycQWsdjIDMUd+O&#10;WFLQ7bHZcOgjiLWUvHmCGbOSVq0mvhHHrn/CUowKMi/lob6MACsj43cg44vC5AsANTVMFqAHRYad&#10;kZzRGVJ9RjV3lViB6nNm9Wiex5AnFGc2MAxsmePgMtPm5d56PY/X5U8AAAD//wMAUEsDBBQABgAI&#10;AAAAIQDN5TG/2QAAAAUBAAAPAAAAZHJzL2Rvd25yZXYueG1sTI/BTsMwEETvSPyDtUjcqB2kFghx&#10;qooWiQMXSrhv4yWJiO0o3jbp37NwgctKoxnNvinWs+/VicbUxWAhWxhQFOroutBYqN6fb+5BJcbg&#10;sI+BLJwpwbq8vCgwd3EKb3Tac6OkJKQcLbTMQ651qlvymBZxoCDeZxw9ssix0W7EScp9r2+NWWmP&#10;XZAPLQ701FL9tT96C8xuk52rnU8vH/PrdmpNvcTK2uurefMIimnmvzD84As6lMJ0iMfgkuotyBD+&#10;veI93GUiDxJaLQ3ostD/6ctvAAAA//8DAFBLAQItABQABgAIAAAAIQC2gziS/gAAAOEBAAATAAAA&#10;AAAAAAAAAAAAAAAAAABbQ29udGVudF9UeXBlc10ueG1sUEsBAi0AFAAGAAgAAAAhADj9If/WAAAA&#10;lAEAAAsAAAAAAAAAAAAAAAAALwEAAF9yZWxzLy5yZWxzUEsBAi0AFAAGAAgAAAAhAMAEQYi8AgAA&#10;pgUAAA4AAAAAAAAAAAAAAAAALgIAAGRycy9lMm9Eb2MueG1sUEsBAi0AFAAGAAgAAAAhAM3lMb/Z&#10;AAAABQEAAA8AAAAAAAAAAAAAAAAAFgUAAGRycy9kb3ducmV2LnhtbFBLBQYAAAAABAAEAPMAAAAc&#10;BgAAAAA=&#10;" filled="f" stroked="f">
                <v:stroke joinstyle="round"/>
                <o:lock v:ext="edit" shapetype="t"/>
                <v:textbox style="mso-fit-shape-to-text:t">
                  <w:txbxContent>
                    <w:p w14:paraId="5CD8F3E9" w14:textId="77777777" w:rsidR="00145EF1" w:rsidRPr="00A050CF" w:rsidRDefault="00145EF1" w:rsidP="00145EF1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A050CF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6</w:t>
                      </w:r>
                      <w:r w:rsidRPr="00A050CF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</w:rPr>
                        <w:t>ème</w:t>
                      </w:r>
                      <w:r w:rsidRPr="00A050CF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CONGRES INTERNATIONAL </w:t>
                      </w:r>
                    </w:p>
                    <w:p w14:paraId="0A121A06" w14:textId="77777777" w:rsidR="00145EF1" w:rsidRPr="00A050CF" w:rsidRDefault="00145EF1" w:rsidP="00145EF1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A050CF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DE LA SOCIETE SENEGALAISE DE CARDIOLOGIE (SOSECAR)</w:t>
                      </w:r>
                    </w:p>
                    <w:p w14:paraId="737D0CA0" w14:textId="77777777" w:rsidR="00145EF1" w:rsidRPr="00A050CF" w:rsidRDefault="00145EF1" w:rsidP="00145EF1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 w:rsidRPr="00A050CF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COUPLE A LA 4</w:t>
                      </w:r>
                      <w:r w:rsidRPr="00A050CF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</w:rPr>
                        <w:t>ème</w:t>
                      </w:r>
                      <w:r w:rsidRPr="00A050CF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EDITION DE CARDIOTECH SENEGAL</w:t>
                      </w:r>
                    </w:p>
                    <w:p w14:paraId="1F5A5C06" w14:textId="77777777" w:rsidR="00145EF1" w:rsidRPr="001C0A7D" w:rsidRDefault="00145EF1" w:rsidP="00145EF1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Hôtel Radisson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Blu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de Dakar</w:t>
                      </w:r>
                      <w:r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11, 12 et 13 décembre 2023</w:t>
                      </w:r>
                    </w:p>
                    <w:p w14:paraId="49EFEDE1" w14:textId="094CA815" w:rsidR="00AF675A" w:rsidRPr="00CB07E6" w:rsidRDefault="00AF675A" w:rsidP="00E9716A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CF99D2" w14:textId="1185E33B" w:rsidR="0019542D" w:rsidRPr="00CB07E6" w:rsidRDefault="0019542D" w:rsidP="00F53A2E">
      <w:pPr>
        <w:spacing w:after="0" w:line="240" w:lineRule="auto"/>
        <w:ind w:left="912" w:firstLine="708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B07E6">
        <w:rPr>
          <w:rFonts w:ascii="Times New Roman" w:hAnsi="Times New Roman" w:cs="Times New Roman"/>
          <w:b/>
          <w:sz w:val="36"/>
          <w:szCs w:val="32"/>
        </w:rPr>
        <w:t>FICHE DE RESUME</w:t>
      </w:r>
    </w:p>
    <w:tbl>
      <w:tblPr>
        <w:tblW w:w="11624" w:type="dxa"/>
        <w:tblInd w:w="-856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590"/>
        <w:gridCol w:w="10034"/>
      </w:tblGrid>
      <w:tr w:rsidR="0019542D" w:rsidRPr="00742756" w14:paraId="14273244" w14:textId="77777777" w:rsidTr="00513202">
        <w:tc>
          <w:tcPr>
            <w:tcW w:w="1590" w:type="dxa"/>
          </w:tcPr>
          <w:p w14:paraId="394D058D" w14:textId="7C800829" w:rsidR="0019542D" w:rsidRPr="00B458E8" w:rsidRDefault="005F2D43" w:rsidP="005F2D43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TITRE</w:t>
            </w:r>
            <w:r w:rsidR="00CB07E6">
              <w:rPr>
                <w:rFonts w:ascii="Times New Roman" w:hAnsi="Times New Roman" w:cs="Times New Roman"/>
                <w:sz w:val="24"/>
              </w:rPr>
              <w:t xml:space="preserve"> (EN LETTRES CAPITALES)</w:t>
            </w:r>
          </w:p>
        </w:tc>
        <w:tc>
          <w:tcPr>
            <w:tcW w:w="10034" w:type="dxa"/>
          </w:tcPr>
          <w:p w14:paraId="5ADABA3A" w14:textId="4E27E100" w:rsidR="0019542D" w:rsidRPr="00C766E6" w:rsidRDefault="00C766E6" w:rsidP="008469C2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E6">
              <w:rPr>
                <w:rFonts w:ascii="Times New Roman" w:hAnsi="Times New Roman" w:cs="Times New Roman"/>
                <w:b/>
                <w:sz w:val="24"/>
                <w:szCs w:val="24"/>
              </w:rPr>
              <w:t>Profil des facteurs de risque cardiovasculaires</w:t>
            </w:r>
            <w:r w:rsidR="00846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et </w:t>
            </w:r>
            <w:r w:rsidR="008469C2" w:rsidRPr="00E7594D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facteurs associés à la mortalité</w:t>
            </w:r>
            <w:r w:rsidRPr="00E7594D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C766E6">
              <w:rPr>
                <w:rFonts w:ascii="Times New Roman" w:hAnsi="Times New Roman" w:cs="Times New Roman"/>
                <w:b/>
                <w:sz w:val="24"/>
                <w:szCs w:val="24"/>
              </w:rPr>
              <w:t>chez les patients infectés par le SARS-Cov2 admis au centre de traitement des épidémies de la région de Ziguinchor</w:t>
            </w:r>
          </w:p>
        </w:tc>
      </w:tr>
      <w:tr w:rsidR="00513202" w:rsidRPr="00FF744A" w14:paraId="35871DF1" w14:textId="77777777" w:rsidTr="00513202">
        <w:trPr>
          <w:trHeight w:val="437"/>
        </w:trPr>
        <w:tc>
          <w:tcPr>
            <w:tcW w:w="1590" w:type="dxa"/>
          </w:tcPr>
          <w:p w14:paraId="3EC02375" w14:textId="77777777" w:rsidR="00513202" w:rsidRPr="00B458E8" w:rsidRDefault="00513202" w:rsidP="00513202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10034" w:type="dxa"/>
          </w:tcPr>
          <w:p w14:paraId="6C1D27A7" w14:textId="3C9C883E" w:rsidR="00513202" w:rsidRPr="00FF744A" w:rsidRDefault="00C766E6" w:rsidP="00C766E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MBOUP</w:t>
            </w:r>
            <w:r w:rsidR="003809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Ndèye Salane</w:t>
            </w:r>
            <w:bookmarkStart w:id="0" w:name="_GoBack"/>
            <w:bookmarkEnd w:id="0"/>
            <w:r w:rsidR="00513202" w:rsidRPr="00FF7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Diallo</w:t>
            </w:r>
            <w:r w:rsidR="00FF7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13202" w:rsidRPr="00FF7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A Ndiaye, A Diatta</w:t>
            </w:r>
            <w:r w:rsidR="00FF744A" w:rsidRPr="00FF7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M Manga</w:t>
            </w:r>
            <w:r w:rsidR="00513202" w:rsidRPr="00FF7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13202" w:rsidRPr="00742756" w14:paraId="108F80EA" w14:textId="77777777" w:rsidTr="00513202">
        <w:tc>
          <w:tcPr>
            <w:tcW w:w="1590" w:type="dxa"/>
          </w:tcPr>
          <w:p w14:paraId="1B946C29" w14:textId="77777777" w:rsidR="00513202" w:rsidRPr="00B458E8" w:rsidRDefault="00513202" w:rsidP="00513202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10034" w:type="dxa"/>
          </w:tcPr>
          <w:p w14:paraId="280630EB" w14:textId="1B13CA51" w:rsidR="00513202" w:rsidRPr="00E9716A" w:rsidRDefault="00C766E6" w:rsidP="00513202">
            <w:pPr>
              <w:pStyle w:val="Sansinterligne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GB"/>
              </w:rPr>
              <w:t>Hôpital régional de Ziguinchor/Sénégal</w:t>
            </w:r>
          </w:p>
        </w:tc>
      </w:tr>
      <w:tr w:rsidR="00513202" w:rsidRPr="00742756" w14:paraId="317F8725" w14:textId="77777777" w:rsidTr="00513202">
        <w:trPr>
          <w:trHeight w:val="7982"/>
        </w:trPr>
        <w:tc>
          <w:tcPr>
            <w:tcW w:w="1590" w:type="dxa"/>
          </w:tcPr>
          <w:p w14:paraId="6C5146CE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14:paraId="051636B7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03DB0EB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9B9082E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A7B9A42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22D9D61B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9F79484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A09431A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0600A4B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F77D4E2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32EC2B0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03EF9296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8D74442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562618F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7A456CA8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46674B2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7997C0AE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DC7C241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037418F3" w14:textId="77777777" w:rsidR="00513202" w:rsidRPr="00B458E8" w:rsidRDefault="00513202" w:rsidP="00513202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4" w:type="dxa"/>
          </w:tcPr>
          <w:p w14:paraId="14212593" w14:textId="77777777" w:rsidR="00513202" w:rsidRPr="00145EF1" w:rsidRDefault="00513202" w:rsidP="005132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</w:rPr>
              <w:t>Introduction</w:t>
            </w:r>
          </w:p>
          <w:p w14:paraId="4E9E9BA1" w14:textId="3196366B" w:rsidR="00C766E6" w:rsidRPr="00145EF1" w:rsidRDefault="00015DD1" w:rsidP="00C766E6">
            <w:pPr>
              <w:spacing w:after="0" w:line="240" w:lineRule="auto"/>
              <w:rPr>
                <w:rFonts w:ascii="Times New Roman" w:hAnsi="Times New Roman" w:cs="Times New Roman"/>
                <w:strike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Les maladies cardiovasculaires</w:t>
            </w:r>
            <w:r w:rsidR="00E00670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ont été vite identifiées comme facteurs de gravité et mortalité associés à la covid-19 dans les toutes premières études réalisées en Asie et en Europe. En effet, ces</w:t>
            </w:r>
            <w:r w:rsidR="00E00670" w:rsidRPr="00145EF1">
              <w:rPr>
                <w:rFonts w:ascii="Arial" w:hAnsi="Arial" w:cs="Arial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="00E00670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deux affections ont de multiples interactions qui font l’objet de nombreuses études</w:t>
            </w:r>
            <w:r w:rsidR="00086A8E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14:paraId="35C5432F" w14:textId="5E0BEBC3" w:rsidR="00C766E6" w:rsidRPr="00145EF1" w:rsidRDefault="009E6CBC" w:rsidP="00C766E6">
            <w:pPr>
              <w:spacing w:after="0" w:line="240" w:lineRule="auto"/>
              <w:rPr>
                <w:rFonts w:ascii="Times New Roman" w:hAnsi="Times New Roman" w:cs="Times New Roman"/>
                <w:strike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Nous avons réalisé cette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étude</w:t>
            </w:r>
            <w:r w:rsidR="00CD3A4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au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centre de traitement des épidémies</w:t>
            </w:r>
            <w:r w:rsidR="00086A8E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(CTE)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de la région de Ziguinchor</w:t>
            </w:r>
            <w:r w:rsidR="00AF675A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avec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pour objectifs de déterminer  la prévalence </w:t>
            </w:r>
            <w:r w:rsidR="00CD3A4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et le profil 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des facteurs de risque cardio-vasculaires et leur impact sur l</w:t>
            </w:r>
            <w:r w:rsidR="00CD3A4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e pronostic</w:t>
            </w:r>
            <w:r w:rsidR="00086A8E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chez les patien</w:t>
            </w:r>
            <w:r w:rsidR="008B4C63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ts infectés par le SARS COV2.</w:t>
            </w:r>
          </w:p>
          <w:p w14:paraId="7FED2656" w14:textId="77777777" w:rsidR="00513202" w:rsidRPr="00145EF1" w:rsidRDefault="00513202" w:rsidP="005132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</w:rPr>
              <w:t>Patients et méthode</w:t>
            </w:r>
          </w:p>
          <w:p w14:paraId="78EF5381" w14:textId="6297CC8E" w:rsidR="00C766E6" w:rsidRPr="00145EF1" w:rsidRDefault="00C766E6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Il s’agit d’une étude transversale, descriptive et analytique menée au </w:t>
            </w:r>
            <w:r w:rsidR="00086A8E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CTE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de Ziguinchor sur une période de 15 mois. Ont été inclus tous les patients hospitalisés</w:t>
            </w:r>
            <w:r w:rsidR="00145EF1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au CTE</w:t>
            </w:r>
            <w:r w:rsidR="00CD3A4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pour Covid-19 confirmé par la PCR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. Les critères d’exclusion concernaient les patients chez qui le dossier médical était inexploitable.</w:t>
            </w:r>
          </w:p>
          <w:p w14:paraId="2D04E251" w14:textId="77777777" w:rsidR="00513202" w:rsidRPr="00145EF1" w:rsidRDefault="00513202" w:rsidP="005132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</w:rPr>
              <w:t>Résultats</w:t>
            </w:r>
          </w:p>
          <w:p w14:paraId="606537BF" w14:textId="4DB69985" w:rsidR="00C766E6" w:rsidRPr="00145EF1" w:rsidRDefault="00C766E6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Notre étude a porté sur 524 patients. La moyenne d’âge a été de 12,42 ans </w:t>
            </w:r>
            <w:r w:rsidR="008B4C63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avec des extrêmes </w:t>
            </w:r>
            <w:r w:rsidR="00086A8E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de 1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à 99 ans. On note une prédomina</w:t>
            </w:r>
            <w:r w:rsidR="008B4C63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nce masculine avec un sex ratio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à 1,22. </w:t>
            </w:r>
          </w:p>
          <w:p w14:paraId="149CB652" w14:textId="153A9A5D" w:rsidR="00C766E6" w:rsidRPr="00145EF1" w:rsidRDefault="00C766E6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Des facteurs de risque ont été répartis comme suit : 4% tabagique, 6% alcooliques, 19% diabétiques, 30% hypert</w:t>
            </w:r>
            <w:r w:rsidR="00086A8E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endus, 26% cardiopathes et 7% d’AVC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. Seul 1 de nos patients était obèse.</w:t>
            </w:r>
            <w:r w:rsidR="00CD3A4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Selon les formes cliniques, 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83% de nos patients étaient symptomatiques dont 48%  des cas simples et 35% des cas graves. Seul 17% étaient asymptomatiques.</w:t>
            </w:r>
          </w:p>
          <w:p w14:paraId="5B0B2887" w14:textId="77777777" w:rsidR="00C766E6" w:rsidRPr="00145EF1" w:rsidRDefault="00C766E6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Les signes cliniques les plus fréquents incluent : fièvre 56%, dyspnée 50%, toux 49%, vomissements 28%, diarrhée 27%, douleurs abdominales 26%, douleurs thoraciques 21%, polyarthralgies 21%, expectorations 21%, rhinorrhée 10%.</w:t>
            </w:r>
          </w:p>
          <w:p w14:paraId="561E9A7C" w14:textId="417B24E6" w:rsidR="00C766E6" w:rsidRPr="00145EF1" w:rsidRDefault="00CD3A4C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Au plan biologique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,</w:t>
            </w:r>
            <w:r w:rsidR="009572F9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nous avons retrouvé</w:t>
            </w:r>
            <w:r w:rsidR="008469C2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une anémie</w:t>
            </w:r>
            <w:r w:rsidR="00145EF1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(40%), une hyperleucocytose (52%), une leucopénie (6%), une thrombopénie (100%), une CRP positive (100%), une hyperglycémie (73%)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avec un taux d’HbA1C élevé (75%), une dyslipidémie (28%).</w:t>
            </w:r>
          </w:p>
          <w:p w14:paraId="0ACE9D5F" w14:textId="70987B29" w:rsidR="00E7594D" w:rsidRPr="00145EF1" w:rsidRDefault="00CD3A4C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La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TDM thoracique 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 été réalisée</w:t>
            </w:r>
            <w:r w:rsidR="00145EF1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="008469C2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chez 18 patients (3%)</w:t>
            </w:r>
            <w:r w:rsidR="00086A8E">
              <w:rPr>
                <w:rFonts w:ascii="Times New Roman" w:hAnsi="Times New Roman" w:cs="Times New Roman"/>
                <w:strike/>
                <w:color w:val="404040" w:themeColor="text1" w:themeTint="BF"/>
                <w:sz w:val="24"/>
                <w:szCs w:val="24"/>
              </w:rPr>
              <w:t xml:space="preserve">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objectivant une image en verre dépolie et un aspect de Crazy paving. 4 parmi eux ont une atteinte sévère de +50% du parenchyme pulmonaire dont 1 de +75% d’atteinte.</w:t>
            </w:r>
          </w:p>
          <w:p w14:paraId="3B8157D2" w14:textId="39BD1813" w:rsidR="00C766E6" w:rsidRPr="00145EF1" w:rsidRDefault="008469C2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La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durée moyenne 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d’hospitalisation était de 11,87 jours.</w:t>
            </w:r>
            <w:r w:rsidR="00086A8E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U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n traitement aussi bien symptomatique et spécifique incluant la correction des facteurs de risque cardiovasculaire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 été institué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</w:p>
          <w:p w14:paraId="6C12D599" w14:textId="265291B4" w:rsidR="00C766E6" w:rsidRPr="00145EF1" w:rsidRDefault="00C766E6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L’évolution a été favorable</w:t>
            </w:r>
            <w:r w:rsidR="00CC6F8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 : o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n note 75% de guérison et 23,1% de décès.</w:t>
            </w:r>
          </w:p>
          <w:p w14:paraId="6D6B4958" w14:textId="68D814DC" w:rsidR="008469C2" w:rsidRPr="00145EF1" w:rsidRDefault="008469C2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En analyse muti-variée, les facteurs significativement associés au décès étaient</w:t>
            </w:r>
            <w:r w:rsidR="00C87A7E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l’âge &gt; 60 ans</w:t>
            </w:r>
            <w:r w:rsidR="009572F9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="009572F9" w:rsidRPr="00145EF1">
              <w:rPr>
                <w:rFonts w:ascii="Times New Roman" w:hAnsi="Times New Roman" w:cs="Times New Roman"/>
                <w:color w:val="404040" w:themeColor="text1" w:themeTint="BF"/>
                <w:spacing w:val="2"/>
                <w:sz w:val="24"/>
                <w:szCs w:val="24"/>
                <w:shd w:val="clear" w:color="auto" w:fill="F2F2F2"/>
              </w:rPr>
              <w:t>(OR = 4.43; CI 95% [1.12-17.40])</w:t>
            </w:r>
            <w:r w:rsidR="00C87A7E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la survenue d’un syndrome confusionnel 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sym w:font="Symbol" w:char="F05B"/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OR = 7,01 ; IC à 95% (2,16 ; 22,67)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sym w:font="Symbol" w:char="F05D"/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p =0,001 et une hypoxémie ≤ 85%</w:t>
            </w:r>
            <w:r w:rsidR="00BF3470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 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sym w:font="Symbol" w:char="F05B"/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OR = 6,29 ; IC à 95% (1,09 ; 36,18) ; P =0,03)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sym w:font="Symbol" w:char="F05D"/>
            </w:r>
          </w:p>
          <w:p w14:paraId="36A568B3" w14:textId="77777777" w:rsidR="00513202" w:rsidRPr="00145EF1" w:rsidRDefault="00513202" w:rsidP="005132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  <w:szCs w:val="24"/>
              </w:rPr>
            </w:pPr>
            <w:r w:rsidRPr="00145EF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  <w:szCs w:val="24"/>
              </w:rPr>
              <w:t>CONCLUSION</w:t>
            </w:r>
          </w:p>
          <w:p w14:paraId="4B25E0D0" w14:textId="3F8D7A36" w:rsidR="00C766E6" w:rsidRPr="00145EF1" w:rsidRDefault="009572F9" w:rsidP="00C766E6">
            <w:pPr>
              <w:spacing w:after="0" w:line="240" w:lineRule="auto"/>
              <w:rPr>
                <w:rFonts w:ascii="Times New Roman" w:hAnsi="Times New Roman" w:cs="Times New Roman"/>
                <w:strike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Notre étude a retrouvé comme principaux facteurs de risque</w:t>
            </w:r>
            <w:r w:rsidR="00086A8E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cardiovasculair</w:t>
            </w:r>
            <w:r w:rsidR="0096568C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chez les patients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infectés par le sars-cov-2, </w:t>
            </w:r>
            <w:r w:rsidR="00086A8E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l’âge</w:t>
            </w:r>
            <w:r w:rsidR="0096568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</w:t>
            </w:r>
            <w:r w:rsidR="0096568C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&gt;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60 ans, l’HTA et le diabète parmi lesquels seul </w:t>
            </w:r>
            <w:r w:rsidR="0096568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l’âge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</w:t>
            </w:r>
            <w:r w:rsidR="0096568C" w:rsidRPr="00145EF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&gt; 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60 ans était associé à la mortalité. Les </w:t>
            </w:r>
            <w:r w:rsidR="0096568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mesures</w:t>
            </w:r>
            <w:r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de prévention et la vaccination doivent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 </w:t>
            </w:r>
            <w:r w:rsidR="0096568C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 xml:space="preserve">être fortement recommandées dans ce groupe à risque. </w:t>
            </w:r>
          </w:p>
          <w:p w14:paraId="19E64205" w14:textId="45B71734" w:rsidR="00513202" w:rsidRPr="00145EF1" w:rsidRDefault="00513202" w:rsidP="00C766E6">
            <w:pPr>
              <w:spacing w:after="0" w:line="240" w:lineRule="auto"/>
              <w:rPr>
                <w:rFonts w:ascii="Times New Roman" w:hAnsi="Times New Roman" w:cs="Times New Roman"/>
                <w:color w:val="404040" w:themeColor="text1" w:themeTint="BF"/>
                <w:sz w:val="24"/>
              </w:rPr>
            </w:pPr>
            <w:r w:rsidRPr="00145EF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4"/>
              </w:rPr>
              <w:t xml:space="preserve">Mots clés : </w:t>
            </w:r>
            <w:r w:rsidR="00C766E6" w:rsidRPr="00145EF1">
              <w:rPr>
                <w:rFonts w:ascii="Times New Roman" w:hAnsi="Times New Roman" w:cs="Times New Roman"/>
                <w:color w:val="404040" w:themeColor="text1" w:themeTint="BF"/>
                <w:sz w:val="24"/>
              </w:rPr>
              <w:t>Covid 19, Facteur de risque cardiovasculaire, Ziguinchor</w:t>
            </w:r>
          </w:p>
        </w:tc>
      </w:tr>
    </w:tbl>
    <w:p w14:paraId="7E2B1831" w14:textId="5863560D" w:rsidR="00F53A2E" w:rsidRDefault="00F53A2E" w:rsidP="00F53A2E">
      <w:pPr>
        <w:pStyle w:val="Sansinterligne"/>
        <w:rPr>
          <w:rFonts w:ascii="Times New Roman" w:hAnsi="Times New Roman" w:cs="Times New Roman"/>
          <w:sz w:val="24"/>
        </w:rPr>
      </w:pPr>
      <w:r w:rsidRPr="00C06EDB">
        <w:rPr>
          <w:rFonts w:ascii="Times New Roman" w:hAnsi="Times New Roman" w:cs="Times New Roman"/>
          <w:b/>
          <w:sz w:val="24"/>
        </w:rPr>
        <w:t>Envoyé par</w:t>
      </w:r>
      <w:r>
        <w:rPr>
          <w:rFonts w:ascii="Times New Roman" w:hAnsi="Times New Roman" w:cs="Times New Roman"/>
          <w:sz w:val="24"/>
        </w:rPr>
        <w:t xml:space="preserve"> : </w:t>
      </w:r>
      <w:r w:rsidR="00C766E6">
        <w:rPr>
          <w:rFonts w:ascii="Times New Roman" w:hAnsi="Times New Roman" w:cs="Times New Roman"/>
          <w:sz w:val="24"/>
        </w:rPr>
        <w:t>Mme Ndèye Salane MBOUP</w:t>
      </w:r>
    </w:p>
    <w:p w14:paraId="511ED070" w14:textId="6DBC80FC" w:rsidR="00360B2C" w:rsidRPr="00F06C5F" w:rsidRDefault="00F06C5F" w:rsidP="00F5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2E5828">
        <w:rPr>
          <w:rFonts w:ascii="Times New Roman" w:hAnsi="Times New Roman" w:cs="Times New Roman"/>
          <w:b/>
          <w:bCs/>
          <w:sz w:val="24"/>
        </w:rPr>
        <w:t>E-mail</w:t>
      </w:r>
      <w:r w:rsidR="00B34C5E" w:rsidRPr="00F06C5F">
        <w:rPr>
          <w:rFonts w:ascii="Times New Roman" w:hAnsi="Times New Roman" w:cs="Times New Roman"/>
          <w:sz w:val="24"/>
        </w:rPr>
        <w:t xml:space="preserve"> : </w:t>
      </w:r>
      <w:r w:rsidR="00C766E6">
        <w:rPr>
          <w:rFonts w:ascii="Times New Roman" w:hAnsi="Times New Roman" w:cs="Times New Roman"/>
          <w:sz w:val="24"/>
        </w:rPr>
        <w:t>nsalane4</w:t>
      </w:r>
      <w:r w:rsidRPr="00F06C5F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@gmail.com</w:t>
      </w:r>
    </w:p>
    <w:p w14:paraId="7040E536" w14:textId="77777777" w:rsidR="00CB07E6" w:rsidRPr="00F53A2E" w:rsidRDefault="00CB07E6" w:rsidP="00F5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</w:rPr>
      </w:pPr>
    </w:p>
    <w:sectPr w:rsidR="00CB07E6" w:rsidRPr="00F53A2E" w:rsidSect="00AF675A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2D"/>
    <w:rsid w:val="00015DD1"/>
    <w:rsid w:val="00086A8E"/>
    <w:rsid w:val="00125579"/>
    <w:rsid w:val="00145EF1"/>
    <w:rsid w:val="00173837"/>
    <w:rsid w:val="0019542D"/>
    <w:rsid w:val="0019724F"/>
    <w:rsid w:val="002E1412"/>
    <w:rsid w:val="002E5828"/>
    <w:rsid w:val="00360B2C"/>
    <w:rsid w:val="003809ED"/>
    <w:rsid w:val="003C0435"/>
    <w:rsid w:val="0043571C"/>
    <w:rsid w:val="00513202"/>
    <w:rsid w:val="00567145"/>
    <w:rsid w:val="005F2D43"/>
    <w:rsid w:val="006F04B8"/>
    <w:rsid w:val="006F77DC"/>
    <w:rsid w:val="007732F3"/>
    <w:rsid w:val="00826540"/>
    <w:rsid w:val="008469C2"/>
    <w:rsid w:val="008B4C63"/>
    <w:rsid w:val="009572F9"/>
    <w:rsid w:val="0096568C"/>
    <w:rsid w:val="009A6CFE"/>
    <w:rsid w:val="009E6CBC"/>
    <w:rsid w:val="00A00EDA"/>
    <w:rsid w:val="00A01D65"/>
    <w:rsid w:val="00AB2764"/>
    <w:rsid w:val="00AF675A"/>
    <w:rsid w:val="00B259EA"/>
    <w:rsid w:val="00B34C5E"/>
    <w:rsid w:val="00BF3470"/>
    <w:rsid w:val="00C46876"/>
    <w:rsid w:val="00C766E6"/>
    <w:rsid w:val="00C76C96"/>
    <w:rsid w:val="00C87A7E"/>
    <w:rsid w:val="00CB07E6"/>
    <w:rsid w:val="00CC442C"/>
    <w:rsid w:val="00CC6F86"/>
    <w:rsid w:val="00CD2700"/>
    <w:rsid w:val="00CD3A4C"/>
    <w:rsid w:val="00D7410D"/>
    <w:rsid w:val="00DA37B7"/>
    <w:rsid w:val="00E00670"/>
    <w:rsid w:val="00E50EB4"/>
    <w:rsid w:val="00E52B1B"/>
    <w:rsid w:val="00E7594D"/>
    <w:rsid w:val="00E9716A"/>
    <w:rsid w:val="00EB39E3"/>
    <w:rsid w:val="00F06C5F"/>
    <w:rsid w:val="00F53A2E"/>
    <w:rsid w:val="00FD1AC1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9694"/>
  <w15:chartTrackingRefBased/>
  <w15:docId w15:val="{A6F13FE7-B1CD-4C30-B972-1C4F45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Mounir DIA</dc:creator>
  <cp:keywords/>
  <dc:description/>
  <cp:lastModifiedBy>DELL</cp:lastModifiedBy>
  <cp:revision>59</cp:revision>
  <dcterms:created xsi:type="dcterms:W3CDTF">2023-01-29T12:56:00Z</dcterms:created>
  <dcterms:modified xsi:type="dcterms:W3CDTF">2023-11-12T20:50:00Z</dcterms:modified>
</cp:coreProperties>
</file>