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21" w:rsidRPr="00552727" w:rsidRDefault="009B2C6C" w:rsidP="0090017D">
      <w:pPr>
        <w:rPr>
          <w:rFonts w:ascii="Times New Roman" w:hAnsi="Times New Roman" w:cs="Times New Roman"/>
          <w:b/>
          <w:sz w:val="28"/>
          <w:szCs w:val="28"/>
        </w:rPr>
      </w:pPr>
      <w:r w:rsidRPr="00552727">
        <w:rPr>
          <w:rFonts w:ascii="Times New Roman" w:hAnsi="Times New Roman" w:cs="Times New Roman"/>
          <w:b/>
          <w:sz w:val="28"/>
          <w:szCs w:val="28"/>
        </w:rPr>
        <w:t xml:space="preserve">Titre : </w:t>
      </w:r>
      <w:r w:rsidR="0090017D" w:rsidRPr="00552727">
        <w:rPr>
          <w:rFonts w:ascii="Times New Roman" w:hAnsi="Times New Roman" w:cs="Times New Roman"/>
          <w:b/>
          <w:sz w:val="28"/>
          <w:szCs w:val="28"/>
        </w:rPr>
        <w:t xml:space="preserve">Etat </w:t>
      </w:r>
      <w:r w:rsidR="00A90B32" w:rsidRPr="00552727">
        <w:rPr>
          <w:rFonts w:ascii="Times New Roman" w:hAnsi="Times New Roman" w:cs="Times New Roman"/>
          <w:b/>
          <w:sz w:val="28"/>
          <w:szCs w:val="28"/>
        </w:rPr>
        <w:t>des lieux de</w:t>
      </w:r>
      <w:r w:rsidR="0090017D" w:rsidRPr="00552727">
        <w:rPr>
          <w:rFonts w:ascii="Times New Roman" w:hAnsi="Times New Roman" w:cs="Times New Roman"/>
          <w:b/>
          <w:sz w:val="28"/>
          <w:szCs w:val="28"/>
        </w:rPr>
        <w:t xml:space="preserve"> la prise en charge </w:t>
      </w:r>
      <w:r w:rsidR="00666921" w:rsidRPr="00552727">
        <w:rPr>
          <w:rFonts w:ascii="Times New Roman" w:hAnsi="Times New Roman" w:cs="Times New Roman"/>
          <w:b/>
          <w:sz w:val="28"/>
          <w:szCs w:val="28"/>
        </w:rPr>
        <w:t xml:space="preserve">des péricardites : étude </w:t>
      </w:r>
      <w:r w:rsidR="0090017D" w:rsidRPr="00552727">
        <w:rPr>
          <w:rFonts w:ascii="Times New Roman" w:hAnsi="Times New Roman" w:cs="Times New Roman"/>
          <w:b/>
          <w:sz w:val="28"/>
          <w:szCs w:val="28"/>
        </w:rPr>
        <w:t>rétrospective multicentrique à Dakar</w:t>
      </w:r>
    </w:p>
    <w:p w:rsidR="00917571" w:rsidRPr="00D20DCB" w:rsidRDefault="00917571" w:rsidP="009175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fr-SN"/>
        </w:rPr>
      </w:pPr>
      <w:r w:rsidRPr="00D20DCB">
        <w:rPr>
          <w:rFonts w:ascii="Times New Roman" w:hAnsi="Times New Roman" w:cs="Times New Roman"/>
          <w:b/>
          <w:sz w:val="28"/>
          <w:szCs w:val="28"/>
          <w:u w:val="single"/>
          <w:lang w:val="fr-SN"/>
        </w:rPr>
        <w:t>Aw Fatou</w:t>
      </w:r>
      <w:r w:rsidRPr="00D20DCB">
        <w:rPr>
          <w:rFonts w:ascii="Times New Roman" w:hAnsi="Times New Roman" w:cs="Times New Roman"/>
          <w:b/>
          <w:sz w:val="28"/>
          <w:szCs w:val="28"/>
          <w:u w:val="single"/>
          <w:vertAlign w:val="superscript"/>
          <w:lang w:val="fr-SN"/>
        </w:rPr>
        <w:t>1</w:t>
      </w:r>
      <w:r w:rsidRPr="00D20DCB">
        <w:rPr>
          <w:rFonts w:ascii="Times New Roman" w:hAnsi="Times New Roman" w:cs="Times New Roman"/>
          <w:b/>
          <w:sz w:val="28"/>
          <w:szCs w:val="28"/>
          <w:u w:val="single"/>
          <w:lang w:val="fr-SN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fr-SN"/>
        </w:rPr>
        <w:t xml:space="preserve"> Sar OT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1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, Diouf MT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fr-SN"/>
        </w:rPr>
        <w:t xml:space="preserve">, </w:t>
      </w:r>
      <w:proofErr w:type="spellStart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Ngaide</w:t>
      </w:r>
      <w:proofErr w:type="spellEnd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 AA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3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fr-SN"/>
        </w:rPr>
        <w:t xml:space="preserve"> </w:t>
      </w:r>
      <w:proofErr w:type="spellStart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Mingou</w:t>
      </w:r>
      <w:proofErr w:type="spellEnd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 JS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1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, </w:t>
      </w:r>
      <w:proofErr w:type="spellStart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Sarr</w:t>
      </w:r>
      <w:proofErr w:type="spellEnd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 SA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1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, </w:t>
      </w:r>
      <w:proofErr w:type="spellStart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Dioum</w:t>
      </w:r>
      <w:proofErr w:type="spellEnd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 M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4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, </w:t>
      </w:r>
      <w:proofErr w:type="spellStart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Beye</w:t>
      </w:r>
      <w:proofErr w:type="spellEnd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 SM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7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,  Manga S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5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, </w:t>
      </w:r>
      <w:proofErr w:type="spellStart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Affangla</w:t>
      </w:r>
      <w:proofErr w:type="spellEnd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 DA</w:t>
      </w:r>
      <w:r w:rsidRPr="008D59C0">
        <w:rPr>
          <w:rFonts w:ascii="Times New Roman" w:hAnsi="Times New Roman" w:cs="Times New Roman"/>
          <w:b/>
          <w:i/>
          <w:sz w:val="24"/>
          <w:szCs w:val="28"/>
          <w:vertAlign w:val="superscript"/>
          <w:lang w:val="fr-SN"/>
        </w:rPr>
        <w:t>6</w:t>
      </w:r>
      <w:r w:rsidRPr="008D59C0">
        <w:rPr>
          <w:rFonts w:ascii="Times New Roman" w:hAnsi="Times New Roman" w:cs="Times New Roman"/>
          <w:b/>
          <w:sz w:val="28"/>
          <w:szCs w:val="28"/>
          <w:lang w:val="fr-SN"/>
        </w:rPr>
        <w:t>,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 Diouf Y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1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, DIOP KH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1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, Bodian M</w:t>
      </w:r>
      <w:r w:rsidRPr="008D59C0">
        <w:rPr>
          <w:rFonts w:ascii="Times New Roman" w:hAnsi="Times New Roman" w:cs="Times New Roman"/>
          <w:b/>
          <w:i/>
          <w:sz w:val="24"/>
          <w:szCs w:val="28"/>
          <w:vertAlign w:val="superscript"/>
          <w:lang w:val="fr-SN"/>
        </w:rPr>
        <w:t>1</w:t>
      </w:r>
      <w:r w:rsidRPr="008D59C0">
        <w:rPr>
          <w:rFonts w:ascii="Times New Roman" w:hAnsi="Times New Roman" w:cs="Times New Roman"/>
          <w:b/>
          <w:sz w:val="28"/>
          <w:szCs w:val="28"/>
          <w:lang w:val="fr-SN"/>
        </w:rPr>
        <w:t>,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 </w:t>
      </w:r>
      <w:proofErr w:type="spellStart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Leye</w:t>
      </w:r>
      <w:proofErr w:type="spellEnd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 MMCBO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softHyphen/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6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, Ndiaye MB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1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, Mbaye A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3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, Kane Ad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7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, </w:t>
      </w:r>
      <w:proofErr w:type="spellStart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Diao</w:t>
      </w:r>
      <w:proofErr w:type="spellEnd"/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 xml:space="preserve"> M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1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, Kane A</w:t>
      </w:r>
      <w:r w:rsidRPr="00D20DCB">
        <w:rPr>
          <w:rFonts w:ascii="Times New Roman" w:hAnsi="Times New Roman" w:cs="Times New Roman"/>
          <w:b/>
          <w:sz w:val="28"/>
          <w:szCs w:val="28"/>
          <w:vertAlign w:val="superscript"/>
          <w:lang w:val="fr-SN"/>
        </w:rPr>
        <w:t>4</w:t>
      </w:r>
      <w:r w:rsidRPr="00D20DCB">
        <w:rPr>
          <w:rFonts w:ascii="Times New Roman" w:hAnsi="Times New Roman" w:cs="Times New Roman"/>
          <w:b/>
          <w:sz w:val="28"/>
          <w:szCs w:val="28"/>
          <w:lang w:val="fr-SN"/>
        </w:rPr>
        <w:t>.</w:t>
      </w:r>
    </w:p>
    <w:p w:rsidR="00917571" w:rsidRPr="00D20DCB" w:rsidRDefault="00917571" w:rsidP="009175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fr-SN"/>
        </w:rPr>
      </w:pPr>
    </w:p>
    <w:p w:rsidR="00917571" w:rsidRPr="00D20DCB" w:rsidRDefault="00917571" w:rsidP="0091757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8"/>
          <w:lang w:val="fr-SN"/>
        </w:rPr>
      </w:pPr>
      <w:r w:rsidRPr="00D20DCB">
        <w:rPr>
          <w:rFonts w:ascii="Times New Roman" w:hAnsi="Times New Roman" w:cs="Times New Roman"/>
          <w:b/>
          <w:i/>
          <w:sz w:val="24"/>
          <w:szCs w:val="28"/>
          <w:vertAlign w:val="superscript"/>
          <w:lang w:val="fr-SN"/>
        </w:rPr>
        <w:t>1</w:t>
      </w:r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CHU  Aristide le </w:t>
      </w:r>
      <w:proofErr w:type="spellStart"/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>Dantec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8"/>
          <w:vertAlign w:val="superscript"/>
          <w:lang w:val="fr-SN"/>
        </w:rPr>
        <w:t>2</w:t>
      </w:r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Hopital </w:t>
      </w:r>
      <w:proofErr w:type="spellStart"/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>Dalal</w:t>
      </w:r>
      <w:proofErr w:type="spellEnd"/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 </w:t>
      </w:r>
      <w:proofErr w:type="spellStart"/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>Jamm</w:t>
      </w:r>
      <w:proofErr w:type="spellEnd"/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, </w:t>
      </w:r>
      <w:r w:rsidRPr="00D20DCB">
        <w:rPr>
          <w:rFonts w:ascii="Times New Roman" w:hAnsi="Times New Roman" w:cs="Times New Roman"/>
          <w:b/>
          <w:i/>
          <w:sz w:val="24"/>
          <w:szCs w:val="28"/>
          <w:vertAlign w:val="superscript"/>
          <w:lang w:val="fr-SN"/>
        </w:rPr>
        <w:t>3</w:t>
      </w:r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Hopital général Idrissa </w:t>
      </w:r>
      <w:proofErr w:type="spellStart"/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>Pouye</w:t>
      </w:r>
      <w:proofErr w:type="spellEnd"/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8"/>
          <w:vertAlign w:val="superscript"/>
          <w:lang w:val="fr-SN"/>
        </w:rPr>
        <w:t>4</w:t>
      </w:r>
      <w:r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CHNU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  <w:lang w:val="fr-SN"/>
        </w:rPr>
        <w:t>Fann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  <w:lang w:val="fr-SN"/>
        </w:rPr>
        <w:t>,</w:t>
      </w:r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 </w:t>
      </w:r>
      <w:r w:rsidRPr="00D20DCB">
        <w:rPr>
          <w:rFonts w:ascii="Times New Roman" w:hAnsi="Times New Roman" w:cs="Times New Roman"/>
          <w:b/>
          <w:i/>
          <w:sz w:val="24"/>
          <w:szCs w:val="28"/>
          <w:vertAlign w:val="superscript"/>
          <w:lang w:val="fr-SN"/>
        </w:rPr>
        <w:t>5</w:t>
      </w:r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Ufr de  Ziguinchor, </w:t>
      </w:r>
      <w:r w:rsidRPr="00D20DCB">
        <w:rPr>
          <w:rFonts w:ascii="Times New Roman" w:hAnsi="Times New Roman" w:cs="Times New Roman"/>
          <w:b/>
          <w:i/>
          <w:sz w:val="24"/>
          <w:szCs w:val="28"/>
          <w:vertAlign w:val="superscript"/>
          <w:lang w:val="fr-SN"/>
        </w:rPr>
        <w:t>6</w:t>
      </w:r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UFR de </w:t>
      </w:r>
      <w:proofErr w:type="spellStart"/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>Thies</w:t>
      </w:r>
      <w:proofErr w:type="spellEnd"/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 xml:space="preserve">, </w:t>
      </w:r>
      <w:r w:rsidRPr="00D20DCB">
        <w:rPr>
          <w:rFonts w:ascii="Times New Roman" w:hAnsi="Times New Roman" w:cs="Times New Roman"/>
          <w:b/>
          <w:i/>
          <w:sz w:val="24"/>
          <w:szCs w:val="28"/>
          <w:vertAlign w:val="superscript"/>
          <w:lang w:val="fr-SN"/>
        </w:rPr>
        <w:t>7</w:t>
      </w:r>
      <w:r w:rsidRPr="00D20DCB">
        <w:rPr>
          <w:rFonts w:ascii="Times New Roman" w:hAnsi="Times New Roman" w:cs="Times New Roman"/>
          <w:b/>
          <w:i/>
          <w:sz w:val="24"/>
          <w:szCs w:val="28"/>
          <w:lang w:val="fr-SN"/>
        </w:rPr>
        <w:t>UFR de Saint Louis</w:t>
      </w:r>
    </w:p>
    <w:p w:rsidR="00917571" w:rsidRPr="004F45F0" w:rsidRDefault="00917571" w:rsidP="00917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7571" w:rsidRPr="004F45F0" w:rsidRDefault="00917571" w:rsidP="009175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17571" w:rsidRPr="004F45F0" w:rsidRDefault="00917571" w:rsidP="00917571">
      <w:pPr>
        <w:spacing w:after="0"/>
        <w:rPr>
          <w:b/>
          <w:lang w:val="en-US"/>
        </w:rPr>
      </w:pPr>
      <w:r w:rsidRPr="004F45F0">
        <w:rPr>
          <w:b/>
          <w:lang w:val="en-US"/>
        </w:rPr>
        <w:t xml:space="preserve">Corresponding author: Aw </w:t>
      </w:r>
      <w:proofErr w:type="spellStart"/>
      <w:r w:rsidRPr="004F45F0">
        <w:rPr>
          <w:b/>
          <w:lang w:val="en-US"/>
        </w:rPr>
        <w:t>Fatou</w:t>
      </w:r>
      <w:proofErr w:type="spellEnd"/>
      <w:r w:rsidRPr="004F45F0">
        <w:rPr>
          <w:b/>
          <w:lang w:val="en-US"/>
        </w:rPr>
        <w:t xml:space="preserve"> (MD, MSc,): </w:t>
      </w:r>
      <w:hyperlink r:id="rId4" w:history="1">
        <w:r w:rsidRPr="004F45F0">
          <w:rPr>
            <w:rStyle w:val="Lienhypertexte"/>
            <w:b/>
            <w:lang w:val="en-US"/>
          </w:rPr>
          <w:t>fatoukineaw@yahoo.fr</w:t>
        </w:r>
      </w:hyperlink>
    </w:p>
    <w:p w:rsidR="00917571" w:rsidRPr="004F45F0" w:rsidRDefault="00917571" w:rsidP="00917571">
      <w:pPr>
        <w:rPr>
          <w:b/>
          <w:lang w:val="en-US"/>
        </w:rPr>
      </w:pPr>
      <w:r w:rsidRPr="004F45F0">
        <w:rPr>
          <w:b/>
          <w:lang w:val="en-US"/>
        </w:rPr>
        <w:t xml:space="preserve">Tel 00221774220035 Dakar Senegal </w:t>
      </w:r>
    </w:p>
    <w:p w:rsidR="00666921" w:rsidRDefault="00666921" w:rsidP="00666921">
      <w:pPr>
        <w:jc w:val="both"/>
      </w:pPr>
      <w:bookmarkStart w:id="0" w:name="_GoBack"/>
      <w:bookmarkEnd w:id="0"/>
    </w:p>
    <w:p w:rsidR="00666921" w:rsidRPr="00666921" w:rsidRDefault="00666921" w:rsidP="00666921">
      <w:pPr>
        <w:jc w:val="both"/>
        <w:rPr>
          <w:b/>
          <w:u w:val="single"/>
        </w:rPr>
      </w:pPr>
      <w:r w:rsidRPr="00666921">
        <w:rPr>
          <w:b/>
          <w:u w:val="single"/>
        </w:rPr>
        <w:t xml:space="preserve">Introduction </w:t>
      </w:r>
    </w:p>
    <w:p w:rsidR="00666921" w:rsidRDefault="00666921" w:rsidP="00666921">
      <w:pPr>
        <w:jc w:val="both"/>
      </w:pPr>
      <w:r>
        <w:t>La péricardite est une inflammation des feuillets du pér</w:t>
      </w:r>
      <w:r>
        <w:t xml:space="preserve">icarde. Elle peut être aigue ou </w:t>
      </w:r>
      <w:r>
        <w:t>chronique, avec ou sans épanchement péricardique.</w:t>
      </w:r>
      <w:r w:rsidR="00EF7BB6">
        <w:t xml:space="preserve"> </w:t>
      </w:r>
      <w:r w:rsidR="00EF7BB6">
        <w:t>Elles présentent toutefois un grand polymo</w:t>
      </w:r>
      <w:r w:rsidR="00EF7BB6">
        <w:t>rphisme clinique. Cependant le diagnostic étiologique reste le principal défi  nécessitant souvent une approche  multidisciplinaire.  L’objectif principal de ce travail était de faire une mise à jour des connaissances sur les principales causes dans notre service de cardiologie.</w:t>
      </w:r>
    </w:p>
    <w:p w:rsidR="00666921" w:rsidRPr="00EF7BB6" w:rsidRDefault="00666921" w:rsidP="00666921">
      <w:pPr>
        <w:jc w:val="both"/>
        <w:rPr>
          <w:u w:val="single"/>
        </w:rPr>
      </w:pPr>
      <w:r w:rsidRPr="00EF7BB6">
        <w:rPr>
          <w:b/>
          <w:u w:val="single"/>
        </w:rPr>
        <w:t>Matériels et méthode :</w:t>
      </w:r>
    </w:p>
    <w:p w:rsidR="00666921" w:rsidRDefault="00666921" w:rsidP="00666921">
      <w:pPr>
        <w:jc w:val="both"/>
      </w:pPr>
      <w:r>
        <w:t xml:space="preserve"> Il s’agit d’une étude rétrospective, multicentriq</w:t>
      </w:r>
      <w:r>
        <w:t xml:space="preserve">ue, descriptive et analytique, </w:t>
      </w:r>
      <w:r>
        <w:t>sur 6ans déroulée du 1er Janvier 2016 au 31 Décembre 2022, à Dakar, dans</w:t>
      </w:r>
      <w:r>
        <w:t xml:space="preserve"> les services de Cardiologie de </w:t>
      </w:r>
      <w:r>
        <w:t xml:space="preserve">l’Hôpital Aristide le </w:t>
      </w:r>
      <w:proofErr w:type="spellStart"/>
      <w:r>
        <w:t>Dantec</w:t>
      </w:r>
      <w:proofErr w:type="spellEnd"/>
      <w:r>
        <w:t xml:space="preserve">, du Centre Hospitalier National </w:t>
      </w:r>
      <w:proofErr w:type="spellStart"/>
      <w:r>
        <w:t>Dalal</w:t>
      </w:r>
      <w:proofErr w:type="spellEnd"/>
      <w:r>
        <w:t xml:space="preserve"> </w:t>
      </w:r>
      <w:proofErr w:type="spellStart"/>
      <w:r>
        <w:t>Jamm</w:t>
      </w:r>
      <w:proofErr w:type="spellEnd"/>
      <w:r>
        <w:t xml:space="preserve"> </w:t>
      </w:r>
      <w:r>
        <w:t xml:space="preserve">et de l’Hôpital Général Idrissa </w:t>
      </w:r>
      <w:proofErr w:type="spellStart"/>
      <w:r>
        <w:t>Pouye</w:t>
      </w:r>
      <w:proofErr w:type="spellEnd"/>
      <w:r>
        <w:t>.</w:t>
      </w:r>
    </w:p>
    <w:p w:rsidR="00666921" w:rsidRDefault="00666921" w:rsidP="00666921">
      <w:pPr>
        <w:jc w:val="both"/>
      </w:pPr>
      <w:r w:rsidRPr="00666921">
        <w:rPr>
          <w:b/>
          <w:u w:val="single"/>
        </w:rPr>
        <w:t>Résultats :</w:t>
      </w:r>
      <w:r>
        <w:t xml:space="preserve"> </w:t>
      </w:r>
    </w:p>
    <w:p w:rsidR="00666921" w:rsidRDefault="009B2C6C" w:rsidP="00EE035E">
      <w:pPr>
        <w:jc w:val="both"/>
      </w:pPr>
      <w:r>
        <w:t xml:space="preserve">Durant la période </w:t>
      </w:r>
      <w:r w:rsidR="00666921">
        <w:t xml:space="preserve"> 100 dossiers de patients</w:t>
      </w:r>
      <w:r>
        <w:t xml:space="preserve"> répondaient aux critères d’inclusion</w:t>
      </w:r>
      <w:r w:rsidR="00666921">
        <w:t>, soit un taux d’ho</w:t>
      </w:r>
      <w:r w:rsidR="00666921">
        <w:t xml:space="preserve">spitalisation pour péricardites </w:t>
      </w:r>
      <w:r w:rsidR="00666921">
        <w:t xml:space="preserve">de 0,75%. </w:t>
      </w:r>
      <w:r w:rsidR="004D4682">
        <w:t xml:space="preserve">Le </w:t>
      </w:r>
      <w:proofErr w:type="spellStart"/>
      <w:r w:rsidR="004D4682">
        <w:t>sex</w:t>
      </w:r>
      <w:proofErr w:type="spellEnd"/>
      <w:r w:rsidR="004D4682">
        <w:t xml:space="preserve"> ratio était à 1 soit autant d’homme que de femme. </w:t>
      </w:r>
      <w:r w:rsidR="00666921">
        <w:t>L</w:t>
      </w:r>
      <w:r w:rsidR="004D4682">
        <w:t>’</w:t>
      </w:r>
      <w:r w:rsidR="004D4682">
        <w:t>âge</w:t>
      </w:r>
      <w:r w:rsidR="004D4682">
        <w:t xml:space="preserve"> a moyen de </w:t>
      </w:r>
      <w:r w:rsidR="00666921">
        <w:t xml:space="preserve">était de 40,73 </w:t>
      </w:r>
      <w:r w:rsidR="0051203D">
        <w:rPr>
          <w:rFonts w:cstheme="minorHAnsi"/>
        </w:rPr>
        <w:t>±</w:t>
      </w:r>
      <w:r w:rsidR="0051203D">
        <w:t>17,74.</w:t>
      </w:r>
      <w:r w:rsidR="0051203D">
        <w:t xml:space="preserve">ans  </w:t>
      </w:r>
      <w:r w:rsidR="0051203D">
        <w:t xml:space="preserve">On notait deux tranches d’âge prédominantes : celle des patients âgés de 20 à 30 ans et celle des patients âgés de plus de </w:t>
      </w:r>
      <w:r w:rsidR="0051203D">
        <w:t>60ans respectivement  35%  et  21% des cas</w:t>
      </w:r>
      <w:r w:rsidR="00666921">
        <w:t>. Les signes fonctionnels étaient dom</w:t>
      </w:r>
      <w:r w:rsidR="00666921">
        <w:t xml:space="preserve">inés par la dyspnée (78%) et la </w:t>
      </w:r>
      <w:r w:rsidR="00666921">
        <w:t>douleur thoracique (69%). Le principal signe physique était la tachycard</w:t>
      </w:r>
      <w:r w:rsidR="00666921">
        <w:t xml:space="preserve">ie auscultatoire (68,4%) et une </w:t>
      </w:r>
      <w:r w:rsidR="00666921">
        <w:t>tamponnade était retrouvée dans 10 cas (10%). Le syndrome infl</w:t>
      </w:r>
      <w:r w:rsidR="00666921">
        <w:t xml:space="preserve">ammatoire biologique était très </w:t>
      </w:r>
      <w:r w:rsidR="00666921">
        <w:t>fréquent (88,9%). L’électrocardiogramme révélait une tachycardie sinu</w:t>
      </w:r>
      <w:r w:rsidR="00666921">
        <w:t xml:space="preserve">sale dans 48% des cas et un bas </w:t>
      </w:r>
      <w:r w:rsidR="00666921">
        <w:t>voltage électrique dans 40% des cas. On notait également des troub</w:t>
      </w:r>
      <w:r w:rsidR="00666921">
        <w:t xml:space="preserve">les de la repolarisation à type </w:t>
      </w:r>
      <w:r w:rsidR="00666921">
        <w:t>d’ondes T négatives à une fréquence de 40%. A la radiographie thorac</w:t>
      </w:r>
      <w:r w:rsidR="00666921">
        <w:t xml:space="preserve">ique de face, une cardiomégalie </w:t>
      </w:r>
      <w:r w:rsidR="00666921">
        <w:t xml:space="preserve">était notée </w:t>
      </w:r>
      <w:r>
        <w:t xml:space="preserve">dans </w:t>
      </w:r>
      <w:r w:rsidR="00666921">
        <w:t>60%. L’échocardiographie montr</w:t>
      </w:r>
      <w:r w:rsidR="00666921">
        <w:t xml:space="preserve">ait un épanchement chez 95% des </w:t>
      </w:r>
      <w:r w:rsidR="00666921">
        <w:t>patients ; il était de grande abondance dans 83,2% des cas. Une compres</w:t>
      </w:r>
      <w:r w:rsidR="00666921">
        <w:t xml:space="preserve">sion des cavités droites et une </w:t>
      </w:r>
      <w:r w:rsidR="00666921">
        <w:t>présence de fibrine, étaient notées respectivement dans 62,1</w:t>
      </w:r>
      <w:r w:rsidR="00666921">
        <w:t xml:space="preserve">0% et 40% des cas. Une ponction </w:t>
      </w:r>
      <w:r w:rsidR="00666921">
        <w:t>péricardique d’évacuation et d’exploration a été réalisée chez 77 patie</w:t>
      </w:r>
      <w:r w:rsidR="00666921">
        <w:t xml:space="preserve">nts avec un taux de réussite de </w:t>
      </w:r>
      <w:r w:rsidR="00666921">
        <w:t>97,4%. Le liquide de ponction péricardique était exsudatif dans 59 c</w:t>
      </w:r>
      <w:r w:rsidR="00666921">
        <w:t xml:space="preserve">as sur 62 recherches effectuées </w:t>
      </w:r>
      <w:r w:rsidR="00666921">
        <w:t xml:space="preserve">(95,2%). L’aspect était </w:t>
      </w:r>
      <w:proofErr w:type="spellStart"/>
      <w:r w:rsidR="00666921">
        <w:t>sérohématique</w:t>
      </w:r>
      <w:proofErr w:type="spellEnd"/>
      <w:r w:rsidR="00666921">
        <w:t xml:space="preserve"> dans 57,9% des cas, jaune citrin dans 27,</w:t>
      </w:r>
      <w:r w:rsidR="00666921">
        <w:t xml:space="preserve">6% et purulent dans </w:t>
      </w:r>
      <w:r w:rsidR="00666921">
        <w:t xml:space="preserve">2,6% des cas. L’étiologie était </w:t>
      </w:r>
      <w:r w:rsidR="00EF7BB6">
        <w:t>d’origine</w:t>
      </w:r>
      <w:r>
        <w:t xml:space="preserve"> tuberculeuse (21%)</w:t>
      </w:r>
      <w:r w:rsidR="00EE035E">
        <w:t xml:space="preserve">, </w:t>
      </w:r>
      <w:r w:rsidR="00EE035E">
        <w:t xml:space="preserve">néoplasique </w:t>
      </w:r>
      <w:r w:rsidR="00EE035E">
        <w:t xml:space="preserve"> et maladie de système (</w:t>
      </w:r>
      <w:r w:rsidR="00EE035E">
        <w:t>9%</w:t>
      </w:r>
      <w:r w:rsidR="00EE035E">
        <w:t>), urémique</w:t>
      </w:r>
      <w:r w:rsidR="00EE035E">
        <w:t xml:space="preserve"> </w:t>
      </w:r>
      <w:r w:rsidR="00EE035E">
        <w:t>(</w:t>
      </w:r>
      <w:r w:rsidR="00EE035E">
        <w:t>6%</w:t>
      </w:r>
      <w:r w:rsidR="00EE035E">
        <w:t xml:space="preserve">). </w:t>
      </w:r>
      <w:r w:rsidR="00EE035E">
        <w:t>L’origine virale étai</w:t>
      </w:r>
      <w:r w:rsidR="00EE035E">
        <w:t xml:space="preserve">t </w:t>
      </w:r>
      <w:r w:rsidR="00EE035E">
        <w:lastRenderedPageBreak/>
        <w:t xml:space="preserve">retrouvée dans 4%. </w:t>
      </w:r>
      <w:r w:rsidR="00EE035E">
        <w:t xml:space="preserve"> </w:t>
      </w:r>
      <w:r w:rsidR="00EE035E">
        <w:t>Dans</w:t>
      </w:r>
      <w:r w:rsidR="00EE035E">
        <w:t xml:space="preserve"> 38%</w:t>
      </w:r>
      <w:r w:rsidR="00EE035E">
        <w:t xml:space="preserve"> nous n’avons pas retrouvée d’étiologie. </w:t>
      </w:r>
      <w:r w:rsidR="00666921">
        <w:t>L’évolution était</w:t>
      </w:r>
      <w:r w:rsidR="00666921">
        <w:t xml:space="preserve"> favorable </w:t>
      </w:r>
      <w:r w:rsidR="00EF7BB6">
        <w:t xml:space="preserve"> à court terme </w:t>
      </w:r>
      <w:r w:rsidR="00666921">
        <w:t xml:space="preserve">dans 70% des cas. La </w:t>
      </w:r>
      <w:r w:rsidR="00EF7BB6">
        <w:t>mortalité était de 5%.</w:t>
      </w:r>
    </w:p>
    <w:p w:rsidR="00666921" w:rsidRPr="00666921" w:rsidRDefault="00666921" w:rsidP="00666921">
      <w:pPr>
        <w:jc w:val="both"/>
        <w:rPr>
          <w:b/>
          <w:u w:val="single"/>
        </w:rPr>
      </w:pPr>
      <w:r w:rsidRPr="00666921">
        <w:rPr>
          <w:b/>
          <w:u w:val="single"/>
        </w:rPr>
        <w:t>Conclusion :</w:t>
      </w:r>
    </w:p>
    <w:p w:rsidR="00247301" w:rsidRDefault="00666921" w:rsidP="00666921">
      <w:pPr>
        <w:jc w:val="both"/>
      </w:pPr>
      <w:r>
        <w:t>La fréquence des péricardites est relativement basse par</w:t>
      </w:r>
      <w:r>
        <w:t xml:space="preserve"> rapport aux autres pathologies </w:t>
      </w:r>
      <w:r w:rsidR="00EF7BB6">
        <w:t>cardiovasculaires</w:t>
      </w:r>
      <w:r>
        <w:t xml:space="preserve">. Dans nos régions la </w:t>
      </w:r>
      <w:r>
        <w:t>tuberculose reste l’étiologie prédominante, surtout au sein de la pop</w:t>
      </w:r>
      <w:r>
        <w:t xml:space="preserve">ulation jeune. </w:t>
      </w:r>
      <w:proofErr w:type="gramStart"/>
      <w:r>
        <w:t>La</w:t>
      </w:r>
      <w:proofErr w:type="gramEnd"/>
      <w:r>
        <w:t xml:space="preserve"> néoplasie est aussi </w:t>
      </w:r>
      <w:r>
        <w:t>une cause assez souvent retrouvée chez les patients âgés.</w:t>
      </w:r>
    </w:p>
    <w:p w:rsidR="007E583C" w:rsidRDefault="007E583C" w:rsidP="00666921">
      <w:pPr>
        <w:jc w:val="both"/>
      </w:pPr>
      <w:r w:rsidRPr="007E583C">
        <w:rPr>
          <w:b/>
        </w:rPr>
        <w:t>Mots-clés</w:t>
      </w:r>
      <w:r w:rsidRPr="007E583C">
        <w:t xml:space="preserve"> </w:t>
      </w:r>
      <w:r>
        <w:t xml:space="preserve">Péricardite ;  </w:t>
      </w:r>
      <w:r>
        <w:t>Tamponnade</w:t>
      </w:r>
      <w:r>
        <w:t xml:space="preserve">, tuberculose, </w:t>
      </w:r>
      <w:r w:rsidR="0072179A">
        <w:t>néoplasie</w:t>
      </w:r>
      <w:r>
        <w:t>, Dakar</w:t>
      </w:r>
    </w:p>
    <w:p w:rsidR="00AC27F7" w:rsidRDefault="00AC27F7" w:rsidP="00666921">
      <w:pPr>
        <w:jc w:val="both"/>
      </w:pPr>
    </w:p>
    <w:p w:rsidR="00AC27F7" w:rsidRDefault="00AC27F7" w:rsidP="00666921">
      <w:pPr>
        <w:jc w:val="both"/>
      </w:pPr>
    </w:p>
    <w:sectPr w:rsidR="00AC2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21"/>
    <w:rsid w:val="00247301"/>
    <w:rsid w:val="00284B9A"/>
    <w:rsid w:val="00406692"/>
    <w:rsid w:val="004D4682"/>
    <w:rsid w:val="0051203D"/>
    <w:rsid w:val="00552727"/>
    <w:rsid w:val="00666921"/>
    <w:rsid w:val="0072179A"/>
    <w:rsid w:val="007E583C"/>
    <w:rsid w:val="0090017D"/>
    <w:rsid w:val="00917571"/>
    <w:rsid w:val="00954C08"/>
    <w:rsid w:val="009B2C6C"/>
    <w:rsid w:val="009C3944"/>
    <w:rsid w:val="00A0264B"/>
    <w:rsid w:val="00A90B32"/>
    <w:rsid w:val="00AC27F7"/>
    <w:rsid w:val="00D53927"/>
    <w:rsid w:val="00EE035E"/>
    <w:rsid w:val="00E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ACE8E-7E5F-4C17-A768-457A253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7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toukineaw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19</cp:revision>
  <dcterms:created xsi:type="dcterms:W3CDTF">2023-09-14T13:23:00Z</dcterms:created>
  <dcterms:modified xsi:type="dcterms:W3CDTF">2023-09-14T15:30:00Z</dcterms:modified>
</cp:coreProperties>
</file>