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42" w:rsidRDefault="004C4242" w:rsidP="0041301A">
      <w:pPr>
        <w:spacing w:after="0"/>
        <w:jc w:val="both"/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</w:pPr>
    </w:p>
    <w:p w:rsidR="006A5FD4" w:rsidRDefault="006A5FD4" w:rsidP="0041301A">
      <w:pPr>
        <w:spacing w:after="0"/>
        <w:jc w:val="both"/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</w:pPr>
    </w:p>
    <w:p w:rsidR="00855430" w:rsidRDefault="00855430" w:rsidP="0041301A">
      <w:pPr>
        <w:spacing w:after="0"/>
        <w:jc w:val="both"/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  <w:t>Angioplastie des occlusions coronaires chroniques</w:t>
      </w:r>
      <w:r w:rsidR="00ED6D12"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  <w:t xml:space="preserve"> (CTO)</w:t>
      </w:r>
      <w:r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  <w:t xml:space="preserve"> à l’Hôpital General Idrissa Pouye de Dakar : à propos de 10 cas. </w:t>
      </w:r>
    </w:p>
    <w:p w:rsidR="00AC4728" w:rsidRDefault="00AC4728" w:rsidP="0041301A">
      <w:pPr>
        <w:spacing w:after="0"/>
        <w:jc w:val="both"/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</w:pPr>
    </w:p>
    <w:p w:rsidR="00494BE8" w:rsidRDefault="00494BE8" w:rsidP="006A5FD4">
      <w:pPr>
        <w:jc w:val="both"/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</w:pPr>
      <w:r w:rsidRPr="00494BE8"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  <w:u w:val="single"/>
        </w:rPr>
        <w:t xml:space="preserve">AUTEURS </w:t>
      </w:r>
      <w:r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  <w:t>:</w:t>
      </w:r>
      <w:r w:rsidRPr="00494BE8"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 xml:space="preserve"> </w:t>
      </w:r>
      <w:r w:rsidRPr="0055555D"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  <w:t>Papa Guirane NDIAYE</w:t>
      </w:r>
      <w:r w:rsidRPr="00494BE8"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 xml:space="preserve"> ; M. Gazal ; S. Niang ; P. Abadassi ; M. Haris ; A. Mbaye ; </w:t>
      </w:r>
      <w:r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 xml:space="preserve">J.M Clerc ; </w:t>
      </w:r>
      <w:r w:rsidRPr="00494BE8"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 xml:space="preserve">B. Diack.   </w:t>
      </w:r>
    </w:p>
    <w:p w:rsidR="00855430" w:rsidRDefault="004C4242" w:rsidP="004C4242">
      <w:pPr>
        <w:jc w:val="both"/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</w:pPr>
      <w:r w:rsidRPr="004C4242"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  <w:u w:val="single"/>
        </w:rPr>
        <w:t>RESUME</w:t>
      </w:r>
      <w:r w:rsidR="00855430"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</w:rPr>
        <w:t xml:space="preserve"> : </w:t>
      </w:r>
    </w:p>
    <w:p w:rsidR="00855430" w:rsidRPr="00AC4728" w:rsidRDefault="00326820" w:rsidP="0041301A">
      <w:pPr>
        <w:spacing w:after="0"/>
        <w:jc w:val="both"/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  <w:u w:val="single"/>
        </w:rPr>
      </w:pPr>
      <w:r w:rsidRPr="00AC4728"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  <w:u w:val="single"/>
        </w:rPr>
        <w:t>INTRODUCTION</w:t>
      </w:r>
      <w:r w:rsidR="00855430" w:rsidRPr="00AC4728">
        <w:rPr>
          <w:rFonts w:ascii="Times New Roman" w:eastAsia="Yu Gothic UI Semibold" w:hAnsi="Times New Roman" w:cs="Times New Roman"/>
          <w:b/>
          <w:color w:val="000000" w:themeColor="text1"/>
          <w:sz w:val="24"/>
          <w:szCs w:val="24"/>
          <w:u w:val="single"/>
        </w:rPr>
        <w:t xml:space="preserve"> : </w:t>
      </w:r>
    </w:p>
    <w:p w:rsidR="00326820" w:rsidRDefault="00855430" w:rsidP="006A5FD4">
      <w:pPr>
        <w:jc w:val="both"/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</w:pPr>
      <w:r w:rsidRPr="00855430"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 xml:space="preserve">Le traitement des </w:t>
      </w:r>
      <w:r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>occlusions coronaires chroniques a toujours été un sujet de controverse. Avec l’explosion de l’activité de la coronarographie, le nombre</w:t>
      </w:r>
      <w:r w:rsidR="00326820"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 xml:space="preserve"> de cas ne cesse d’augmenter et cette activité est devenue un critère d’excellence des centres de cardiologie interventionnelle. L’</w:t>
      </w:r>
      <w:r w:rsidR="006578CD"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>objectif de cette</w:t>
      </w:r>
      <w:r w:rsidR="00A06770"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 xml:space="preserve"> étude était</w:t>
      </w:r>
      <w:r w:rsidR="00326820">
        <w:rPr>
          <w:rFonts w:ascii="Times New Roman" w:eastAsia="Yu Gothic UI Semibold" w:hAnsi="Times New Roman" w:cs="Times New Roman"/>
          <w:color w:val="000000" w:themeColor="text1"/>
          <w:sz w:val="24"/>
          <w:szCs w:val="24"/>
        </w:rPr>
        <w:t xml:space="preserve"> d’évaluer cette activité qui a commencé récemment au Sénégal devenant un vrai chalenge. </w:t>
      </w:r>
    </w:p>
    <w:p w:rsidR="00AC4728" w:rsidRDefault="00326820" w:rsidP="00AC4728">
      <w:pPr>
        <w:tabs>
          <w:tab w:val="left" w:pos="189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A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METHODOLOGIE :</w:t>
      </w:r>
      <w:r w:rsidRPr="0092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26820" w:rsidRDefault="00326820" w:rsidP="00326820">
      <w:pPr>
        <w:tabs>
          <w:tab w:val="left" w:pos="189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A12">
        <w:rPr>
          <w:rFonts w:ascii="Times New Roman" w:hAnsi="Times New Roman" w:cs="Times New Roman"/>
          <w:color w:val="000000" w:themeColor="text1"/>
          <w:sz w:val="24"/>
          <w:szCs w:val="24"/>
        </w:rPr>
        <w:t>Nous avons mené une étude rétrospective et descriptive du 1</w:t>
      </w:r>
      <w:r w:rsidRPr="00920A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juin 2022 au 01 juin 2023</w:t>
      </w:r>
      <w:r w:rsidR="00A067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incluant</w:t>
      </w:r>
      <w:r w:rsidRPr="00920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tous les patients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ayant une occlusion coronaire chronique et traité par angioplastie.</w:t>
      </w:r>
    </w:p>
    <w:p w:rsidR="00B31044" w:rsidRPr="00920A12" w:rsidRDefault="00B31044" w:rsidP="00AC4728">
      <w:pPr>
        <w:tabs>
          <w:tab w:val="left" w:pos="1896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2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RESULTATS :</w:t>
      </w:r>
    </w:p>
    <w:p w:rsidR="0038792B" w:rsidRDefault="00B31044" w:rsidP="00B31044">
      <w:pPr>
        <w:tabs>
          <w:tab w:val="left" w:pos="189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Dix patients ont été inclus dans cette étude avec un </w:t>
      </w:r>
      <w:r w:rsidR="00AC4728">
        <w:rPr>
          <w:rFonts w:ascii="Times New Roman" w:hAnsi="Times New Roman" w:cs="Times New Roman"/>
          <w:color w:val="000000" w:themeColor="text1"/>
          <w:sz w:val="24"/>
          <w:szCs w:val="24"/>
        </w:rPr>
        <w:t>âge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moyen de 64 ans et une </w:t>
      </w:r>
      <w:r w:rsidR="00AC4728">
        <w:rPr>
          <w:rFonts w:ascii="Times New Roman" w:hAnsi="Times New Roman" w:cs="Times New Roman"/>
          <w:color w:val="000000" w:themeColor="text1"/>
          <w:sz w:val="24"/>
          <w:szCs w:val="24"/>
        </w:rPr>
        <w:t>prédominance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masculine (70%).</w:t>
      </w:r>
      <w:r w:rsidR="00AC4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4728" w:rsidRPr="00AC4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 facteurs de risque étaient dominés par 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>l’âge (60</w:t>
      </w:r>
      <w:r w:rsidR="006E029D" w:rsidRPr="00AC472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>), l’hypertension artérielle (60</w:t>
      </w:r>
      <w:r w:rsidR="006E029D" w:rsidRPr="00AC472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>), la dyslipidémie (60</w:t>
      </w:r>
      <w:r w:rsidR="00AC4728" w:rsidRPr="00AC472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>) et le diabète (40</w:t>
      </w:r>
      <w:r w:rsidR="00AC4728" w:rsidRPr="00AC4728">
        <w:rPr>
          <w:rFonts w:ascii="Times New Roman" w:hAnsi="Times New Roman" w:cs="Times New Roman"/>
          <w:color w:val="000000" w:themeColor="text1"/>
          <w:sz w:val="24"/>
          <w:szCs w:val="24"/>
        </w:rPr>
        <w:t>%).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56D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A06770">
        <w:rPr>
          <w:rFonts w:ascii="Times New Roman" w:hAnsi="Times New Roman" w:cs="Times New Roman"/>
          <w:color w:val="000000" w:themeColor="text1"/>
          <w:sz w:val="24"/>
          <w:szCs w:val="24"/>
        </w:rPr>
        <w:t>occlusion chronique était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56D6">
        <w:rPr>
          <w:rFonts w:ascii="Times New Roman" w:hAnsi="Times New Roman" w:cs="Times New Roman"/>
          <w:color w:val="000000" w:themeColor="text1"/>
          <w:sz w:val="24"/>
          <w:szCs w:val="24"/>
        </w:rPr>
        <w:t>découverte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5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surtout </w:t>
      </w:r>
      <w:r w:rsidR="006E02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dans un </w:t>
      </w:r>
      <w:r w:rsidR="002D5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contexte de syndrome coronarien chronique dans 50% des cas. Les patients étaient surtout tri-tronculaires (50%). La coronaire droite était </w:t>
      </w:r>
      <w:r w:rsidR="00A47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plus </w:t>
      </w:r>
      <w:r w:rsidR="00ED6D12">
        <w:rPr>
          <w:rFonts w:ascii="Times New Roman" w:hAnsi="Times New Roman" w:cs="Times New Roman"/>
          <w:color w:val="000000" w:themeColor="text1"/>
          <w:sz w:val="24"/>
          <w:szCs w:val="24"/>
        </w:rPr>
        <w:t>touch</w:t>
      </w:r>
      <w:r w:rsidR="00A47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ée </w:t>
      </w:r>
      <w:r w:rsidR="00E14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D5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80%). L’occlusion était </w:t>
      </w:r>
      <w:r w:rsidR="00ED6D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observée </w:t>
      </w:r>
      <w:r w:rsidR="002D5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 artère native dans 90% </w:t>
      </w:r>
      <w:r w:rsidR="00E14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 cas. </w:t>
      </w:r>
      <w:r w:rsidR="00A06770">
        <w:rPr>
          <w:rFonts w:ascii="Times New Roman" w:hAnsi="Times New Roman" w:cs="Times New Roman"/>
          <w:color w:val="000000" w:themeColor="text1"/>
          <w:sz w:val="24"/>
          <w:szCs w:val="24"/>
        </w:rPr>
        <w:t>Elle</w:t>
      </w:r>
      <w:r w:rsidR="00E14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était surtout longue (60%), calcifiée (30%), tortueuse (60%), avec des collatérales (100%) et une reprise</w:t>
      </w:r>
      <w:r w:rsidR="00A067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 était </w:t>
      </w:r>
      <w:r w:rsidR="00E14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RENTROP 3 dans 60% des cas. </w:t>
      </w:r>
      <w:r w:rsidR="005F6983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E14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technique d’angioplastie était </w:t>
      </w:r>
      <w:r w:rsidR="005F6983">
        <w:rPr>
          <w:rFonts w:ascii="Times New Roman" w:hAnsi="Times New Roman" w:cs="Times New Roman"/>
          <w:color w:val="000000" w:themeColor="text1"/>
          <w:sz w:val="24"/>
          <w:szCs w:val="24"/>
        </w:rPr>
        <w:t>surtout par voie antéro</w:t>
      </w:r>
      <w:r w:rsidR="00E14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grade </w:t>
      </w:r>
      <w:r w:rsidR="005F69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14086">
        <w:rPr>
          <w:rFonts w:ascii="Times New Roman" w:hAnsi="Times New Roman" w:cs="Times New Roman"/>
          <w:color w:val="000000" w:themeColor="text1"/>
          <w:sz w:val="24"/>
          <w:szCs w:val="24"/>
        </w:rPr>
        <w:t>90%</w:t>
      </w:r>
      <w:r w:rsidR="005F6983">
        <w:rPr>
          <w:rFonts w:ascii="Times New Roman" w:hAnsi="Times New Roman" w:cs="Times New Roman"/>
          <w:color w:val="000000" w:themeColor="text1"/>
          <w:sz w:val="24"/>
          <w:szCs w:val="24"/>
        </w:rPr>
        <w:t>) et l’abord était principalement</w:t>
      </w:r>
      <w:r w:rsidR="00E14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radial</w:t>
      </w:r>
      <w:r w:rsidR="005F6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avec 50% de mono </w:t>
      </w:r>
      <w:r w:rsidR="00C316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abord </w:t>
      </w:r>
      <w:r w:rsidR="005F6983">
        <w:rPr>
          <w:rFonts w:ascii="Times New Roman" w:hAnsi="Times New Roman" w:cs="Times New Roman"/>
          <w:color w:val="000000" w:themeColor="text1"/>
          <w:sz w:val="24"/>
          <w:szCs w:val="24"/>
        </w:rPr>
        <w:t>et de double abord respectivement. La dur</w:t>
      </w:r>
      <w:r w:rsidR="00A067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ée moyenne de franchissement de l’occlusion était </w:t>
      </w:r>
      <w:r w:rsidR="005F69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37 min. </w:t>
      </w:r>
      <w:r w:rsidR="00A47E56">
        <w:rPr>
          <w:rFonts w:ascii="Times New Roman" w:hAnsi="Times New Roman" w:cs="Times New Roman"/>
          <w:color w:val="000000" w:themeColor="text1"/>
          <w:sz w:val="24"/>
          <w:szCs w:val="24"/>
        </w:rPr>
        <w:t>Le guide de franchissement était dans 80% un guide de CTO (Gaie 20%, Filder 30% et Gladius 30%). Un microcatheter était utilisé pour le franchissement dans 90% des cas (Caravel 10%, Corsair 20% et Mamba flex 60%). L’évolution était favorable dans la plupart des cas. Deux complications ont été notées en perprocédure, il s’agit d’un cas de dissection coronaire</w:t>
      </w:r>
      <w:r w:rsidR="00387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traité </w:t>
      </w:r>
      <w:r w:rsidR="00A47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d’un cas </w:t>
      </w:r>
      <w:r w:rsidR="00387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fibrillation ventriculaire récupéré après choc électrique externe. </w:t>
      </w:r>
    </w:p>
    <w:p w:rsidR="00AC4728" w:rsidRPr="0038792B" w:rsidRDefault="0038792B" w:rsidP="00116391">
      <w:pPr>
        <w:tabs>
          <w:tab w:val="left" w:pos="1896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879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 : </w:t>
      </w:r>
    </w:p>
    <w:p w:rsidR="008B7B13" w:rsidRDefault="00ED6D12" w:rsidP="00B31044">
      <w:pPr>
        <w:tabs>
          <w:tab w:val="left" w:pos="1896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Cette étude nous démontre que l’angioplastie des occlusions </w:t>
      </w:r>
      <w:r w:rsidR="004278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coronaires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chroniques est devenue une réalité</w:t>
      </w:r>
      <w:r w:rsidR="008B7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 Sénégal et en Afrique sub-saharienne. </w:t>
      </w:r>
      <w:r w:rsidR="008020A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B7B13">
        <w:rPr>
          <w:rFonts w:ascii="Times New Roman" w:hAnsi="Times New Roman" w:cs="Times New Roman"/>
          <w:color w:val="000000" w:themeColor="text1"/>
          <w:sz w:val="24"/>
          <w:szCs w:val="24"/>
        </w:rPr>
        <w:t>a vulgarisation</w:t>
      </w:r>
      <w:r w:rsidR="00802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devient une nécessité</w:t>
      </w:r>
      <w:r w:rsidR="008B7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 vu du nombre de cas qui ne cesse pas d’augmenter.</w:t>
      </w:r>
    </w:p>
    <w:p w:rsidR="0041301A" w:rsidRPr="00920A12" w:rsidRDefault="0041301A" w:rsidP="0041301A">
      <w:pPr>
        <w:spacing w:before="24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A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MOTS CLES :</w:t>
      </w:r>
    </w:p>
    <w:p w:rsidR="0041301A" w:rsidRDefault="008020AA" w:rsidP="00413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Angioplastie ; Occlusion coronaire chronique</w:t>
      </w:r>
      <w:r w:rsidR="0041301A" w:rsidRPr="00920A12">
        <w:rPr>
          <w:rFonts w:ascii="Times New Roman" w:hAnsi="Times New Roman" w:cs="Times New Roman"/>
          <w:color w:val="000000" w:themeColor="text1"/>
          <w:sz w:val="24"/>
          <w:szCs w:val="24"/>
        </w:rPr>
        <w:t> ; Dakar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FD4" w:rsidRDefault="006A5FD4" w:rsidP="00413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5FD4" w:rsidRPr="000468CC" w:rsidRDefault="006A5FD4" w:rsidP="00413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6A5FD4" w:rsidRPr="00046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2C" w:rsidRDefault="0064632C" w:rsidP="008B7B13">
      <w:pPr>
        <w:spacing w:after="0" w:line="240" w:lineRule="auto"/>
      </w:pPr>
      <w:r>
        <w:separator/>
      </w:r>
    </w:p>
  </w:endnote>
  <w:endnote w:type="continuationSeparator" w:id="0">
    <w:p w:rsidR="0064632C" w:rsidRDefault="0064632C" w:rsidP="008B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2C" w:rsidRDefault="0064632C" w:rsidP="008B7B13">
      <w:pPr>
        <w:spacing w:after="0" w:line="240" w:lineRule="auto"/>
      </w:pPr>
      <w:r>
        <w:separator/>
      </w:r>
    </w:p>
  </w:footnote>
  <w:footnote w:type="continuationSeparator" w:id="0">
    <w:p w:rsidR="0064632C" w:rsidRDefault="0064632C" w:rsidP="008B7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1A"/>
    <w:rsid w:val="00116391"/>
    <w:rsid w:val="002D56D6"/>
    <w:rsid w:val="00326820"/>
    <w:rsid w:val="0038792B"/>
    <w:rsid w:val="0041301A"/>
    <w:rsid w:val="0042786B"/>
    <w:rsid w:val="00494BE8"/>
    <w:rsid w:val="004C4242"/>
    <w:rsid w:val="00514D23"/>
    <w:rsid w:val="0055555D"/>
    <w:rsid w:val="005F6983"/>
    <w:rsid w:val="0064632C"/>
    <w:rsid w:val="006578CD"/>
    <w:rsid w:val="006A5FD4"/>
    <w:rsid w:val="006E029D"/>
    <w:rsid w:val="007D696A"/>
    <w:rsid w:val="008020AA"/>
    <w:rsid w:val="00855430"/>
    <w:rsid w:val="008B7B13"/>
    <w:rsid w:val="00A06770"/>
    <w:rsid w:val="00A47E56"/>
    <w:rsid w:val="00AC4728"/>
    <w:rsid w:val="00B31044"/>
    <w:rsid w:val="00C203C5"/>
    <w:rsid w:val="00C31644"/>
    <w:rsid w:val="00E14086"/>
    <w:rsid w:val="00EB133D"/>
    <w:rsid w:val="00ED6D12"/>
    <w:rsid w:val="00F22BD8"/>
    <w:rsid w:val="00F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2971A-D764-4BBF-ABC4-412DCBF6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01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7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B13"/>
  </w:style>
  <w:style w:type="paragraph" w:styleId="Pieddepage">
    <w:name w:val="footer"/>
    <w:basedOn w:val="Normal"/>
    <w:link w:val="PieddepageCar"/>
    <w:uiPriority w:val="99"/>
    <w:unhideWhenUsed/>
    <w:rsid w:val="008B7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2023-10-29T12:41:00Z</dcterms:created>
  <dcterms:modified xsi:type="dcterms:W3CDTF">2023-10-31T12:18:00Z</dcterms:modified>
</cp:coreProperties>
</file>