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DF0A" w14:textId="3388247D" w:rsidR="00F92A4F" w:rsidRDefault="00FB1F6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rPr>
          <w:rFonts w:ascii="Times New Roman" w:hAnsi="Times New Roman" w:cs="Times New Roman"/>
          <w:b/>
          <w:bCs/>
        </w:rPr>
      </w:pPr>
      <w:r w:rsidRPr="00CF6441">
        <w:rPr>
          <w:rFonts w:ascii="Times New Roman" w:hAnsi="Times New Roman" w:cs="Times New Roman"/>
          <w:b/>
          <w:i/>
          <w:color w:val="000000"/>
        </w:rPr>
        <w:t>TITRE</w:t>
      </w:r>
      <w:r w:rsidRPr="00CF6441">
        <w:rPr>
          <w:rFonts w:ascii="Times New Roman" w:hAnsi="Times New Roman" w:cs="Times New Roman"/>
          <w:color w:val="000000"/>
        </w:rPr>
        <w:t xml:space="preserve"> : </w:t>
      </w:r>
      <w:r>
        <w:rPr>
          <w:rFonts w:ascii="Times New Roman" w:hAnsi="Times New Roman" w:cs="Times New Roman"/>
          <w:b/>
          <w:bCs/>
        </w:rPr>
        <w:t>L’HTA SECONDAIRE, L’ACROMEGALIE, UNE DES CAUSES A SURVEILLER</w:t>
      </w:r>
    </w:p>
    <w:p w14:paraId="1C654A1E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rPr>
          <w:rFonts w:ascii="Times New Roman" w:hAnsi="Times New Roman" w:cs="Times New Roman"/>
          <w:b/>
          <w:bCs/>
        </w:rPr>
      </w:pPr>
    </w:p>
    <w:p w14:paraId="74D91F50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83393D">
        <w:rPr>
          <w:rFonts w:ascii="Times New Roman" w:hAnsi="Times New Roman" w:cs="Times New Roman"/>
          <w:color w:val="000000" w:themeColor="text1"/>
        </w:rPr>
        <w:t>Boundia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Djiba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Diédhiou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Demba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Ndour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Michel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Assane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Sow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Djiby</w:t>
      </w:r>
      <w:proofErr w:type="spellEnd"/>
      <w:proofErr w:type="gramStart"/>
      <w:r w:rsidRPr="0083393D">
        <w:rPr>
          <w:rFonts w:ascii="Times New Roman" w:hAnsi="Times New Roman" w:cs="Times New Roman"/>
          <w:color w:val="000000" w:themeColor="text1"/>
        </w:rPr>
        <w:t>, ,</w:t>
      </w:r>
      <w:proofErr w:type="gramEnd"/>
      <w:r w:rsidRPr="0083393D">
        <w:rPr>
          <w:rFonts w:ascii="Times New Roman" w:hAnsi="Times New Roman" w:cs="Times New Roman"/>
          <w:color w:val="000000" w:themeColor="text1"/>
        </w:rPr>
        <w:t xml:space="preserve"> , Dieng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Mouhamed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, Diallo Ibrahima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Mané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Halim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Charle</w:t>
      </w:r>
      <w:r>
        <w:rPr>
          <w:rFonts w:ascii="Times New Roman" w:hAnsi="Times New Roman" w:cs="Times New Roman"/>
          <w:color w:val="000000" w:themeColor="text1"/>
        </w:rPr>
        <w:t>s</w:t>
      </w:r>
      <w:r w:rsidRPr="0083393D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Matar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Ndiaye,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Boun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Khatab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Diouf,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Sarr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Anna,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Ndour</w:t>
      </w:r>
      <w:proofErr w:type="spellEnd"/>
      <w:r w:rsidRPr="0083393D">
        <w:rPr>
          <w:rFonts w:ascii="Times New Roman" w:hAnsi="Times New Roman" w:cs="Times New Roman"/>
          <w:color w:val="000000" w:themeColor="text1"/>
        </w:rPr>
        <w:t xml:space="preserve"> Mbaye </w:t>
      </w:r>
      <w:proofErr w:type="spellStart"/>
      <w:r w:rsidRPr="0083393D">
        <w:rPr>
          <w:rFonts w:ascii="Times New Roman" w:hAnsi="Times New Roman" w:cs="Times New Roman"/>
          <w:color w:val="000000" w:themeColor="text1"/>
        </w:rPr>
        <w:t>Maimouna</w:t>
      </w:r>
      <w:proofErr w:type="spellEnd"/>
    </w:p>
    <w:p w14:paraId="489325AA" w14:textId="77777777" w:rsidR="00F92A4F" w:rsidRPr="005D579D" w:rsidRDefault="00F92A4F" w:rsidP="00F92A4F">
      <w:pPr>
        <w:spacing w:line="360" w:lineRule="auto"/>
        <w:ind w:left="-39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4472C4" w:themeColor="accent1"/>
        </w:rPr>
        <w:t xml:space="preserve">Auteur principal : </w:t>
      </w:r>
      <w:proofErr w:type="spellStart"/>
      <w:r>
        <w:rPr>
          <w:rFonts w:ascii="Times New Roman" w:hAnsi="Times New Roman" w:cs="Times New Roman"/>
          <w:color w:val="4472C4" w:themeColor="accent1"/>
        </w:rPr>
        <w:t>Boundia</w:t>
      </w:r>
      <w:proofErr w:type="spellEnd"/>
      <w:r>
        <w:rPr>
          <w:rFonts w:ascii="Times New Roman" w:hAnsi="Times New Roman" w:cs="Times New Roman"/>
          <w:color w:val="4472C4" w:themeColor="accent1"/>
        </w:rPr>
        <w:t xml:space="preserve"> DJIBA, enseignant-chercheur, </w:t>
      </w:r>
      <w:hyperlink r:id="rId4" w:history="1">
        <w:r w:rsidRPr="00A177C2">
          <w:rPr>
            <w:rStyle w:val="Lienhypertexte"/>
            <w:rFonts w:ascii="Times New Roman" w:hAnsi="Times New Roman" w:cs="Times New Roman"/>
          </w:rPr>
          <w:t>boundiadjiba@yahoo.fr</w:t>
        </w:r>
      </w:hyperlink>
      <w:r>
        <w:rPr>
          <w:rFonts w:ascii="Times New Roman" w:hAnsi="Times New Roman" w:cs="Times New Roman"/>
          <w:color w:val="4472C4" w:themeColor="accent1"/>
        </w:rPr>
        <w:t>, Service de médecine Interne, CHAN, Dakar- Sénégal</w:t>
      </w:r>
    </w:p>
    <w:p w14:paraId="5018D049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rPr>
          <w:rFonts w:ascii="Times New Roman" w:hAnsi="Times New Roman" w:cs="Times New Roman"/>
          <w:b/>
          <w:bCs/>
        </w:rPr>
      </w:pPr>
    </w:p>
    <w:p w14:paraId="62FB5F14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4004AF">
        <w:rPr>
          <w:rFonts w:ascii="Times New Roman" w:hAnsi="Times New Roman" w:cs="Times New Roman"/>
          <w:b/>
          <w:bCs/>
        </w:rPr>
        <w:t>Introduction </w:t>
      </w:r>
      <w:r>
        <w:rPr>
          <w:rFonts w:ascii="Times New Roman" w:hAnsi="Times New Roman" w:cs="Times New Roman"/>
        </w:rPr>
        <w:t xml:space="preserve">: L’HTA secondaire pose un réel problème diagnostic et thérapeutique, l’acromégalie qui est une affection </w:t>
      </w:r>
      <w:proofErr w:type="spellStart"/>
      <w:r>
        <w:rPr>
          <w:rFonts w:ascii="Times New Roman" w:hAnsi="Times New Roman" w:cs="Times New Roman"/>
        </w:rPr>
        <w:t>endocrrinienne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médico-chirurrgicale</w:t>
      </w:r>
      <w:proofErr w:type="spellEnd"/>
      <w:r>
        <w:rPr>
          <w:rFonts w:ascii="Times New Roman" w:hAnsi="Times New Roman" w:cs="Times New Roman"/>
        </w:rPr>
        <w:t xml:space="preserve"> en est une des causes</w:t>
      </w:r>
      <w:r w:rsidRPr="004004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L’</w:t>
      </w:r>
      <w:r w:rsidRPr="004004AF">
        <w:rPr>
          <w:rFonts w:ascii="Times New Roman" w:hAnsi="Times New Roman" w:cs="Times New Roman"/>
        </w:rPr>
        <w:t>objectif</w:t>
      </w:r>
      <w:r>
        <w:rPr>
          <w:rFonts w:ascii="Times New Roman" w:hAnsi="Times New Roman" w:cs="Times New Roman"/>
        </w:rPr>
        <w:t xml:space="preserve"> était </w:t>
      </w:r>
      <w:r w:rsidRPr="004004AF">
        <w:rPr>
          <w:rFonts w:ascii="Times New Roman" w:hAnsi="Times New Roman" w:cs="Times New Roman"/>
        </w:rPr>
        <w:t xml:space="preserve">de déterminer la prévalence des facteurs de risque </w:t>
      </w:r>
      <w:r>
        <w:rPr>
          <w:rFonts w:ascii="Times New Roman" w:hAnsi="Times New Roman" w:cs="Times New Roman"/>
        </w:rPr>
        <w:t xml:space="preserve">cardiovasculaire chez </w:t>
      </w:r>
      <w:r w:rsidRPr="004004AF">
        <w:rPr>
          <w:rFonts w:ascii="Times New Roman" w:hAnsi="Times New Roman" w:cs="Times New Roman"/>
        </w:rPr>
        <w:t>des diabétiques de type 2.</w:t>
      </w:r>
    </w:p>
    <w:p w14:paraId="607B64F2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4004AF">
        <w:rPr>
          <w:rFonts w:ascii="Times New Roman" w:hAnsi="Times New Roman" w:cs="Times New Roman"/>
          <w:b/>
          <w:bCs/>
        </w:rPr>
        <w:t>Méthodologie </w:t>
      </w:r>
      <w:r>
        <w:rPr>
          <w:rFonts w:ascii="Times New Roman" w:hAnsi="Times New Roman" w:cs="Times New Roman"/>
        </w:rPr>
        <w:t xml:space="preserve">: </w:t>
      </w:r>
      <w:r w:rsidRPr="0083393D">
        <w:rPr>
          <w:rFonts w:ascii="Times New Roman" w:eastAsia="Times New Roman" w:hAnsi="Times New Roman" w:cs="Times New Roman"/>
          <w:color w:val="000000" w:themeColor="text1"/>
        </w:rPr>
        <w:t>Il s’agissait d’une étude multicentrique, rétrospective, descriptive, réalisée du 1</w:t>
      </w:r>
      <w:r w:rsidRPr="0083393D">
        <w:rPr>
          <w:rFonts w:ascii="Times New Roman" w:eastAsia="Times New Roman" w:hAnsi="Times New Roman" w:cs="Times New Roman"/>
          <w:color w:val="000000" w:themeColor="text1"/>
          <w:vertAlign w:val="superscript"/>
        </w:rPr>
        <w:t xml:space="preserve">er </w:t>
      </w:r>
      <w:r w:rsidRPr="0083393D">
        <w:rPr>
          <w:rFonts w:ascii="Times New Roman" w:eastAsia="Times New Roman" w:hAnsi="Times New Roman" w:cs="Times New Roman"/>
          <w:color w:val="000000" w:themeColor="text1"/>
        </w:rPr>
        <w:t xml:space="preserve">Janvier 2008 au 31 Décembre 2022 aux services de neurochirurgie de l’hôpital </w:t>
      </w:r>
      <w:proofErr w:type="spellStart"/>
      <w:r w:rsidRPr="0083393D">
        <w:rPr>
          <w:rFonts w:ascii="Times New Roman" w:eastAsia="Times New Roman" w:hAnsi="Times New Roman" w:cs="Times New Roman"/>
          <w:color w:val="000000" w:themeColor="text1"/>
        </w:rPr>
        <w:t>Fann</w:t>
      </w:r>
      <w:proofErr w:type="spellEnd"/>
      <w:r w:rsidRPr="0083393D">
        <w:rPr>
          <w:rFonts w:ascii="Times New Roman" w:eastAsia="Times New Roman" w:hAnsi="Times New Roman" w:cs="Times New Roman"/>
          <w:color w:val="000000" w:themeColor="text1"/>
        </w:rPr>
        <w:t xml:space="preserve"> et de l’hôpital Principal et au département d’endocrinologie du centre hospitalier </w:t>
      </w:r>
      <w:proofErr w:type="spellStart"/>
      <w:r w:rsidRPr="0083393D">
        <w:rPr>
          <w:rFonts w:ascii="Times New Roman" w:eastAsia="Times New Roman" w:hAnsi="Times New Roman" w:cs="Times New Roman"/>
          <w:color w:val="000000" w:themeColor="text1"/>
        </w:rPr>
        <w:t>Abass</w:t>
      </w:r>
      <w:proofErr w:type="spellEnd"/>
      <w:r w:rsidRPr="008339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3393D">
        <w:rPr>
          <w:rFonts w:ascii="Times New Roman" w:eastAsia="Times New Roman" w:hAnsi="Times New Roman" w:cs="Times New Roman"/>
          <w:color w:val="000000" w:themeColor="text1"/>
        </w:rPr>
        <w:t>Ndao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avec comme objectifs d’évaluer les patients présentant une acromégalie. </w:t>
      </w:r>
      <w:r w:rsidRPr="0083393D">
        <w:rPr>
          <w:rFonts w:ascii="Times New Roman" w:hAnsi="Times New Roman" w:cs="Times New Roman"/>
          <w:color w:val="000000" w:themeColor="text1"/>
        </w:rPr>
        <w:t>L’hypertension artérielle (HTA) était classée selon la graduation de l’Organisation Mondiale de la Santé</w:t>
      </w:r>
    </w:p>
    <w:p w14:paraId="78DC7A38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004AF">
        <w:rPr>
          <w:rFonts w:ascii="Times New Roman" w:hAnsi="Times New Roman" w:cs="Times New Roman"/>
          <w:b/>
          <w:bCs/>
        </w:rPr>
        <w:t>Résultats </w:t>
      </w:r>
      <w:r>
        <w:rPr>
          <w:rFonts w:ascii="Times New Roman" w:hAnsi="Times New Roman" w:cs="Times New Roman"/>
        </w:rPr>
        <w:t xml:space="preserve">: </w:t>
      </w:r>
      <w:r w:rsidRPr="0083393D">
        <w:rPr>
          <w:rFonts w:ascii="Times New Roman" w:hAnsi="Times New Roman" w:cs="Times New Roman"/>
          <w:color w:val="000000" w:themeColor="text1"/>
        </w:rPr>
        <w:t xml:space="preserve">Au total, 25 cas d’acromégalie étaient enregistrés. </w:t>
      </w:r>
      <w:r w:rsidRPr="0083393D">
        <w:rPr>
          <w:rFonts w:ascii="Times New Roman" w:eastAsia="Times New Roman" w:hAnsi="Times New Roman" w:cs="Times New Roman"/>
          <w:color w:val="000000" w:themeColor="text1"/>
        </w:rPr>
        <w:t xml:space="preserve">L’âge moyen des patients était de 42,5±12 ans avec des extrêmes de 25 et 69 ans. </w:t>
      </w:r>
      <w:bookmarkStart w:id="0" w:name="_heading=h.3u2rp3q" w:colFirst="0" w:colLast="0"/>
      <w:bookmarkStart w:id="1" w:name="_heading=h.1e03kqp" w:colFirst="0" w:colLast="0"/>
      <w:bookmarkStart w:id="2" w:name="_heading=h.3kkl7fh" w:colFirst="0" w:colLast="0"/>
      <w:bookmarkStart w:id="3" w:name="_heading=h.2981zbj" w:colFirst="0" w:colLast="0"/>
      <w:bookmarkStart w:id="4" w:name="_heading=h.2cm6t5wppuoj" w:colFirst="0" w:colLast="0"/>
      <w:bookmarkEnd w:id="0"/>
      <w:bookmarkEnd w:id="1"/>
      <w:bookmarkEnd w:id="2"/>
      <w:bookmarkEnd w:id="3"/>
      <w:bookmarkEnd w:id="4"/>
      <w:r w:rsidRPr="0083393D">
        <w:rPr>
          <w:rFonts w:ascii="Times New Roman" w:eastAsia="Times New Roman" w:hAnsi="Times New Roman" w:cs="Times New Roman"/>
          <w:color w:val="000000" w:themeColor="text1"/>
        </w:rPr>
        <w:t>Il s’agissait de 10 femmes et 15 sujets de sexe masculin, soit un sexe ratio de 1,5.</w:t>
      </w:r>
      <w:bookmarkStart w:id="5" w:name="_heading=h.y4gbrs5im9rv" w:colFirst="0" w:colLast="0"/>
      <w:bookmarkStart w:id="6" w:name="_heading=h.arj6nu1qoukx" w:colFirst="0" w:colLast="0"/>
      <w:bookmarkEnd w:id="5"/>
      <w:bookmarkEnd w:id="6"/>
      <w:r w:rsidRPr="0083393D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4004AF">
        <w:rPr>
          <w:rFonts w:ascii="Times New Roman" w:hAnsi="Times New Roman" w:cs="Times New Roman"/>
        </w:rPr>
        <w:t xml:space="preserve"> </w:t>
      </w:r>
      <w:r w:rsidRPr="0083393D">
        <w:rPr>
          <w:rFonts w:ascii="Times New Roman" w:eastAsia="Times New Roman" w:hAnsi="Times New Roman" w:cs="Times New Roman"/>
          <w:color w:val="000000" w:themeColor="text1"/>
        </w:rPr>
        <w:t>Les principales circonstances de découverte étaient les céphalées dans 12 cas (48%), les troubles de la vision dans 11 cas (44%),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le syndrome tumoral était retrouvé chez 22 patients, le syndrome sécrétoire était noté chez tous les patients avec une obésité chez 10 patients et une hypertension artérielle chez 10 patients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( 40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% des patients). </w:t>
      </w:r>
    </w:p>
    <w:p w14:paraId="3D499C2C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 la biologie, les hormones de croissance étaient élevées chez tous les patients.</w:t>
      </w:r>
    </w:p>
    <w:p w14:paraId="4BF91821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83393D">
        <w:rPr>
          <w:rFonts w:ascii="Times New Roman" w:eastAsia="Times New Roman" w:hAnsi="Times New Roman" w:cs="Times New Roman"/>
          <w:color w:val="000000" w:themeColor="text1"/>
        </w:rPr>
        <w:t>L’imagerie de résonance magnétique a été réalisée chez tous les patients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avec une prédominance des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macroadénomes</w:t>
      </w:r>
      <w:proofErr w:type="spellEnd"/>
      <w:r w:rsidRPr="0083393D">
        <w:rPr>
          <w:rFonts w:ascii="Times New Roman" w:eastAsia="Times New Roman" w:hAnsi="Times New Roman" w:cs="Times New Roman"/>
          <w:color w:val="000000" w:themeColor="text1"/>
        </w:rPr>
        <w:t xml:space="preserve"> 20 cas (80%)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2E1F8328" w14:textId="77777777" w:rsidR="00F92A4F" w:rsidRPr="00B57335" w:rsidRDefault="00F92A4F" w:rsidP="00F92A4F">
      <w:pPr>
        <w:pStyle w:val="Titre3"/>
        <w:spacing w:before="0"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Tous les patients avaient bénéficié d’un traitement médical à base 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Cabergoline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et un traitement antihypertenseur était proposé chez les patients hypertendus. </w:t>
      </w:r>
      <w:proofErr w:type="gramStart"/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chirurgie</w:t>
      </w:r>
      <w:proofErr w:type="gramEnd"/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hypophysaire </w:t>
      </w:r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était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pratiquée chez 24 patients</w:t>
      </w:r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96</w:t>
      </w:r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</w:t>
      </w:r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</w:t>
      </w:r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avec un meilleur contrôle des chiffres tensionnels</w:t>
      </w:r>
      <w:r w:rsidRPr="008339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9F74EDB" w14:textId="77777777" w:rsidR="00F92A4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360" w:lineRule="auto"/>
        <w:jc w:val="both"/>
        <w:rPr>
          <w:rFonts w:ascii="Times New Roman" w:hAnsi="Times New Roman" w:cs="Times New Roman"/>
        </w:rPr>
      </w:pPr>
      <w:r w:rsidRPr="00111E1A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</w:rPr>
        <w:t xml:space="preserve"> : l’acromégalie est une </w:t>
      </w:r>
      <w:proofErr w:type="spellStart"/>
      <w:r>
        <w:rPr>
          <w:rFonts w:ascii="Times New Roman" w:hAnsi="Times New Roman" w:cs="Times New Roman"/>
        </w:rPr>
        <w:t>ddes</w:t>
      </w:r>
      <w:proofErr w:type="spellEnd"/>
      <w:r>
        <w:rPr>
          <w:rFonts w:ascii="Times New Roman" w:hAnsi="Times New Roman" w:cs="Times New Roman"/>
        </w:rPr>
        <w:t xml:space="preserve"> causes de d’HTA secondaire, un traitement de l’acromégalie permet un meilleur contrôle de la tension artérielle </w:t>
      </w:r>
    </w:p>
    <w:p w14:paraId="6F98D94F" w14:textId="77777777" w:rsidR="00F92A4F" w:rsidRPr="004004AF" w:rsidRDefault="00F92A4F" w:rsidP="00F92A4F">
      <w:pPr>
        <w:numPr>
          <w:ilvl w:val="1"/>
          <w:numId w:val="0"/>
        </w:numPr>
        <w:tabs>
          <w:tab w:val="center" w:pos="4536"/>
          <w:tab w:val="right" w:pos="9072"/>
        </w:tabs>
        <w:suppressAutoHyphens/>
        <w:spacing w:line="276" w:lineRule="auto"/>
        <w:jc w:val="both"/>
        <w:rPr>
          <w:rFonts w:ascii="Times New Roman" w:hAnsi="Times New Roman" w:cs="Times New Roman"/>
        </w:rPr>
      </w:pPr>
      <w:r w:rsidRPr="002A53AC">
        <w:rPr>
          <w:rFonts w:ascii="Times New Roman" w:hAnsi="Times New Roman" w:cs="Times New Roman"/>
          <w:b/>
          <w:bCs/>
        </w:rPr>
        <w:t>Mots clés</w:t>
      </w:r>
      <w:r w:rsidRPr="004004AF"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</w:rPr>
        <w:t>Acromégalie</w:t>
      </w:r>
      <w:r w:rsidRPr="004004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HTA secondaire</w:t>
      </w:r>
      <w:r w:rsidRPr="004004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chirurgie, </w:t>
      </w:r>
      <w:r w:rsidRPr="004004AF">
        <w:rPr>
          <w:rFonts w:ascii="Times New Roman" w:hAnsi="Times New Roman" w:cs="Times New Roman"/>
        </w:rPr>
        <w:t>Dakar</w:t>
      </w:r>
    </w:p>
    <w:p w14:paraId="55D59CEA" w14:textId="77777777" w:rsidR="00F92A4F" w:rsidRDefault="00F92A4F" w:rsidP="00F92A4F"/>
    <w:p w14:paraId="56026AAC" w14:textId="77777777" w:rsidR="00EA60EE" w:rsidRDefault="00EA60EE"/>
    <w:sectPr w:rsidR="00EA60EE" w:rsidSect="00D73C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4F"/>
    <w:rsid w:val="00D73C7B"/>
    <w:rsid w:val="00EA60EE"/>
    <w:rsid w:val="00F92A4F"/>
    <w:rsid w:val="00FB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366E3F"/>
  <w15:chartTrackingRefBased/>
  <w15:docId w15:val="{39D636F4-76E6-DE44-A3C3-A286166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4F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2A4F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92A4F"/>
    <w:rPr>
      <w:rFonts w:ascii="Arial" w:eastAsia="Arial" w:hAnsi="Arial" w:cs="Arial"/>
      <w:color w:val="434343"/>
      <w:sz w:val="28"/>
      <w:szCs w:val="28"/>
      <w:lang w:val="fr" w:eastAsia="fr-FR"/>
    </w:rPr>
  </w:style>
  <w:style w:type="character" w:styleId="Lienhypertexte">
    <w:name w:val="Hyperlink"/>
    <w:basedOn w:val="Policepardfaut"/>
    <w:uiPriority w:val="99"/>
    <w:unhideWhenUsed/>
    <w:rsid w:val="00F92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undiadjib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2023-10-31T21:08:00Z</dcterms:created>
  <dcterms:modified xsi:type="dcterms:W3CDTF">2023-11-12T09:00:00Z</dcterms:modified>
</cp:coreProperties>
</file>