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862E9" w14:textId="77777777" w:rsidR="00E82FA5" w:rsidRDefault="00E82FA5" w:rsidP="00E82FA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Titre : </w:t>
      </w:r>
      <w:r w:rsidRPr="00827D23">
        <w:rPr>
          <w:rFonts w:ascii="Times New Roman" w:hAnsi="Times New Roman" w:cs="Times New Roman"/>
          <w:sz w:val="24"/>
          <w:szCs w:val="24"/>
        </w:rPr>
        <w:t xml:space="preserve"> </w:t>
      </w:r>
      <w:r>
        <w:rPr>
          <w:rFonts w:ascii="Times New Roman" w:hAnsi="Times New Roman" w:cs="Times New Roman"/>
          <w:sz w:val="24"/>
          <w:szCs w:val="24"/>
        </w:rPr>
        <w:t>I</w:t>
      </w:r>
      <w:r w:rsidRPr="00827D23">
        <w:rPr>
          <w:rFonts w:ascii="Times New Roman" w:hAnsi="Times New Roman" w:cs="Times New Roman"/>
          <w:sz w:val="24"/>
          <w:szCs w:val="24"/>
        </w:rPr>
        <w:t>nsuffisance cardiaque droite exclusive dans le service de cardiologie et médecine interne du centre hospitalier université de Brazzaville</w:t>
      </w:r>
    </w:p>
    <w:p w14:paraId="01F7453D" w14:textId="77777777" w:rsidR="00E82FA5" w:rsidRPr="006238BF" w:rsidRDefault="00E82FA5" w:rsidP="00E82FA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r w:rsidRPr="006238BF">
        <w:rPr>
          <w:rFonts w:ascii="Times New Roman" w:hAnsi="Times New Roman" w:cs="Times New Roman"/>
          <w:sz w:val="24"/>
          <w:szCs w:val="24"/>
          <w:lang w:val="en-US"/>
        </w:rPr>
        <w:t>xclusive right heart failure in the cardiology and internal medicine department of the Brazzaville university hospital center</w:t>
      </w:r>
    </w:p>
    <w:p w14:paraId="0627D84E" w14:textId="77777777" w:rsidR="00E82FA5" w:rsidRPr="006238BF" w:rsidRDefault="00E82FA5" w:rsidP="00E82FA5">
      <w:pPr>
        <w:spacing w:line="360" w:lineRule="auto"/>
        <w:jc w:val="both"/>
        <w:rPr>
          <w:rFonts w:ascii="Times New Roman" w:hAnsi="Times New Roman" w:cs="Times New Roman"/>
          <w:sz w:val="24"/>
          <w:szCs w:val="24"/>
          <w:lang w:val="en-US"/>
        </w:rPr>
      </w:pPr>
    </w:p>
    <w:p w14:paraId="41A1E315" w14:textId="1529D279" w:rsidR="00E82FA5" w:rsidRPr="00827D23" w:rsidRDefault="00E82FA5" w:rsidP="00E82FA5">
      <w:pPr>
        <w:spacing w:line="360" w:lineRule="auto"/>
        <w:jc w:val="both"/>
        <w:rPr>
          <w:rFonts w:ascii="Times New Roman" w:hAnsi="Times New Roman" w:cs="Times New Roman"/>
          <w:sz w:val="24"/>
          <w:szCs w:val="24"/>
        </w:rPr>
      </w:pPr>
      <w:r w:rsidRPr="00827D23">
        <w:rPr>
          <w:rFonts w:ascii="Times New Roman" w:hAnsi="Times New Roman" w:cs="Times New Roman"/>
          <w:sz w:val="24"/>
          <w:szCs w:val="24"/>
        </w:rPr>
        <w:t>Auteurs :</w:t>
      </w:r>
      <w:r w:rsidR="004D26F1">
        <w:rPr>
          <w:rFonts w:ascii="Times New Roman" w:hAnsi="Times New Roman" w:cs="Times New Roman"/>
          <w:sz w:val="24"/>
          <w:szCs w:val="24"/>
        </w:rPr>
        <w:t xml:space="preserve"> NGOLO LETOMO </w:t>
      </w:r>
      <w:proofErr w:type="spellStart"/>
      <w:r w:rsidR="004D26F1">
        <w:rPr>
          <w:rFonts w:ascii="Times New Roman" w:hAnsi="Times New Roman" w:cs="Times New Roman"/>
          <w:sz w:val="24"/>
          <w:szCs w:val="24"/>
        </w:rPr>
        <w:t>Kivié</w:t>
      </w:r>
      <w:proofErr w:type="spellEnd"/>
      <w:r w:rsidR="004D26F1">
        <w:rPr>
          <w:rFonts w:ascii="Times New Roman" w:hAnsi="Times New Roman" w:cs="Times New Roman"/>
          <w:sz w:val="24"/>
          <w:szCs w:val="24"/>
        </w:rPr>
        <w:t xml:space="preserve"> Mou-</w:t>
      </w:r>
      <w:proofErr w:type="spellStart"/>
      <w:r w:rsidR="004D26F1">
        <w:rPr>
          <w:rFonts w:ascii="Times New Roman" w:hAnsi="Times New Roman" w:cs="Times New Roman"/>
          <w:sz w:val="24"/>
          <w:szCs w:val="24"/>
        </w:rPr>
        <w:t>moué</w:t>
      </w:r>
      <w:proofErr w:type="spellEnd"/>
    </w:p>
    <w:p w14:paraId="6F1285A6" w14:textId="77777777"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Introduction</w:t>
      </w:r>
    </w:p>
    <w:p w14:paraId="32D885AB" w14:textId="30CE5ABE"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 xml:space="preserve">L’insuffisance cardiaque droite </w:t>
      </w:r>
      <w:r w:rsidR="004D26F1" w:rsidRPr="00827D23">
        <w:rPr>
          <w:rFonts w:ascii="Times New Roman" w:hAnsi="Times New Roman" w:cs="Times New Roman"/>
          <w:sz w:val="24"/>
          <w:szCs w:val="24"/>
        </w:rPr>
        <w:t>(IC</w:t>
      </w:r>
      <w:r w:rsidR="004D26F1">
        <w:rPr>
          <w:rFonts w:ascii="Times New Roman" w:hAnsi="Times New Roman" w:cs="Times New Roman"/>
          <w:sz w:val="24"/>
          <w:szCs w:val="24"/>
        </w:rPr>
        <w:t>D</w:t>
      </w:r>
      <w:r w:rsidR="004D26F1" w:rsidRPr="00827D23">
        <w:rPr>
          <w:rFonts w:ascii="Times New Roman" w:hAnsi="Times New Roman" w:cs="Times New Roman"/>
          <w:sz w:val="24"/>
          <w:szCs w:val="24"/>
        </w:rPr>
        <w:t xml:space="preserve">) </w:t>
      </w:r>
      <w:r w:rsidRPr="00827D23">
        <w:rPr>
          <w:rFonts w:ascii="Times New Roman" w:hAnsi="Times New Roman" w:cs="Times New Roman"/>
          <w:sz w:val="24"/>
          <w:szCs w:val="24"/>
        </w:rPr>
        <w:t>est l’incapacité du cœur à assurer un débit cardiaque droit suffisant aux besoins métaboliques et fonctionnels des différents organes. L’objectif de ce travail est d</w:t>
      </w:r>
      <w:r w:rsidR="004D26F1">
        <w:rPr>
          <w:rFonts w:ascii="Times New Roman" w:hAnsi="Times New Roman" w:cs="Times New Roman"/>
          <w:sz w:val="24"/>
          <w:szCs w:val="24"/>
        </w:rPr>
        <w:t>’</w:t>
      </w:r>
      <w:r w:rsidRPr="00827D23">
        <w:rPr>
          <w:rFonts w:ascii="Times New Roman" w:hAnsi="Times New Roman" w:cs="Times New Roman"/>
          <w:sz w:val="24"/>
          <w:szCs w:val="24"/>
        </w:rPr>
        <w:t xml:space="preserve">évaluer les caractéristiques </w:t>
      </w:r>
      <w:proofErr w:type="spellStart"/>
      <w:r w:rsidRPr="00827D23">
        <w:rPr>
          <w:rFonts w:ascii="Times New Roman" w:hAnsi="Times New Roman" w:cs="Times New Roman"/>
          <w:sz w:val="24"/>
          <w:szCs w:val="24"/>
        </w:rPr>
        <w:t>épidémio</w:t>
      </w:r>
      <w:proofErr w:type="spellEnd"/>
      <w:r w:rsidRPr="00827D23">
        <w:rPr>
          <w:rFonts w:ascii="Times New Roman" w:hAnsi="Times New Roman" w:cs="Times New Roman"/>
          <w:sz w:val="24"/>
          <w:szCs w:val="24"/>
        </w:rPr>
        <w:t>-cliniques, paracliniques, étiologiques, thérapeutiques et évolutives.</w:t>
      </w:r>
    </w:p>
    <w:p w14:paraId="378CC1E5" w14:textId="77777777"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Patients et méthodes</w:t>
      </w:r>
    </w:p>
    <w:p w14:paraId="2DF740B0" w14:textId="799DABA2"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Il s’est agi d’une étude rétrospective, descriptive et analytique réalisée du 1</w:t>
      </w:r>
      <w:r w:rsidRPr="00827D23">
        <w:rPr>
          <w:rFonts w:ascii="Times New Roman" w:hAnsi="Times New Roman" w:cs="Times New Roman"/>
          <w:sz w:val="24"/>
          <w:szCs w:val="24"/>
          <w:vertAlign w:val="superscript"/>
        </w:rPr>
        <w:t>er</w:t>
      </w:r>
      <w:r w:rsidRPr="00827D23">
        <w:rPr>
          <w:rFonts w:ascii="Times New Roman" w:hAnsi="Times New Roman" w:cs="Times New Roman"/>
          <w:sz w:val="24"/>
          <w:szCs w:val="24"/>
        </w:rPr>
        <w:t xml:space="preserve"> janvier 2010 au 31 décembre 2016 dans le service de cardiologie et médecine interne du centre hospitalier universitaire de Brazzaville. Ont été inclus, les patients ayant présenté une </w:t>
      </w:r>
      <w:r w:rsidR="004D26F1">
        <w:rPr>
          <w:rFonts w:ascii="Times New Roman" w:hAnsi="Times New Roman" w:cs="Times New Roman"/>
          <w:sz w:val="24"/>
          <w:szCs w:val="24"/>
        </w:rPr>
        <w:t xml:space="preserve">ICD </w:t>
      </w:r>
      <w:r w:rsidRPr="00827D23">
        <w:rPr>
          <w:rFonts w:ascii="Times New Roman" w:hAnsi="Times New Roman" w:cs="Times New Roman"/>
          <w:sz w:val="24"/>
          <w:szCs w:val="24"/>
        </w:rPr>
        <w:t xml:space="preserve">exclusive. Les paramètres analysés étaient </w:t>
      </w:r>
      <w:proofErr w:type="spellStart"/>
      <w:r w:rsidRPr="00827D23">
        <w:rPr>
          <w:rFonts w:ascii="Times New Roman" w:hAnsi="Times New Roman" w:cs="Times New Roman"/>
          <w:sz w:val="24"/>
          <w:szCs w:val="24"/>
        </w:rPr>
        <w:t>épidémio</w:t>
      </w:r>
      <w:proofErr w:type="spellEnd"/>
      <w:r w:rsidRPr="00827D23">
        <w:rPr>
          <w:rFonts w:ascii="Times New Roman" w:hAnsi="Times New Roman" w:cs="Times New Roman"/>
          <w:sz w:val="24"/>
          <w:szCs w:val="24"/>
        </w:rPr>
        <w:t>-cliniques, paracliniques, étiologiques, thérapeutiques et évolutives.</w:t>
      </w:r>
    </w:p>
    <w:p w14:paraId="01797942" w14:textId="77777777"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 xml:space="preserve">Résultats </w:t>
      </w:r>
    </w:p>
    <w:p w14:paraId="2C2D79DF" w14:textId="33CBF927"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 xml:space="preserve">Sur 7.814 patients admis, 89 ont présenté une ICD exclusive, </w:t>
      </w:r>
      <w:r w:rsidR="004D26F1">
        <w:rPr>
          <w:rFonts w:ascii="Times New Roman" w:hAnsi="Times New Roman" w:cs="Times New Roman"/>
          <w:sz w:val="24"/>
          <w:szCs w:val="24"/>
        </w:rPr>
        <w:t xml:space="preserve">le </w:t>
      </w:r>
      <w:proofErr w:type="spellStart"/>
      <w:r w:rsidRPr="00827D23">
        <w:rPr>
          <w:rFonts w:ascii="Times New Roman" w:hAnsi="Times New Roman" w:cs="Times New Roman"/>
          <w:sz w:val="24"/>
          <w:szCs w:val="24"/>
        </w:rPr>
        <w:t>sex</w:t>
      </w:r>
      <w:proofErr w:type="spellEnd"/>
      <w:r w:rsidRPr="00827D23">
        <w:rPr>
          <w:rFonts w:ascii="Times New Roman" w:hAnsi="Times New Roman" w:cs="Times New Roman"/>
          <w:sz w:val="24"/>
          <w:szCs w:val="24"/>
        </w:rPr>
        <w:t xml:space="preserve"> ratio F/H 1,28. L’ICD exclusive représentait 1,1% des admissions et 1,8% des cas d’insuffisance cardiaque. L’âge moyen était de 60,9 ±14,8 ans [16-88 ans]. Le délai moyen de consultation était de 78,8 ±137,8 jours. Les facteurs de risque associés étaient : le tabagisme (n=34 ; 20,2 %), le diabète (n=5 ; 5,6 %). Les principales circonstances de découvertes étaient : la dyspnée (n=87 ; 97,8%), la toux (n=44 ; 49,4%) et les hépatalgies (n=22 ; 24,7%). Les causes étaient : un cœur pulmonaire chronique (n=64 ; 72%), un cœur pulmonaire aigu (n=18 ; 20,2%), une cardiopathie congénitale (n=5 ; 5,6%), une fibrose </w:t>
      </w:r>
      <w:proofErr w:type="spellStart"/>
      <w:r w:rsidRPr="00827D23">
        <w:rPr>
          <w:rFonts w:ascii="Times New Roman" w:hAnsi="Times New Roman" w:cs="Times New Roman"/>
          <w:sz w:val="24"/>
          <w:szCs w:val="24"/>
        </w:rPr>
        <w:t>endomyocardique</w:t>
      </w:r>
      <w:proofErr w:type="spellEnd"/>
      <w:r w:rsidRPr="00827D23">
        <w:rPr>
          <w:rFonts w:ascii="Times New Roman" w:hAnsi="Times New Roman" w:cs="Times New Roman"/>
          <w:sz w:val="24"/>
          <w:szCs w:val="24"/>
        </w:rPr>
        <w:t xml:space="preserve"> (n=1 ; 1,1%). La durée moyenne du séjour était de 17,9 ± 11,9 jours. La létalité était de 9% (n=8). Les facteurs associés au décès étaient des extrasystoles ventriculaires et la tachycardie sinusale.</w:t>
      </w:r>
    </w:p>
    <w:p w14:paraId="67A92FE2" w14:textId="77777777"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Conclusion</w:t>
      </w:r>
    </w:p>
    <w:p w14:paraId="4C3323C4" w14:textId="41FA1906" w:rsidR="00E82FA5" w:rsidRPr="00827D23" w:rsidRDefault="00E82FA5" w:rsidP="004D26F1">
      <w:pPr>
        <w:spacing w:line="240" w:lineRule="auto"/>
        <w:jc w:val="both"/>
        <w:rPr>
          <w:rFonts w:ascii="Times New Roman" w:hAnsi="Times New Roman" w:cs="Times New Roman"/>
          <w:sz w:val="24"/>
          <w:szCs w:val="24"/>
        </w:rPr>
      </w:pPr>
      <w:r w:rsidRPr="00827D23">
        <w:rPr>
          <w:rFonts w:ascii="Times New Roman" w:hAnsi="Times New Roman" w:cs="Times New Roman"/>
          <w:sz w:val="24"/>
          <w:szCs w:val="24"/>
        </w:rPr>
        <w:t>La fréquence de l’ICD exclusive est faible. Le cœur pulmonaire chronique est la cause la plus fréquente. La prévention constitue un élément clé de la prise en charge, passant par la lutte contre le tabagisme et le diagnostic précoce de l’embolie pulmonaire, le suivi régulier des maladies respiratoires chroniques, le traitement de la tuberculose.</w:t>
      </w:r>
    </w:p>
    <w:p w14:paraId="60EFF00A" w14:textId="77777777" w:rsidR="00E82FA5" w:rsidRDefault="00E82FA5" w:rsidP="00E82FA5">
      <w:pPr>
        <w:spacing w:line="360" w:lineRule="auto"/>
        <w:jc w:val="both"/>
        <w:rPr>
          <w:rFonts w:ascii="Times New Roman" w:hAnsi="Times New Roman" w:cs="Times New Roman"/>
          <w:sz w:val="24"/>
          <w:szCs w:val="24"/>
        </w:rPr>
      </w:pPr>
      <w:r w:rsidRPr="00827D23">
        <w:rPr>
          <w:rFonts w:ascii="Times New Roman" w:hAnsi="Times New Roman" w:cs="Times New Roman"/>
          <w:sz w:val="24"/>
          <w:szCs w:val="24"/>
        </w:rPr>
        <w:t>Mots clés : insuffisance cardiaque droite exclusive, cœur pulmonaire chronique, Brazzaville, Congo</w:t>
      </w:r>
    </w:p>
    <w:p w14:paraId="6FD8A7AA" w14:textId="77777777" w:rsidR="00E82FA5" w:rsidRDefault="00E82FA5" w:rsidP="00E82FA5">
      <w:pPr>
        <w:rPr>
          <w:rFonts w:ascii="Times New Roman" w:hAnsi="Times New Roman" w:cs="Times New Roman"/>
          <w:sz w:val="24"/>
          <w:szCs w:val="24"/>
        </w:rPr>
      </w:pPr>
    </w:p>
    <w:p w14:paraId="50D5FE02" w14:textId="77777777" w:rsidR="00E82FA5" w:rsidRPr="00E82FA5" w:rsidRDefault="00E82FA5">
      <w:pPr>
        <w:rPr>
          <w:lang w:val="en-US"/>
        </w:rPr>
      </w:pPr>
    </w:p>
    <w:sectPr w:rsidR="00E82FA5" w:rsidRPr="00E82F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A5"/>
    <w:rsid w:val="004D26F1"/>
    <w:rsid w:val="005F24D3"/>
    <w:rsid w:val="00E82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C956"/>
  <w15:chartTrackingRefBased/>
  <w15:docId w15:val="{2A63D07C-8E87-46C9-BB8C-E5174F9C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FA5"/>
    <w:rPr>
      <w:kern w:val="0"/>
      <w14:ligatures w14:val="none"/>
    </w:rPr>
  </w:style>
  <w:style w:type="paragraph" w:styleId="Titre1">
    <w:name w:val="heading 1"/>
    <w:basedOn w:val="Normal"/>
    <w:next w:val="Normal"/>
    <w:link w:val="Titre1Car"/>
    <w:uiPriority w:val="9"/>
    <w:qFormat/>
    <w:rsid w:val="00E82F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2FA5"/>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372</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kivie ngolo</dc:creator>
  <cp:keywords/>
  <dc:description/>
  <cp:lastModifiedBy>kivie ngolo</cp:lastModifiedBy>
  <cp:revision>2</cp:revision>
  <dcterms:created xsi:type="dcterms:W3CDTF">2023-10-19T18:24:00Z</dcterms:created>
  <dcterms:modified xsi:type="dcterms:W3CDTF">2023-10-20T05:53:00Z</dcterms:modified>
</cp:coreProperties>
</file>