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2D" w:rsidRDefault="0019542D" w:rsidP="00F53A2E">
      <w:pPr>
        <w:spacing w:after="0"/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bookmarkStart w:id="0" w:name="_GoBack"/>
      <w:bookmarkEnd w:id="0"/>
    </w:p>
    <w:p w:rsidR="0019542D" w:rsidRPr="00F53A2E" w:rsidRDefault="0019542D" w:rsidP="00F53A2E">
      <w:pPr>
        <w:spacing w:after="0" w:line="240" w:lineRule="auto"/>
        <w:ind w:left="912" w:firstLine="708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53A2E">
        <w:rPr>
          <w:rFonts w:ascii="Times New Roman" w:hAnsi="Times New Roman" w:cs="Times New Roman"/>
          <w:b/>
          <w:sz w:val="24"/>
          <w:szCs w:val="32"/>
        </w:rPr>
        <w:t>FICHE DE RESUME</w:t>
      </w:r>
    </w:p>
    <w:tbl>
      <w:tblPr>
        <w:tblW w:w="11624" w:type="dxa"/>
        <w:tblInd w:w="-856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323"/>
        <w:gridCol w:w="10301"/>
      </w:tblGrid>
      <w:tr w:rsidR="0019542D" w:rsidRPr="00742756" w:rsidTr="00F53A2E">
        <w:tc>
          <w:tcPr>
            <w:tcW w:w="1135" w:type="dxa"/>
          </w:tcPr>
          <w:p w:rsidR="0019542D" w:rsidRPr="00B458E8" w:rsidRDefault="005F2D43" w:rsidP="005F2D43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TITRE</w:t>
            </w:r>
          </w:p>
        </w:tc>
        <w:tc>
          <w:tcPr>
            <w:tcW w:w="10489" w:type="dxa"/>
          </w:tcPr>
          <w:p w:rsidR="0019542D" w:rsidRPr="00566CA1" w:rsidRDefault="00566CA1" w:rsidP="00566CA1">
            <w:pPr>
              <w:rPr>
                <w:b/>
              </w:rPr>
            </w:pPr>
            <w:r w:rsidRPr="00383949">
              <w:rPr>
                <w:b/>
              </w:rPr>
              <w:t>PERCUTANEOUS ATR</w:t>
            </w:r>
            <w:r>
              <w:rPr>
                <w:b/>
              </w:rPr>
              <w:t>IAL SEPTAL DEFECT CLOSURE WITH 4</w:t>
            </w:r>
            <w:r w:rsidRPr="00383949">
              <w:rPr>
                <w:b/>
              </w:rPr>
              <w:t>D TRANSOEOPHAGEAL GUIDANCE. ADVANTAGES OVER CONVENTIONAL STRATEGY. ABOUT ONE CASE AT FANN UNIVERSITARY HOSPITAL DAKAR SENEGAL.</w:t>
            </w:r>
          </w:p>
        </w:tc>
      </w:tr>
      <w:tr w:rsidR="0019542D" w:rsidRPr="00742756" w:rsidTr="00F53A2E">
        <w:trPr>
          <w:trHeight w:val="437"/>
        </w:trPr>
        <w:tc>
          <w:tcPr>
            <w:tcW w:w="1135" w:type="dxa"/>
          </w:tcPr>
          <w:p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10489" w:type="dxa"/>
          </w:tcPr>
          <w:p w:rsidR="0019542D" w:rsidRPr="00930FDC" w:rsidRDefault="00566CA1" w:rsidP="00100A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DIOP IB., </w:t>
            </w:r>
            <w:r w:rsidRPr="00383949">
              <w:rPr>
                <w:b/>
                <w:u w:val="single"/>
              </w:rPr>
              <w:t>BA K.,</w:t>
            </w:r>
            <w:r>
              <w:t xml:space="preserve"> SY SL., SARR EM., KAYA M., DIEYE O</w:t>
            </w:r>
            <w:proofErr w:type="gramStart"/>
            <w:r>
              <w:t>..</w:t>
            </w:r>
            <w:proofErr w:type="gramEnd"/>
          </w:p>
        </w:tc>
      </w:tr>
      <w:tr w:rsidR="0019542D" w:rsidRPr="00742756" w:rsidTr="00F53A2E">
        <w:tc>
          <w:tcPr>
            <w:tcW w:w="1135" w:type="dxa"/>
          </w:tcPr>
          <w:p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10489" w:type="dxa"/>
          </w:tcPr>
          <w:p w:rsidR="0019542D" w:rsidRPr="00100A39" w:rsidRDefault="00566CA1" w:rsidP="00AB35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 FANN CARDIOLOGIE DAKAR SENEGAL</w:t>
            </w:r>
          </w:p>
        </w:tc>
      </w:tr>
      <w:tr w:rsidR="0019542D" w:rsidRPr="00742756" w:rsidTr="00F53A2E">
        <w:trPr>
          <w:trHeight w:val="7982"/>
        </w:trPr>
        <w:tc>
          <w:tcPr>
            <w:tcW w:w="1135" w:type="dxa"/>
          </w:tcPr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9542D" w:rsidRPr="00B458E8" w:rsidRDefault="0019542D" w:rsidP="00B259EA">
            <w:pPr>
              <w:pStyle w:val="Sansinterligne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89" w:type="dxa"/>
          </w:tcPr>
          <w:p w:rsidR="00566CA1" w:rsidRDefault="00566CA1" w:rsidP="00566C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66CA1" w:rsidRDefault="00566CA1" w:rsidP="00566C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39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</w:rPr>
              <w:t>INTRODUCTION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: Atrial Septal Defect (ASD)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not rare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adult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population and 2D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Transthoracic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echocardiography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(2D TTE)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two-</w:t>
            </w:r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dimensional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transesophageal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echocardiography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(2D TEE) are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usually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for diagnostic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therapeutic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indications.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available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Four</w:t>
            </w:r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dimensional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transesophagea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echocardiography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(4</w:t>
            </w:r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D-TEE)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more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accurate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anatomic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characterization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of the defect and for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echoguidance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during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procedure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Four D TEE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also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assess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morphology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of ASD and help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size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66CA1" w:rsidRDefault="00566CA1" w:rsidP="00566C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report a case of ASD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closure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Institution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4D TEE for guidance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during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procedure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566CA1" w:rsidRDefault="00566CA1" w:rsidP="00566CA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</w:pPr>
          </w:p>
          <w:p w:rsidR="00566CA1" w:rsidRDefault="00566CA1" w:rsidP="00566CA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</w:pPr>
            <w:r w:rsidRPr="00383949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u w:val="single"/>
                <w:lang w:val="en" w:eastAsia="fr-FR"/>
              </w:rPr>
              <w:t>CASE REPORT: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 A </w:t>
            </w:r>
            <w:r w:rsidRPr="00BA69A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>21 years old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 male was referred to our Department for ASD closure. Four 3D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>TEE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 confirm secundum ASD with two holes and 26 mm maximal diameter with good rims for percutaneous closure.</w:t>
            </w:r>
          </w:p>
          <w:p w:rsidR="00566CA1" w:rsidRDefault="00566CA1" w:rsidP="00566CA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Under general anesthesia X ray and 3D TEE guidance the local interventional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>team decide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 to attempt percutaneous closure by right femoral vein route. During the procedure confirmation of the </w:t>
            </w:r>
            <w:r w:rsidRPr="00BA69A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26 mm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ASD maximal diameter either by 4D TEE and equalizer balloon allowed us to deploy 28 mm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>Amplatz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 ASD device. After deployment 4D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>TEE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 confirm total closure of the defect with no interaction with the surrounding structures. The post-procedure stay was uneventful with stability of the device.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fr-FR"/>
              </w:rPr>
              <w:t xml:space="preserve"> no residual shunt and the patient was discharged 48h post procedure.</w:t>
            </w:r>
          </w:p>
          <w:p w:rsidR="00566CA1" w:rsidRDefault="00566CA1" w:rsidP="00566C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66CA1" w:rsidRDefault="00566CA1" w:rsidP="00566C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39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</w:rPr>
              <w:t>CONCLUSION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: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usual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practice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close ASD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X ray and 2D TEE guidance. 4D TEE help us to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charactherize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morpholgy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assess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more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accuracy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maximal size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enabling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us to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adequate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A</w:t>
            </w:r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dverse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outcomes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usually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reported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residual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shunt, new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onset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atrial fibrillation(AF) and mitral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regurgitation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are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responsible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for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morbidity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mortality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following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transcatheter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ASD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closure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This technique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minimize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their</w:t>
            </w:r>
            <w:proofErr w:type="spellEnd"/>
            <w:r w:rsidRPr="00BA6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incidence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procedural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4D TEE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should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promoted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transcatheter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ASD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closure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66CA1" w:rsidRDefault="00566CA1" w:rsidP="00566CA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66CA1" w:rsidRPr="00383949" w:rsidRDefault="00566CA1" w:rsidP="00566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3839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Key </w:t>
            </w:r>
            <w:proofErr w:type="spellStart"/>
            <w:r w:rsidRPr="003839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words</w:t>
            </w:r>
            <w:proofErr w:type="spellEnd"/>
            <w:r w:rsidRPr="003839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 :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97E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Percutaneous</w:t>
            </w:r>
            <w:proofErr w:type="spellEnd"/>
            <w:r w:rsidRPr="00697E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ASD </w:t>
            </w:r>
            <w:proofErr w:type="spellStart"/>
            <w:r w:rsidRPr="00697E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Closure</w:t>
            </w:r>
            <w:proofErr w:type="spellEnd"/>
            <w:r w:rsidRPr="00697E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– TEE (4D)</w:t>
            </w:r>
          </w:p>
          <w:p w:rsidR="00566CA1" w:rsidRPr="00BA69AB" w:rsidRDefault="00566CA1" w:rsidP="00566C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42D" w:rsidRPr="00DA37B7" w:rsidRDefault="0019542D" w:rsidP="00873B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571C" w:rsidRPr="00F53A2E" w:rsidRDefault="00F53A2E" w:rsidP="00AD5279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43571C" w:rsidRPr="00F53A2E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717"/>
    <w:multiLevelType w:val="hybridMultilevel"/>
    <w:tmpl w:val="A712CA04"/>
    <w:lvl w:ilvl="0" w:tplc="9D44A6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140" w:hanging="360"/>
      </w:pPr>
    </w:lvl>
    <w:lvl w:ilvl="2" w:tplc="280C001B" w:tentative="1">
      <w:start w:val="1"/>
      <w:numFmt w:val="lowerRoman"/>
      <w:lvlText w:val="%3."/>
      <w:lvlJc w:val="right"/>
      <w:pPr>
        <w:ind w:left="1860" w:hanging="180"/>
      </w:pPr>
    </w:lvl>
    <w:lvl w:ilvl="3" w:tplc="280C000F" w:tentative="1">
      <w:start w:val="1"/>
      <w:numFmt w:val="decimal"/>
      <w:lvlText w:val="%4."/>
      <w:lvlJc w:val="left"/>
      <w:pPr>
        <w:ind w:left="2580" w:hanging="360"/>
      </w:pPr>
    </w:lvl>
    <w:lvl w:ilvl="4" w:tplc="280C0019" w:tentative="1">
      <w:start w:val="1"/>
      <w:numFmt w:val="lowerLetter"/>
      <w:lvlText w:val="%5."/>
      <w:lvlJc w:val="left"/>
      <w:pPr>
        <w:ind w:left="3300" w:hanging="360"/>
      </w:pPr>
    </w:lvl>
    <w:lvl w:ilvl="5" w:tplc="280C001B" w:tentative="1">
      <w:start w:val="1"/>
      <w:numFmt w:val="lowerRoman"/>
      <w:lvlText w:val="%6."/>
      <w:lvlJc w:val="right"/>
      <w:pPr>
        <w:ind w:left="4020" w:hanging="180"/>
      </w:pPr>
    </w:lvl>
    <w:lvl w:ilvl="6" w:tplc="280C000F" w:tentative="1">
      <w:start w:val="1"/>
      <w:numFmt w:val="decimal"/>
      <w:lvlText w:val="%7."/>
      <w:lvlJc w:val="left"/>
      <w:pPr>
        <w:ind w:left="4740" w:hanging="360"/>
      </w:pPr>
    </w:lvl>
    <w:lvl w:ilvl="7" w:tplc="280C0019" w:tentative="1">
      <w:start w:val="1"/>
      <w:numFmt w:val="lowerLetter"/>
      <w:lvlText w:val="%8."/>
      <w:lvlJc w:val="left"/>
      <w:pPr>
        <w:ind w:left="5460" w:hanging="360"/>
      </w:pPr>
    </w:lvl>
    <w:lvl w:ilvl="8" w:tplc="2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2D"/>
    <w:rsid w:val="00100A39"/>
    <w:rsid w:val="001069F7"/>
    <w:rsid w:val="00173837"/>
    <w:rsid w:val="0019542D"/>
    <w:rsid w:val="003C0435"/>
    <w:rsid w:val="0043571C"/>
    <w:rsid w:val="00566CA1"/>
    <w:rsid w:val="005B4592"/>
    <w:rsid w:val="005F2D43"/>
    <w:rsid w:val="006F04B8"/>
    <w:rsid w:val="00704351"/>
    <w:rsid w:val="007732F3"/>
    <w:rsid w:val="00873BEA"/>
    <w:rsid w:val="009136BF"/>
    <w:rsid w:val="00930FDC"/>
    <w:rsid w:val="00A00EDA"/>
    <w:rsid w:val="00A01D65"/>
    <w:rsid w:val="00AB352B"/>
    <w:rsid w:val="00AC6886"/>
    <w:rsid w:val="00AD5279"/>
    <w:rsid w:val="00B259EA"/>
    <w:rsid w:val="00B5098F"/>
    <w:rsid w:val="00BA3DAC"/>
    <w:rsid w:val="00BA6BD0"/>
    <w:rsid w:val="00CC0FDB"/>
    <w:rsid w:val="00CC442C"/>
    <w:rsid w:val="00D7410D"/>
    <w:rsid w:val="00DA37B7"/>
    <w:rsid w:val="00DB4174"/>
    <w:rsid w:val="00DC2D5A"/>
    <w:rsid w:val="00E9716A"/>
    <w:rsid w:val="00F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D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527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D5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527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M. Mounir DIA</dc:creator>
  <cp:lastModifiedBy>TOSHIBA</cp:lastModifiedBy>
  <cp:revision>2</cp:revision>
  <dcterms:created xsi:type="dcterms:W3CDTF">2023-11-11T19:45:00Z</dcterms:created>
  <dcterms:modified xsi:type="dcterms:W3CDTF">2023-11-11T19:45:00Z</dcterms:modified>
</cp:coreProperties>
</file>