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764"/>
          <w:sz w:val="48"/>
        </w:rPr>
        <w:t>Caracterização de Idosos com Artrite e Reumatismo</w:t>
        <w:br/>
        <w:t>no Brasil — PNS 2019</w:t>
      </w:r>
    </w:p>
    <w:p>
      <w:pPr>
        <w:jc w:val="center"/>
      </w:pPr>
      <w:r>
        <w:rPr>
          <w:i/>
          <w:color w:val="595959"/>
          <w:sz w:val="26"/>
        </w:rPr>
        <w:t>Documento consolidado de resultados — Análise Exploratória, Bivariada e Pré-Processamento</w:t>
      </w:r>
    </w:p>
    <w:p/>
    <w:p>
      <w:pPr>
        <w:jc w:val="center"/>
      </w:pPr>
      <w:r>
        <w:rPr>
          <w:color w:val="2E75B6"/>
        </w:rPr>
        <w:t>_______________________________________________________</w:t>
      </w:r>
    </w:p>
    <w:p/>
    <w:p/>
    <w:p>
      <w:pPr>
        <w:jc w:val="center"/>
      </w:pPr>
      <w:r>
        <w:rPr>
          <w:b/>
          <w:sz w:val="22"/>
        </w:rPr>
        <w:t xml:space="preserve">Pesquisador:  </w:t>
      </w:r>
      <w:r>
        <w:rPr>
          <w:sz w:val="22"/>
        </w:rPr>
        <w:t>Pedro Dias Soares</w:t>
      </w:r>
    </w:p>
    <w:p>
      <w:pPr>
        <w:jc w:val="center"/>
      </w:pPr>
      <w:r>
        <w:rPr>
          <w:b/>
          <w:sz w:val="22"/>
        </w:rPr>
        <w:t xml:space="preserve">Orientador:  </w:t>
      </w:r>
      <w:r>
        <w:rPr>
          <w:sz w:val="22"/>
        </w:rPr>
        <w:t>Prof. Dr. Luis Enrique Zárate — PUC Minas</w:t>
      </w:r>
    </w:p>
    <w:p>
      <w:pPr>
        <w:jc w:val="center"/>
      </w:pPr>
      <w:r>
        <w:rPr>
          <w:b/>
          <w:sz w:val="22"/>
        </w:rPr>
        <w:t xml:space="preserve">Linha de pesquisa:  </w:t>
      </w:r>
      <w:r>
        <w:rPr>
          <w:sz w:val="22"/>
        </w:rPr>
        <w:t>Saúde Pública · Mineração de Dados · Aprendizado de Máquina</w:t>
      </w:r>
    </w:p>
    <w:p>
      <w:pPr>
        <w:jc w:val="center"/>
      </w:pPr>
      <w:r>
        <w:rPr>
          <w:b/>
          <w:sz w:val="22"/>
        </w:rPr>
        <w:t xml:space="preserve">Periódico-alvo:  </w:t>
      </w:r>
      <w:r>
        <w:rPr>
          <w:sz w:val="22"/>
        </w:rPr>
        <w:t>Journal of Health Informatics (JHI / SBIS)</w:t>
      </w:r>
    </w:p>
    <w:p>
      <w:pPr>
        <w:jc w:val="center"/>
      </w:pPr>
      <w:r>
        <w:rPr>
          <w:b/>
          <w:sz w:val="22"/>
        </w:rPr>
        <w:t xml:space="preserve">Base de dados:  </w:t>
      </w:r>
      <w:r>
        <w:rPr>
          <w:sz w:val="22"/>
        </w:rPr>
        <w:t>Pesquisa Nacional de Saúde 2019 (IBGE) — 293.726 registros</w:t>
      </w:r>
    </w:p>
    <w:p>
      <w:pPr>
        <w:jc w:val="center"/>
      </w:pPr>
      <w:r>
        <w:rPr>
          <w:b/>
          <w:sz w:val="22"/>
        </w:rPr>
        <w:t xml:space="preserve">Metodologia:  </w:t>
      </w:r>
      <w:r>
        <w:rPr>
          <w:sz w:val="22"/>
        </w:rPr>
        <w:t>KDD · CAPTO · PICTOREA · STROBE</w:t>
      </w:r>
    </w:p>
    <w:p/>
    <w:p/>
    <w:p/>
    <w:p/>
    <w:p/>
    <w:p/>
    <w:p>
      <w:pPr>
        <w:jc w:val="center"/>
      </w:pPr>
      <w:r>
        <w:rPr>
          <w:i/>
          <w:color w:val="595959"/>
          <w:sz w:val="18"/>
        </w:rPr>
        <w:t>Gerado automaticamente a partir dos notebooks 02, 03 e 03B do repositório.</w:t>
        <w:br/>
        <w:t>Os resultados aqui consolidados destinam-se a apoiar a redação das seções de Resultados e Discussão do artigo científico.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40"/>
      </w:pPr>
      <w:r>
        <w:t>1. Apresentação e objetivos</w:t>
      </w:r>
    </w:p>
    <w:p>
      <w:pPr>
        <w:spacing w:after="40"/>
      </w:pPr>
      <w:r>
        <w:t>2. Materiais e Métodos</w:t>
      </w:r>
    </w:p>
    <w:p>
      <w:pPr>
        <w:spacing w:after="40"/>
      </w:pPr>
      <w:r>
        <w:t>3. Resultados — Análise Exploratória e Bivariada</w:t>
      </w:r>
    </w:p>
    <w:p>
      <w:pPr>
        <w:spacing w:after="40"/>
      </w:pPr>
      <w:r>
        <w:t>4. Resultados — Pré-Processamento e os Dois Desenhos de Estudo</w:t>
      </w:r>
    </w:p>
    <w:p>
      <w:pPr>
        <w:spacing w:after="40"/>
      </w:pPr>
      <w:r>
        <w:t>5. Discussões Propostas para o Artigo</w:t>
      </w:r>
    </w:p>
    <w:p>
      <w:pPr>
        <w:spacing w:after="40"/>
      </w:pPr>
      <w:r>
        <w:t>6. Limitações Metodológicas</w:t>
      </w:r>
    </w:p>
    <w:p>
      <w:pPr>
        <w:spacing w:after="40"/>
      </w:pPr>
      <w:r>
        <w:t>7. Próximos Passos — Modelagem de Machine Learning</w:t>
      </w:r>
    </w:p>
    <w:p>
      <w:pPr>
        <w:spacing w:after="40"/>
      </w:pPr>
      <w:r>
        <w:t>Apêndice A — Índice de Tabelas e Figuras</w:t>
      </w:r>
    </w:p>
    <w:p>
      <w:r>
        <w:br w:type="page"/>
      </w:r>
    </w:p>
    <w:p>
      <w:pPr>
        <w:pStyle w:val="Heading1"/>
      </w:pPr>
      <w:r>
        <w:t>1. Apresentação e Objetivos</w:t>
      </w:r>
    </w:p>
    <w:p>
      <w:pPr>
        <w:jc w:val="both"/>
      </w:pPr>
      <w:r>
        <w:rPr>
          <w:b w:val="0"/>
          <w:i w:val="0"/>
          <w:sz w:val="22"/>
        </w:rPr>
        <w:t>Este documento consolida os resultados produzidos até o momento no projeto de mineração de dados sobre artrite e reumatismo em idosos brasileiros, com base nos microdados da Pesquisa Nacional de Saúde (PNS) 2019, conduzida pelo IBGE. O objetivo é reunir, em um único material organizado, todas as tabelas, figuras e análises estatísticas geradas pelos notebooks de análise exploratória e de pré-processamento, servindo como base para a redação das seções de Resultados e Discussão do artigo científico.</w:t>
      </w:r>
    </w:p>
    <w:p>
      <w:pPr>
        <w:pStyle w:val="Heading2"/>
      </w:pPr>
      <w:r>
        <w:t>1.1 Objetivo principal do estudo</w:t>
      </w:r>
    </w:p>
    <w:p>
      <w:pPr>
        <w:jc w:val="both"/>
      </w:pPr>
      <w:r>
        <w:rPr>
          <w:b w:val="0"/>
          <w:i w:val="0"/>
          <w:sz w:val="22"/>
        </w:rPr>
        <w:t>Descrever as características nutricionais e sociodemográficas de idosos com artrite e reumatismo, com o propósito de descoberta de conhecimento em bases de dados por meio de modelos de aprendizado de máquina supervisionado aplicados à PNS 2019.</w:t>
      </w:r>
    </w:p>
    <w:p>
      <w:pPr>
        <w:pStyle w:val="Heading2"/>
      </w:pPr>
      <w:r>
        <w:t>1.2 Objetivos secundários</w:t>
      </w:r>
    </w:p>
    <w:p>
      <w:pPr>
        <w:pStyle w:val="ListBullet"/>
      </w:pPr>
      <w:r>
        <w:t>Mapear hábitos alimentares preditores (consumo de ultraprocessados, açúcar, alimentos in natura) extraídos da PNS 2019 via método CAPTO.</w:t>
      </w:r>
    </w:p>
    <w:p>
      <w:pPr>
        <w:pStyle w:val="ListBullet"/>
      </w:pPr>
      <w:r>
        <w:t>Classificar os indivíduos entre perfil Saudável e perfil Portador de Artrite usando algoritmos de Aprendizado de Máquina Supervisionado (Árvore de Decisão, Floresta Aleatória, Naive Bayes, AdaBoost).</w:t>
      </w:r>
    </w:p>
    <w:p>
      <w:pPr>
        <w:pStyle w:val="ListBullet"/>
      </w:pPr>
      <w:r>
        <w:t>Analisar a influência de covariáveis como atividade física, condições físicas/mentais e dados sociodemográficos e antropométricos na classificação do perfil de risco.</w:t>
      </w:r>
    </w:p>
    <w:p>
      <w:pPr>
        <w:pStyle w:val="ListBullet"/>
      </w:pPr>
      <w:r>
        <w:t>Identificar os atributos de maior importância relativa para a classificação por meio de Feature Importance.</w:t>
      </w:r>
    </w:p>
    <w:p>
      <w:pPr>
        <w:pStyle w:val="Heading2"/>
      </w:pPr>
      <w:r>
        <w:t>1.3 O que este documento cobre</w:t>
      </w:r>
    </w:p>
    <w:p>
      <w:pPr>
        <w:jc w:val="both"/>
      </w:pPr>
      <w:r>
        <w:rPr>
          <w:b w:val="0"/>
          <w:i w:val="0"/>
          <w:sz w:val="22"/>
        </w:rPr>
        <w:t>O material aqui apresentado corresponde às fases já concluídas do processo KDD: a compreensão dos dados (análise exploratória e bivariada) e a preparação dos dados (pré-processamento completo). A fase de modelagem — treinamento dos algoritmos de classificação — será conduzida na etapa seguinte e está descrita na Seção 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5E8F0"/>
          </w:tcPr>
          <w:p>
            <w:r/>
            <w:r>
              <w:rPr>
                <w:b/>
                <w:sz w:val="21"/>
              </w:rPr>
              <w:t>Destaque metodológico — dois desenhos de estudo paralelos</w:t>
            </w:r>
          </w:p>
          <w:p>
            <w:r>
              <w:rPr>
                <w:sz w:val="20"/>
              </w:rPr>
              <w:t>Foram construídos dois datasets independentes para a modelagem: (A) Artrite Pura, que compara idosos com artrite isolada contra idosos saudáveis, e (B) Artrite com Comorbidades, que compara idosos com artrite (em qualquer combinação de doenças) contra idosos saudáveis. Ter os dois desenhos permite uma discussão mais rica sobre o trade-off entre pureza do contraste e balanceamento das classes — detalhado na Seção 4.</w:t>
            </w:r>
          </w:p>
        </w:tc>
      </w:tr>
    </w:tbl>
    <w:p/>
    <w:p>
      <w:r>
        <w:br w:type="page"/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Delineamento do estudo (PICOS)</w:t>
      </w:r>
    </w:p>
    <w:p>
      <w:pPr>
        <w:jc w:val="both"/>
      </w:pPr>
      <w:r>
        <w:rPr>
          <w:b w:val="0"/>
          <w:i w:val="0"/>
          <w:sz w:val="22"/>
        </w:rPr>
        <w:t>Trata-se de um estudo transversal retrospectivo baseado em microdados secundários da PNS 2019. A pergunta de pesquisa foi estruturada segundo o acrônimo PICOS: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6803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Definição no estudo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 — População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Idosos com 60 anos ou mais registrados na PNS 2019.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 — Exposição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Padrões nutricionais e variáveis sociodemográficas, físicas, mentais e antropométricas.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 — Comparação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Idosos saudáveis, sem diagnóstico de artrite nem de outras doenças crônicas relevantes.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 — Desfecho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Classificação do perfil individual: Saudável vs. Portador de Artrite/Reumatismo.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S — Tipo de estudo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Estudo transversal com aplicação de processo KDD + aprendizado de máquina supervisionado.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2.1 — Estrutura PICOS da pergunta de pesquisa.</w:t>
      </w:r>
    </w:p>
    <w:p>
      <w:pPr>
        <w:pStyle w:val="Heading2"/>
      </w:pPr>
      <w:r>
        <w:t>2.2 Fonte de dados e construção das bases</w:t>
      </w:r>
    </w:p>
    <w:p>
      <w:pPr>
        <w:jc w:val="both"/>
      </w:pPr>
      <w:r>
        <w:rPr>
          <w:b w:val="0"/>
          <w:i w:val="0"/>
          <w:sz w:val="22"/>
        </w:rPr>
        <w:t>A base original da PNS 2019 contém 293.726 registros e 1.088 atributos organizados em módulos temáticos. A partir dela foram construídas quatro bases de dados específicas por meio de filtros aplicados ao módulo Q (doenças crônicas):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5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type="dxa" w:w="5669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96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N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População idosa geral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Idade ≥ 60 anos.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43.554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Idosos saudáveis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Idade ≥ 60 anos e resposta 'Não' para todas as 14 doenças crônicas do módulo Q.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4.332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Artrite com comorbidades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Idade ≥ 60 anos e Q079 (artrite) = 'Sim', em qualquer combinação de comorbidades.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4.025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Artrite pura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Idade ≥ 60 anos, Q079 = 'Sim' e todas as outras 13 doenças = 'Não'.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494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2.2 — As quatro bases de dados derivadas da PNS 2019 e seus tamanhos amostrais.</w:t>
      </w:r>
    </w:p>
    <w:p>
      <w:pPr>
        <w:jc w:val="both"/>
      </w:pPr>
      <w:r>
        <w:rPr>
          <w:b w:val="0"/>
          <w:i w:val="0"/>
          <w:sz w:val="22"/>
        </w:rPr>
        <w:t>Adicionalmente, sobre todas as bases foram aplicados dois filtros de integridade da entrevista: V0015 = 1 (entrevista do domicílio efetivamente realizada) e M001 = 1 (questionário individual do adulto selecionado realizado). Esses filtros garantem que apenas registros com coleta completa entrem na análise.</w:t>
      </w:r>
    </w:p>
    <w:p>
      <w:pPr>
        <w:pStyle w:val="Heading2"/>
      </w:pPr>
      <w:r>
        <w:t>2.3 Pipeline de pré-processamento</w:t>
      </w:r>
    </w:p>
    <w:p>
      <w:pPr>
        <w:jc w:val="both"/>
      </w:pPr>
      <w:r>
        <w:rPr>
          <w:b w:val="0"/>
          <w:i w:val="0"/>
          <w:sz w:val="22"/>
        </w:rPr>
        <w:t>O pré-processamento foi estruturado em etapas sequenciais e rastreáveis, cada uma documentada em arquivos CSV de log. As principais etapas foram: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Etapa</w:t>
            </w:r>
          </w:p>
        </w:tc>
        <w:tc>
          <w:tcPr>
            <w:tcW w:type="dxa" w:w="6803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Resolução de skip patterns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Preenchimento de valores ausentes estruturais — campos deixados em branco por roteamento condicional do questionário (ex.: quem não pratica exercício não responde 'quantos dias por semana') recebem o valor logicamente implícito.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Auditoria de missing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Variáveis com mais de 75% de valores ausentes reais são descartadas.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Remoção de outliers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Valores além de 3×IQR (calculado por classe) são substituídos por NaN.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Imputação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Valores ausentes reais são imputados pela média (numéricas) ou moda (categóricas) da própria classe.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Fusão de atributos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Criação de atributos compostos: IMC, Escore Inflamatório, Escore Saudável e a razão entre eles.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Categorização ordinal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Conversão de variáveis contínuas em faixas clínicas (faixa etária, IMC-OMS, nível de atividade física).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Encoding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Label Encoding para variáveis ordinais e One-Hot Encoding para nominais.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2.3 — Etapas do pipeline de pré-processamento aplicado a ambos os desenhos.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5E8F0"/>
          </w:tcPr>
          <w:p>
            <w:r/>
            <w:r>
              <w:rPr>
                <w:b/>
                <w:sz w:val="21"/>
              </w:rPr>
              <w:t>Sobre a resolução de skip patterns</w:t>
            </w:r>
          </w:p>
          <w:p>
            <w:r>
              <w:rPr>
                <w:sz w:val="20"/>
              </w:rPr>
              <w:t>Esta etapa é um diferencial metodológico do estudo. O questionário da PNS usa roteamento condicional: a depender de uma resposta, perguntas seguintes são puladas. O campo fica vazio, mas esse vazio NÃO é dado faltante — é um valor estruturalmente determinado. Tratá-lo como missing aleatório e imputá-lo pela média introduz viés. A etapa de skip patterns preenche esses campos com o valor logicamente correto antes da auditoria de missing.</w:t>
            </w:r>
          </w:p>
        </w:tc>
      </w:tr>
    </w:tbl>
    <w:p/>
    <w:p>
      <w:r>
        <w:br w:type="page"/>
      </w:r>
    </w:p>
    <w:p>
      <w:pPr>
        <w:pStyle w:val="Heading1"/>
      </w:pPr>
      <w:r>
        <w:t>3. Resultados — Análise Exploratória e Bivariada</w:t>
      </w:r>
    </w:p>
    <w:p>
      <w:pPr>
        <w:jc w:val="both"/>
      </w:pPr>
      <w:r>
        <w:rPr>
          <w:b w:val="0"/>
          <w:i w:val="0"/>
          <w:sz w:val="22"/>
        </w:rPr>
        <w:t>Esta seção apresenta a análise exploratória e bivariada comparando idosos com artrite pura contra idosos saudáveis, além da comparação descritiva entre as quatro bases. Todos os testes adotaram nível de significância α = 0,05; a notação de significância segue: *** p&lt;0,001; ** p&lt;0,01; * p&lt;0,05; ns = não significativo.</w:t>
      </w:r>
    </w:p>
    <w:p>
      <w:pPr>
        <w:pStyle w:val="Heading2"/>
      </w:pPr>
      <w:r>
        <w:t>3.1 Prevalência de artrite por subgrupo</w:t>
      </w:r>
    </w:p>
    <w:p>
      <w:pPr>
        <w:jc w:val="both"/>
      </w:pPr>
      <w:r>
        <w:rPr>
          <w:b w:val="0"/>
          <w:i w:val="0"/>
          <w:sz w:val="22"/>
        </w:rPr>
        <w:t>A prevalência global de artrite/reumatismo entre os idosos da PNS 2019 foi de 17,71% (IC95% 17,21–18,21). A análise por subgrupo revela um gradiente marcante por sexo e idade, conforme a Tabela 3.1 e a Figura 3.1.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Subgrupo</w:t>
            </w:r>
          </w:p>
        </w:tc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n Artrite</w:t>
            </w:r>
          </w:p>
        </w:tc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Prevalência (%)</w:t>
            </w:r>
          </w:p>
        </w:tc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IC95% Inf (%)</w:t>
            </w:r>
          </w:p>
        </w:tc>
        <w:tc>
          <w:tcPr>
            <w:tcW w:type="dxa" w:w="15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IC95% Sup (%)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Global (Idosos ≥60)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22728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4025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17.71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17.21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18.21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Sexo: Masculino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10193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877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8.6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8.06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9.15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Sexo: Feminino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12535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3148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25.11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24.35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25.87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Idade: 60–69 anos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12555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2089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16.64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15.99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17.29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Idade: 70–79 anos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7157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1318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18.42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17.52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19.31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Idade: 80+ anos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3016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618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20.49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19.05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21.93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Escol.: Sem instrução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4717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752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15.94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14.9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16.99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Escol.: Fund. incompleto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10270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1887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18.37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17.62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19.12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Escol.: Fund. completo/Médio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5040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953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18.91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17.83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19.99</w:t>
            </w:r>
          </w:p>
        </w:tc>
      </w:tr>
      <w:tr>
        <w:tc>
          <w:tcPr>
            <w:tcW w:type="dxa" w:w="1568"/>
          </w:tcPr>
          <w:p>
            <w:r>
              <w:rPr>
                <w:sz w:val="17"/>
              </w:rPr>
              <w:t>Escol.: Superior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2701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433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16.03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14.65</w:t>
            </w:r>
          </w:p>
        </w:tc>
        <w:tc>
          <w:tcPr>
            <w:tcW w:type="dxa" w:w="1568"/>
          </w:tcPr>
          <w:p>
            <w:r>
              <w:rPr>
                <w:sz w:val="17"/>
              </w:rPr>
              <w:t>17.41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3.1 — Prevalência de artrite por subgrupo, com intervalo de confiança de 95%.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2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B_prevalencia_subgrup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2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3.1 — Prevalência de artrite por subgrupo com IC95%. A linha tracejada marca a prevalência global de 17,7%.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Leitura dos achados — prevalência</w:t>
            </w:r>
          </w:p>
          <w:p>
            <w:r>
              <w:rPr>
                <w:sz w:val="20"/>
              </w:rPr>
              <w:t>O achado mais forte é o gradiente por sexo: a prevalência em mulheres (25,1%) é quase três vezes a dos homens (8,6%). Há também gradiente etário positivo (16,6% aos 60–69 anos sobe para 20,5% aos 80+). Já a escolaridade mostra prevalência relativamente estável (15,9%–18,9%), sugerindo que o nível educacional isoladamente não é um forte marcador de risco nesta amostra. Esses padrões são consistentes com a literatura epidemiológica sobre doenças osteoarticulares e devem ser explorados na Discussão.</w:t>
            </w:r>
          </w:p>
        </w:tc>
      </w:tr>
    </w:tbl>
    <w:p/>
    <w:p>
      <w:pPr>
        <w:pStyle w:val="Heading2"/>
      </w:pPr>
      <w:r>
        <w:t>3.2 Comparação descritiva das quatro bases</w:t>
      </w:r>
    </w:p>
    <w:p>
      <w:pPr>
        <w:jc w:val="both"/>
      </w:pPr>
      <w:r>
        <w:rPr>
          <w:b w:val="0"/>
          <w:i w:val="0"/>
          <w:sz w:val="22"/>
        </w:rPr>
        <w:t>A Tabela 3.2 compara as quatro bases quanto a idade, IMC, prática de exercício, consumo de ultraprocessados e proporção de mulheres. O teste de Kruskal-Wallis foi usado para as variáveis quantitativas e o qui-quadrado para as proporções. A Figura 3.2 ilustra as distribuições de idade e IMC.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Variável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Base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Mediana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IQR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Média±DP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H (KW)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p-valor (KW)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Sig.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OR vs Geral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IC 95% OR</w:t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Idade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Geral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22728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68.0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64.0–75.0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70.0±7.9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175.638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7.7161e-38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Idade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(c/ comor.)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4025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69.0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64.0–76.0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70.7±8.0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175.638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7.7161e-38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Idade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Pura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494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67.0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63.0–75.0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69.7±8.4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175.638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7.7161e-38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Idade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Saudáveis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4332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67.0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63.0–73.0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68.7±7.6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175.638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7.7161e-38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IMC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Geral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22726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25.91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23.3–29.0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26.4±4.6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413.96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2.0950999999999998e-89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IMC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(c/ comor.)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4025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26.83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23.9–30.1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27.3±5.1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413.96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2.0950999999999998e-89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IMC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Pura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494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25.31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22.8–28.4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25.7±4.3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413.96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2.0950999999999998e-89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IMC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Saudáveis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4330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24.82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22.5–27.5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25.2±4.0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413.96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2.0950999999999998e-89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Exercicio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Geral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6472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3.9±1.9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15.778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0.001259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Exercicio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(c/ comor.)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1120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3.7±1.8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15.778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0.001259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Exercicio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Pura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133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3.6±1.7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15.778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0.001259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Exercicio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Saudáveis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1218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3.9±1.9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15.778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0.001259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Ultraproc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Geral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9499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3.2±2.1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0.413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0.9376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Ultraproc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(c/ comor.)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1678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1.0–5.0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3.2±2.2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0.413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0.9376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Ultraproc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Pura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204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2.0–4.0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3.1±2.1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0.413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0.9376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Ultraproc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Saudáveis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1889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1.0–4.0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3.1±2.1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0.413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0.9376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  <w:tc>
          <w:tcPr>
            <w:tcW w:type="dxa" w:w="85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% Feminino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Geral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22728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55.2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55.2%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55.2%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1160.136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3.2682000000000002e-251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—</w:t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% Feminino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(c/ comor.)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4025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78.2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78.2%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78.2%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1160.136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3.2682000000000002e-251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2.92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[2.7; 3.16]</w:t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% Feminino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Artrite Pura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494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65.0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65.0%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65.0%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1160.136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3.2682000000000002e-251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1.51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[1.25; 1.82]</w:t>
            </w:r>
          </w:p>
        </w:tc>
      </w:tr>
      <w:tr>
        <w:tc>
          <w:tcPr>
            <w:tcW w:type="dxa" w:w="855"/>
          </w:tcPr>
          <w:p>
            <w:r>
              <w:rPr>
                <w:sz w:val="15"/>
              </w:rPr>
              <w:t>% Feminino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Saudáveis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4332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42.3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42.3%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42.3%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1160.136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3.2682000000000002e-251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***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855"/>
          </w:tcPr>
          <w:p>
            <w:r>
              <w:rPr>
                <w:sz w:val="15"/>
              </w:rPr>
              <w:t>[0.56; 0.64]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3.2 — Comparação das quatro bases (Kruskal-Wallis para quantitativas; χ² + Odds Ratio para a proporção de mulheres).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239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A_boxplots_quatro_b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3.2 — Distribuição de idade e IMC nas quatro bases.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Leitura dos achados — comparação das bases</w:t>
            </w:r>
          </w:p>
          <w:p>
            <w:r>
              <w:rPr>
                <w:sz w:val="20"/>
              </w:rPr>
              <w:t>O IMC é a variável que mais separa os grupos: a base 'Artrite com comorbidades' tem mediana de IMC de 26,8 kg/m², contra 24,8 da base Saudáveis (p&lt;0,001). Interessante notar que a base 'Artrite Pura' tem IMC mediano de 25,3 — mais baixo que o da artrite com comorbidades, o que sugere que parte do excesso de peso observado em artríticos é mediado pelas comorbidades associadas (hipertensão, diabetes). A proporção feminina também é fortemente discriminante: 78,2% na artrite com comorbidades (OR 2,92 vs. base geral) e 65,0% na artrite pura (OR 1,51).</w:t>
            </w:r>
          </w:p>
        </w:tc>
      </w:tr>
    </w:tbl>
    <w:p/>
    <w:p>
      <w:pPr>
        <w:pStyle w:val="Heading2"/>
      </w:pPr>
      <w:r>
        <w:t>3.3 Características quantitativas — Artrite Pura vs. Saudáveis</w:t>
      </w:r>
    </w:p>
    <w:p>
      <w:pPr>
        <w:jc w:val="both"/>
      </w:pPr>
      <w:r>
        <w:rPr>
          <w:b w:val="0"/>
          <w:i w:val="0"/>
          <w:sz w:val="22"/>
        </w:rPr>
        <w:t>A Tabela 3.3 apresenta as variáveis quantitativas no formato 'Tabela 1' de artigo científico (wide), com mediana, IQR, média ± DP e p-valor do teste de Mann-Whitney U para cada grupo. A Figura 3.3 traz os boxplots correspondentes.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Variável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n Artrite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Artrite Md (IQR)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Artrite Méd±DP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n Saudável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Saudável Md (IQR)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Saudável Méd±DP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Teste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p-valor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Sig.</w:t>
            </w:r>
          </w:p>
        </w:tc>
        <w:tc>
          <w:tcPr>
            <w:tcW w:type="dxa" w:w="855"/>
            <w:shd w:val="clear" w:color="auto" w:fill="2E75B6"/>
          </w:tcPr>
          <w:p>
            <w:r>
              <w:rPr>
                <w:b/>
                <w:color w:val="FFFFFF"/>
                <w:sz w:val="14"/>
              </w:rPr>
              <w:t>Normal (Shapiro)?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Idade (anos)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494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67.0 (63.0–75.0)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69.7±8.4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4332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67.0 (63.0–73.0)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68.7±7.6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0.057926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IMC (kg/m²)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494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25.3 (22.8–28.4)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25.7±4.3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4330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24.8 (22.5–27.5)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25.2±4.0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0.0061311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Exercício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133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3.6±1.7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1218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3.9±1.9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0.1291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Frutas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459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6.0 (3.0–7.0)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5.1±2.0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3963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5.0 (3.0–7.0)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4.8±2.1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0.0010578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**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Verduras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456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6.0 (3.0–7.0)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5.1±2.1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3950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5.0 (3.0–7.0)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5.0±2.2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0.13602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Peixe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294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2.2±1.5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2521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2.2±1.6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0.20931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Carne vermelha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427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3.6±1.9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3939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3.6±1.9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0.86677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Doces/ultraproc.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204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(2.0–4.0)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3.1±2.1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1889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(1.0–4.0)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3.1±2.1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0.70875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Refrigerante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142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1.0 (1.0–2.0)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2.1±1.6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1352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2.4±1.8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0.011508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*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Feijão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126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(1.2–5.8)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3.5±2.3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1136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3.4±2.1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0.87167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Leite/derivados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368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7.0 (4.8–7.0)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5.7±2.1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3192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7.0 (4.0–7.0)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5.5±2.1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0.12161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Frango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348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3.8±2.1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3042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3.0 (2.0–5.0)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3.8±2.1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0.75054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  <w:tr>
        <w:tc>
          <w:tcPr>
            <w:tcW w:type="dxa" w:w="855"/>
          </w:tcPr>
          <w:p>
            <w:r>
              <w:rPr>
                <w:sz w:val="14"/>
              </w:rPr>
              <w:t>Embutidos (dias/sem.)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51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2.5±2.1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403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2.0 (1.0–3.0)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2.2±1.7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Mann-Whitney U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0.91945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ns</w:t>
            </w:r>
          </w:p>
        </w:tc>
        <w:tc>
          <w:tcPr>
            <w:tcW w:type="dxa" w:w="855"/>
          </w:tcPr>
          <w:p>
            <w:r>
              <w:rPr>
                <w:sz w:val="14"/>
              </w:rPr>
              <w:t>Não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3.3 — Características quantitativas: idosos com artrite pura vs. saudáveis.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A_boxplots_quantitativ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3.3 — Boxplots das variáveis quantitativas por grupo (artrite pura vs. saudáveis).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Leitura dos achados — variáveis quantitativas</w:t>
            </w:r>
          </w:p>
          <w:p>
            <w:r>
              <w:rPr>
                <w:sz w:val="20"/>
              </w:rPr>
              <w:t>Apenas três variáveis atingiram significância estatística: IMC (p&lt;0,01, maior nos artríticos), consumo de frutas (p&lt;0,01, maior nos artríticos) e consumo de refrigerante (p&lt;0,05, menor nos artríticos). Os dois últimos achados são contraintuitivos sob a hipótese inflamatória — esperar-se-ia que artríticos consumissem MENOS frutas e MAIS refrigerante. A explicação mais provável é o viés de causalidade reversa: pacientes que recebem o diagnóstico modificam hábitos alimentares buscando melhora clínica. Este é um ponto central a ser discutido no artigo (ver Seção 5).</w:t>
            </w:r>
          </w:p>
        </w:tc>
      </w:tr>
    </w:tbl>
    <w:p/>
    <w:p>
      <w:pPr>
        <w:pStyle w:val="Heading2"/>
      </w:pPr>
      <w:r>
        <w:t>3.4 Características qualitativas — Artrite Pura vs. Saudáveis</w:t>
      </w:r>
    </w:p>
    <w:p>
      <w:pPr>
        <w:jc w:val="both"/>
      </w:pPr>
      <w:r>
        <w:rPr>
          <w:b w:val="0"/>
          <w:i w:val="0"/>
          <w:sz w:val="22"/>
        </w:rPr>
        <w:t>A Tabela 3.4 detalha as variáveis categóricas, com contagem e percentual por grupo e p-valor do teste qui-quadrado. A Figura 3.4 mostra a distribuição percentual.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Variável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Categoria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n Artrite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% Artrite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n Saudável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% Saudável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Teste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p-valor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5"/>
              </w:rPr>
              <w:t>Sig.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  <w:t>Sexo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Homem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173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35.0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2501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57.7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χ²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1.0247e-21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***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Mulher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321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65.0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1831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42.3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  <w:t>Praticou Exercício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Não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360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72.9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3084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71.2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χ²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0.4644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Sim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134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27.1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1248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28.8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  <w:t>Plano de Saúde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Não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438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88.7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4002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92.4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χ²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0.0051277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**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Sim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11.3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330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7.6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  <w:t>Autoavaliação Saúde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Boa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179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36.2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2212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51.1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χ²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1.3784e-29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***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Regular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216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43.7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1295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29.9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Muito boa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6.3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632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14.6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Ruim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11.1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164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3.8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Muito ruim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2.6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0.7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  <w:t>Escolaridade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Fundamental incompleto ou equivalente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214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43.3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1850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42.7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χ²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0.80605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Sem instrução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20.2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918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21.2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Médio completo ou equivalente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73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14.8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619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14.3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Superior completo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11.1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483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11.1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Fundamental completo ou equivalente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274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6.3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Médio incompleto ou equivalente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3.2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133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3.1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Superior incompleto ou equivalente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2.0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  <w:t>1.3</w:t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  <w:tc>
          <w:tcPr>
            <w:tcW w:type="dxa" w:w="1045"/>
          </w:tcPr>
          <w:p>
            <w:r>
              <w:rPr>
                <w:sz w:val="15"/>
              </w:rPr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3.4 — Características qualitativas: idosos com artrite pura vs. saudáveis.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25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B_barras_qualitativ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5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3.4 — Distribuição percentual das variáveis qualitativas por grupo.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Leitura dos achados — variáveis qualitativas</w:t>
            </w:r>
          </w:p>
          <w:p>
            <w:r>
              <w:rPr>
                <w:sz w:val="20"/>
              </w:rPr>
              <w:t>Três variáveis foram altamente significativas (p&lt;0,001): sexo, autoavaliação de saúde e — em menor grau — posse de plano de saúde (p&lt;0,01). Entre os artríticos, 65% são mulheres (vs. 42,3% nos saudáveis) e a moda da autoavaliação de saúde é 'Regular' (vs. 'Boa' nos saudáveis). A escolaridade e a prática de exercício não apresentaram diferença significativa entre os grupos. O perfil que emerge é o de uma idosa que se percebe com saúde pior — coerente com o impacto funcional da artrite na qualidade de vida.</w:t>
            </w:r>
          </w:p>
        </w:tc>
      </w:tr>
    </w:tbl>
    <w:p/>
    <w:p>
      <w:pPr>
        <w:pStyle w:val="Heading2"/>
      </w:pPr>
      <w:r>
        <w:t>3.5 Análise bivariada completa</w:t>
      </w:r>
    </w:p>
    <w:p>
      <w:pPr>
        <w:jc w:val="both"/>
      </w:pPr>
      <w:r>
        <w:rPr>
          <w:b w:val="0"/>
          <w:i w:val="0"/>
          <w:sz w:val="22"/>
        </w:rPr>
        <w:t>A Tabela 3.5 reúne todas as variáveis (quantitativas e qualitativas) com o teste estatístico apropriado, a estatística obtida, o p-valor e o intervalo de confiança de 95% da diferença de medianas (para quantitativas, via bootstrap percentílico com 2.000 réplicas).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Variável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Tipo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Artrite Med(IQR)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Saudável Med(IQR)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Teste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Estatística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p-valor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IC95% dif.med.</w:t>
            </w:r>
          </w:p>
        </w:tc>
        <w:tc>
          <w:tcPr>
            <w:tcW w:type="dxa" w:w="1045"/>
            <w:shd w:val="clear" w:color="auto" w:fill="2E75B6"/>
          </w:tcPr>
          <w:p>
            <w:r>
              <w:rPr>
                <w:b/>
                <w:color w:val="FFFFFF"/>
                <w:sz w:val="13"/>
              </w:rPr>
              <w:t>Sig. α=5%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Idade (anos)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67.0 (63.0–75.0)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67.0 (63.0–73.0)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U=1125555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0.057926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2.00]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IMC (kg/m²)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25.3 (22.8–28.4)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24.8 (22.5–27.5)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U=1149886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0.0061311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[0.04; 0.88]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Exercício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U=74618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0.1291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Frutas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6.0 (3.0–7.0)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5.0 (3.0–7.0)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U=990901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0.0010578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2.00]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Verduras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6.0 (3.0–7.0)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5.0 (3.0–7.0)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U=936983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0.13602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2.00]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Peixe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U=386185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0.20931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Carne vermelha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U=836894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0.86677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Doces/ultraproc.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(2.0–4.0)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(1.0–4.0)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U=195674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0.70875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1.00]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Refrigerante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1.0 (1.0–2.0)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U=84268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0.011508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Feijão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(1.2–5.8)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U=70952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0.87167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Leite/derivados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7.0 (4.8–7.0)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7.0 (4.0–7.0)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U=612728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0.12161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Frango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3.0 (2.0–5.0)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U=534716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0.75054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[0.00; 1.00]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Embutidos (dias/sem.)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Quantitativa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2.0 (1.0–3.0)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Mann-Whitney U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U=10192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0.91945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[-1.00; 0.00]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Sexo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Qualitativa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Mulher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Homem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Qui-Quadrado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χ²=91.669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1.0247e-21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***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Praticou Exercício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Qualitativa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Não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Não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Qui-Quadrado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χ²=0.535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0.4644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Plano de Saúde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Qualitativa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Não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Não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Qui-Quadrado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χ²=7.834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0.0051277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Autoavaliação Saúde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Qualitativa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Regular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Boa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Qui-Quadrado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χ²=141.454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1.3784e-29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***</w:t>
            </w:r>
          </w:p>
        </w:tc>
      </w:tr>
      <w:tr>
        <w:tc>
          <w:tcPr>
            <w:tcW w:type="dxa" w:w="1045"/>
          </w:tcPr>
          <w:p>
            <w:r>
              <w:rPr>
                <w:sz w:val="13"/>
              </w:rPr>
              <w:t>Escolaridade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Qualitativa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Fundamental incompleto ou equivalente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Moda: Fundamental incompleto ou equivalente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Qui-Quadrado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χ²=3.022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0.80605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sz w:val="13"/>
              </w:rPr>
              <w:t>ns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3.5 — Análise bivariada completa: artrite pura vs. saudáveis.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Síntese da análise bivariada</w:t>
            </w:r>
          </w:p>
          <w:p>
            <w:r>
              <w:rPr>
                <w:sz w:val="20"/>
              </w:rPr>
              <w:t>Das 18 variáveis testadas, 6 foram estatisticamente significativas: sexo (***), autoavaliação de saúde (***), plano de saúde (**), IMC (**), consumo de frutas (**) e consumo de refrigerante (*). Notavelmente, NENHUMA variável de hábito alimentar pró-inflamatório (carne vermelha, doces, embutidos) atingiu significância — um achado que vai contra a hipótese nutricional inicial e merece discussão cuidadosa. A correlação entre as preditoras quantitativas (Tabela 2-D do notebook) não identificou nenhum par com |ρ| &gt; 0,50, ou seja, não há multicolinearidade relevante entre as variáveis alimentares.</w:t>
            </w:r>
          </w:p>
        </w:tc>
      </w:tr>
    </w:tbl>
    <w:p/>
    <w:p>
      <w:r>
        <w:br w:type="page"/>
      </w:r>
    </w:p>
    <w:p>
      <w:pPr>
        <w:pStyle w:val="Heading1"/>
      </w:pPr>
      <w:r>
        <w:t>4. Resultados — Pré-Processamento e os Dois Desenhos de Estudo</w:t>
      </w:r>
    </w:p>
    <w:p>
      <w:pPr>
        <w:jc w:val="both"/>
      </w:pPr>
      <w:r>
        <w:rPr>
          <w:b w:val="0"/>
          <w:i w:val="0"/>
          <w:sz w:val="22"/>
        </w:rPr>
        <w:t>O pré-processamento foi executado em dois desenhos paralelos. A Tabela 4.1 resume os dois datasets finais lado a 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Característica</w:t>
            </w:r>
          </w:p>
        </w:tc>
        <w:tc>
          <w:tcPr>
            <w:tcW w:type="dxa" w:w="3231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Desenho A — Artrite Pura</w:t>
            </w:r>
          </w:p>
        </w:tc>
        <w:tc>
          <w:tcPr>
            <w:tcW w:type="dxa" w:w="3288"/>
            <w:shd w:val="clear" w:color="auto" w:fill="2E75B6"/>
          </w:tcPr>
          <w:p>
            <w:r>
              <w:rPr>
                <w:b/>
                <w:color w:val="FFFFFF"/>
                <w:sz w:val="17"/>
              </w:rPr>
              <w:t>Desenho B — Artrite c/ Comorbidades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Banco de origem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idosos_artrite_puro.db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idosos_artrite.db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N total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4.826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8.357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Casos (artrite)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494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4.025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Controles (saudáveis)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4.332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4.332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Razão de desbalanceamento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8.77:1 (severo)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1.08:1 (quase 1:1)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Nº de features finais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57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Variáveis Q* como preditoras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Não (constantes — removidas)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Sim (variam — mantidas)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4.1 — Comparação dos dois datasets finais produzidos pelo pré-processamento.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5E8F0"/>
          </w:tcPr>
          <w:p>
            <w:r/>
            <w:r>
              <w:rPr>
                <w:b/>
                <w:sz w:val="21"/>
              </w:rPr>
              <w:t>Por que dois desenhos? O trade-off central</w:t>
            </w:r>
          </w:p>
          <w:p>
            <w:r>
              <w:rPr>
                <w:sz w:val="20"/>
              </w:rPr>
              <w:t>O Desenho A (artrite pura) oferece um contraste limpo — compara artrite isolada contra saúde plena —, mas sofre desbalanceamento severo (8,77:1) e representa um perfil clinicamente raro (idoso com artrite e nenhuma outra doença crônica). O Desenho B (artrite com comorbidades) é quase perfeitamente balanceado (1,08:1) e clinicamente realista, mas introduz um risco de vazamento metodológico: como as demais doenças do módulo Q foram usadas como filtro para definir o grupo Saudável, elas tornam-se preditores artificialmente fortes. Apresentar os dois desenhos ao banco examinador e discutir esse trade-off é, em si, uma contribuição metodológica do trabalho.</w:t>
            </w:r>
          </w:p>
        </w:tc>
      </w:tr>
    </w:tbl>
    <w:p/>
    <w:p>
      <w:pPr>
        <w:pStyle w:val="Heading2"/>
      </w:pPr>
      <w:r>
        <w:t>4.1 Resolução de skip patterns</w:t>
      </w:r>
    </w:p>
    <w:p>
      <w:pPr>
        <w:jc w:val="both"/>
      </w:pPr>
      <w:r>
        <w:rPr>
          <w:b w:val="0"/>
          <w:i w:val="0"/>
          <w:sz w:val="22"/>
        </w:rPr>
        <w:t>A resolução de skip patterns preencheu 1.344 valores estruturais no Desenho A e 1.489 no Desenho B. Em ambos os casos, o grosso da correção concentra-se na variável J012 (número de consultas médicas nos últimos 12 meses): idosos que declararam não ter consultado médico no último ano tinham esse campo vazio, agora corretamente preenchido com 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75B6"/>
          </w:tcPr>
          <w:p>
            <w:r>
              <w:rPr>
                <w:b/>
                <w:color w:val="FFFFFF"/>
                <w:sz w:val="16"/>
              </w:rPr>
              <w:t>Variável</w:t>
            </w:r>
          </w:p>
        </w:tc>
        <w:tc>
          <w:tcPr>
            <w:tcW w:type="dxa" w:w="1881"/>
            <w:shd w:val="clear" w:color="auto" w:fill="2E75B6"/>
          </w:tcPr>
          <w:p>
            <w:r>
              <w:rPr>
                <w:b/>
                <w:color w:val="FFFFFF"/>
                <w:sz w:val="16"/>
              </w:rPr>
              <w:t>Pai</w:t>
            </w:r>
          </w:p>
        </w:tc>
        <w:tc>
          <w:tcPr>
            <w:tcW w:type="dxa" w:w="1881"/>
            <w:shd w:val="clear" w:color="auto" w:fill="2E75B6"/>
          </w:tcPr>
          <w:p>
            <w:r>
              <w:rPr>
                <w:b/>
                <w:color w:val="FFFFFF"/>
                <w:sz w:val="16"/>
              </w:rPr>
              <w:t>Condição</w:t>
            </w:r>
          </w:p>
        </w:tc>
        <w:tc>
          <w:tcPr>
            <w:tcW w:type="dxa" w:w="1881"/>
            <w:shd w:val="clear" w:color="auto" w:fill="2E75B6"/>
          </w:tcPr>
          <w:p>
            <w:r>
              <w:rPr>
                <w:b/>
                <w:color w:val="FFFFFF"/>
                <w:sz w:val="16"/>
              </w:rPr>
              <w:t>Valor_Implicito</w:t>
            </w:r>
          </w:p>
        </w:tc>
        <w:tc>
          <w:tcPr>
            <w:tcW w:type="dxa" w:w="1881"/>
            <w:shd w:val="clear" w:color="auto" w:fill="2E75B6"/>
          </w:tcPr>
          <w:p>
            <w:r>
              <w:rPr>
                <w:b/>
                <w:color w:val="FFFFFF"/>
                <w:sz w:val="16"/>
              </w:rPr>
              <w:t>n_preenchidos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P035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P034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P034=2 (Não pratica)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 dias/sem.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P02801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P027∈{1,2} (não bebe sem.)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 dias/sem.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P029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P027=1 (nunca bebe)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 doses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P03201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P027=1 (nunca bebe)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'2' (Não)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J012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J01101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J01101≠1 (não consultou)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 consultas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1489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G060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G059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G059=2 (não usa aparelho)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'2' (Não)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G062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G059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G059=2 (não usa aparelho)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'2' (Não)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0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4.2 — Mapa de skip patterns resolvidos (valores do Desenho B).</w:t>
      </w:r>
    </w:p>
    <w:p>
      <w:pPr>
        <w:pStyle w:val="Heading2"/>
      </w:pPr>
      <w:r>
        <w:t>4.2 Auditoria de missing, outliers e imputação</w:t>
      </w:r>
    </w:p>
    <w:p>
      <w:pPr>
        <w:jc w:val="both"/>
      </w:pPr>
      <w:r>
        <w:rPr>
          <w:b w:val="0"/>
          <w:i w:val="0"/>
          <w:sz w:val="22"/>
        </w:rPr>
        <w:t>No Desenho A foram excluídas 13 variáveis por excesso de missing (&gt;75%). 50 outliers substituídos por NaN e 27.455 valores imputados. No Desenho B. 16 variáveis excluídas. 208 outliers e 29.768 valores imputados. A Figura 4.1 mostra o mapa de calor de dados ausentes por variável e grupo (Desenho 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878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apa3_heatmap_mi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4.1 — Mapa de calor de dados ausentes reais por variável e grupo (Desenho B), após a resolução de skip patterns.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53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apa4_boxplots_outl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53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4.2 — Boxplots antes e depois da remoção de outliers (Desenho B).</w:t>
      </w:r>
    </w:p>
    <w:p>
      <w:pPr>
        <w:pStyle w:val="Heading2"/>
      </w:pPr>
      <w:r>
        <w:t>4.3 Caracterização da multimorbidade nos idosos com artrite</w:t>
      </w:r>
    </w:p>
    <w:p>
      <w:pPr>
        <w:jc w:val="both"/>
      </w:pPr>
      <w:r>
        <w:rPr>
          <w:b w:val="0"/>
          <w:i w:val="0"/>
          <w:sz w:val="22"/>
        </w:rPr>
        <w:t>Uma análise exclusiva do Desenho B caracteriza quantas e quais comorbidades os idosos com artrite apresentam. Este é um dos achados descritivos mais relevantes para a Discussão do artigo: o idoso com artrite é, tipicamente, um idoso multimórbido.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2835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Doença</w:t>
            </w:r>
          </w:p>
        </w:tc>
        <w:tc>
          <w:tcPr>
            <w:tcW w:type="dxa" w:w="113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13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Q00201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Hipertensão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2627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65.3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Q060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Colesterol alto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1603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39.8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Q03001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Diabetes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880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21.9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Q092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Depressão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785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19.5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Q06306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Doença cardíaca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716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17.8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Q120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Câncer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8.8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Q074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Asma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7.7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Q11006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Outra doença mental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7.5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Q068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AVC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272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6.8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Q11604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DPOC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165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4.1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Q124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Renal crônica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138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3.4</w:t>
            </w:r>
          </w:p>
        </w:tc>
      </w:tr>
    </w:tbl>
    <w:p>
      <w:pPr>
        <w:spacing w:after="200"/>
      </w:pPr>
      <w:r>
        <w:rPr>
          <w:i/>
          <w:color w:val="595959"/>
          <w:sz w:val="18"/>
        </w:rPr>
        <w:t>Tabela 4.3 — Prevalência de cada comorbidade entre os 4.025 idosos com artrite.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20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apa3_5_comorbida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4.3 — Distribuição do número de comorbidades por idoso com artrite (esquerda) e prevalência de cada doença crônica associada (direita).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/>
            <w:r>
              <w:rPr>
                <w:b/>
                <w:sz w:val="21"/>
              </w:rPr>
              <w:t>Leitura dos achados — multimorbidade</w:t>
            </w:r>
          </w:p>
          <w:p>
            <w:r>
              <w:rPr>
                <w:sz w:val="20"/>
              </w:rPr>
              <w:t>Entre os 4.025 idosos com artrite, 65,3% também têm hipertensão, 39,8% colesterol alto, 21,9% diabetes e 19,5% depressão. Apenas uma fração pequena tem artrite isolada (os 494 do Desenho A). Isso fundamenta um argumento importante para o artigo: estudar a 'artrite pura' representa um perfil clinicamente atípico — na prática, o idoso brasileiro com artrite carrega, em média, mais de uma comorbidade. A associação artrite–depressão (19,5%) é especialmente relevante por dialogar diretamente com Cancella &amp; Zárate (2025) e Xue et al. (2020).</w:t>
            </w:r>
          </w:p>
        </w:tc>
      </w:tr>
    </w:tbl>
    <w:p/>
    <w:p>
      <w:pPr>
        <w:pStyle w:val="Heading2"/>
      </w:pPr>
      <w:r>
        <w:t>4.4 Diagnóstico dos datasets finais</w:t>
      </w:r>
    </w:p>
    <w:p>
      <w:pPr>
        <w:jc w:val="both"/>
      </w:pPr>
      <w:r>
        <w:rPr>
          <w:b w:val="0"/>
          <w:i w:val="0"/>
          <w:sz w:val="22"/>
        </w:rPr>
        <w:t>As Figuras 4.4 e 4.5 mostram o diagnóstico final de cada dataset: distribuição das classes, IMC por grupo e escores alimentares por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951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apa9_diagnostico_dataset_fi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9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4.4 — Diagnóstico do dataset final do Desenho A (artrite pura). Note o desbalanceamento severo entre as classes.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95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apa9_diagnostico_dataset_f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9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95959"/>
          <w:sz w:val="18"/>
        </w:rPr>
        <w:t>Figura 4.5 — Diagnóstico do dataset final do Desenho B (artrite com comorbidades). As classes estão quase perfeitamente balanceadas.</w:t>
      </w:r>
    </w:p>
    <w:p>
      <w:r>
        <w:br w:type="page"/>
      </w:r>
    </w:p>
    <w:p>
      <w:pPr>
        <w:pStyle w:val="Heading1"/>
      </w:pPr>
      <w:r>
        <w:t>5. Discussões Propostas para o Artigo</w:t>
      </w:r>
    </w:p>
    <w:p>
      <w:pPr>
        <w:jc w:val="both"/>
      </w:pPr>
      <w:r>
        <w:rPr>
          <w:b w:val="0"/>
          <w:i w:val="0"/>
          <w:sz w:val="22"/>
        </w:rPr>
        <w:t>Esta seção reúne os pontos de discussão mais férteis identificados a partir dos resultados. Cada item é uma semente de parágrafo para a seção de Discussão do artigo.</w:t>
      </w:r>
    </w:p>
    <w:p>
      <w:pPr>
        <w:pStyle w:val="Heading2"/>
      </w:pPr>
      <w:r>
        <w:t>5.1 O paradoxo nutricional e a causalidade reversa</w:t>
      </w:r>
    </w:p>
    <w:p>
      <w:pPr>
        <w:jc w:val="both"/>
      </w:pPr>
      <w:r>
        <w:rPr>
          <w:b w:val="0"/>
          <w:i w:val="0"/>
          <w:sz w:val="22"/>
        </w:rPr>
        <w:t>A hipótese inicial do estudo previa que idosos com artrite teriam um padrão alimentar mais pró-inflamatório. Os dados, porém, mostram o contrário em duas variáveis significativas: artríticos consomem MAIS frutas e MENOS refrigerante que os saudáveis. A explicação mais plausível é a causalidade reversa, inerente ao delineamento transversal: o diagnóstico de artrite leva o paciente a modificar a dieta. Esta limitação deve ser explicitamente discutida e ancorada na literatura (Hernán et al., 2004, sobre viés de seleção e causalidade reversa).</w:t>
      </w:r>
    </w:p>
    <w:p>
      <w:pPr>
        <w:pStyle w:val="Heading2"/>
      </w:pPr>
      <w:r>
        <w:t>5.2 O peso (IMC) como elo entre artrite e comorbidades</w:t>
      </w:r>
    </w:p>
    <w:p>
      <w:pPr>
        <w:jc w:val="both"/>
      </w:pPr>
      <w:r>
        <w:rPr>
          <w:b w:val="0"/>
          <w:i w:val="0"/>
          <w:sz w:val="22"/>
        </w:rPr>
        <w:t>O IMC foi significativo em todas as análises. Mais interessante é o gradiente entre as bases: artrite pura (25,3) &lt; artrite com comorbidades (26,8). Isso sugere que o excesso de peso observado em artríticos é, em parte, mediado pelas comorbidades metabólicas associadas (hipertensão, diabetes). Uma análise de mediação — ou ao menos uma discussão qualitativa desse mecanismo — enriqueceria o artigo.</w:t>
      </w:r>
    </w:p>
    <w:p>
      <w:pPr>
        <w:pStyle w:val="Heading2"/>
      </w:pPr>
      <w:r>
        <w:t>5.3 O perfil sociodemográfico: a artrite tem gênero e idade</w:t>
      </w:r>
    </w:p>
    <w:p>
      <w:pPr>
        <w:jc w:val="both"/>
      </w:pPr>
      <w:r>
        <w:rPr>
          <w:b w:val="0"/>
          <w:i w:val="0"/>
          <w:sz w:val="22"/>
        </w:rPr>
        <w:t>O achado mais robusto de todo o estudo é o gradiente por sexo: mulheres têm prevalência de artrite quase três vezes maior que homens (25,1% vs. 8,6%). Somado ao gradiente etário positivo, o perfil de risco que emerge é claro e consistente com a literatura internacional. Esse achado, por si só, valida a robustez da base e do pipeline de extração.</w:t>
      </w:r>
    </w:p>
    <w:p>
      <w:pPr>
        <w:pStyle w:val="Heading2"/>
      </w:pPr>
      <w:r>
        <w:t>5.4 O dilema metodológico dos dois desenhos</w:t>
      </w:r>
    </w:p>
    <w:p>
      <w:pPr>
        <w:jc w:val="both"/>
      </w:pPr>
      <w:r>
        <w:rPr>
          <w:b w:val="0"/>
          <w:i w:val="0"/>
          <w:sz w:val="22"/>
        </w:rPr>
        <w:t>A decisão de construir dois datasets — artrite pura e artrite com comorbidades — permite uma discussão metodológica madura. O Desenho A oferece pureza de contraste; o Desenho B oferece realismo clínico e balanceamento. Recomenda-se, no Notebook de modelagem, treinar os algoritmos em ambos e, para o Desenho B, conduzir uma análise de sensibilidade: um Modelo com as variáveis Q* e um Modelo sem elas, para quantificar quanto da acurácia advém do vazamento de delineamento.</w:t>
      </w:r>
    </w:p>
    <w:p>
      <w:pPr>
        <w:pStyle w:val="Heading2"/>
      </w:pPr>
      <w:r>
        <w:t>5.5 A multimorbidade como achado clínico central</w:t>
      </w:r>
    </w:p>
    <w:p>
      <w:pPr>
        <w:jc w:val="both"/>
      </w:pPr>
      <w:r>
        <w:rPr>
          <w:b w:val="0"/>
          <w:i w:val="0"/>
          <w:sz w:val="22"/>
        </w:rPr>
        <w:t>A constatação de que 2 em cada 3 idosos com artrite também têm hipertensão — e que a artrite isolada é rara — reposiciona o estudo. Mais do que classificar 'artrite vs. saúde', o trabalho descreve um perfil de fragilidade multidimensional. A associação com depressão (19,5%) conecta-se diretamente à linha de pesquisa do orientador (Cancella &amp; Zárate, 2025).</w:t>
      </w:r>
    </w:p>
    <w:p>
      <w:r>
        <w:br w:type="page"/>
      </w:r>
    </w:p>
    <w:p>
      <w:pPr>
        <w:pStyle w:val="Heading1"/>
      </w:pPr>
      <w:r>
        <w:t>6. Limitações Metodológicas</w:t>
      </w:r>
    </w:p>
    <w:p>
      <w:pPr>
        <w:pStyle w:val="ListBullet"/>
      </w:pPr>
      <w:r>
        <w:rPr>
          <w:b/>
        </w:rPr>
        <w:t xml:space="preserve">Delineamento transversal. </w:t>
      </w:r>
      <w:r>
        <w:t>Exposição e desfecho são medidos simultaneamente, impossibilitando inferência causal e tornando o estudo vulnerável à causalidade reversa (ver Seção 5.1).</w:t>
      </w:r>
    </w:p>
    <w:p>
      <w:pPr>
        <w:pStyle w:val="ListBullet"/>
      </w:pPr>
      <w:r>
        <w:rPr>
          <w:b/>
        </w:rPr>
        <w:t xml:space="preserve">Dados autorreferidos. </w:t>
      </w:r>
      <w:r>
        <w:t>O diagnóstico de artrite e os hábitos alimentares são autorreferidos, sujeitos a viés de memória e de desejabilidade social. A PNS não dispõe de biomarcadores inflamatórios laboratoriais.</w:t>
      </w:r>
    </w:p>
    <w:p>
      <w:pPr>
        <w:pStyle w:val="ListBullet"/>
      </w:pPr>
      <w:r>
        <w:rPr>
          <w:b/>
        </w:rPr>
        <w:t xml:space="preserve">Vazamento de delineamento no Desenho B. </w:t>
      </w:r>
      <w:r>
        <w:t>As variáveis do módulo Q foram usadas como filtro para definir o grupo Saudável, o que as torna preditores artificialmente fortes no Desenho B. Mitigação proposta: análise de sensibilidade com e sem essas variáveis.</w:t>
      </w:r>
    </w:p>
    <w:p>
      <w:pPr>
        <w:pStyle w:val="ListBullet"/>
      </w:pPr>
      <w:r>
        <w:rPr>
          <w:b/>
        </w:rPr>
        <w:t xml:space="preserve">Imputação por classe e risco de leakage para ML. </w:t>
      </w:r>
      <w:r>
        <w:t>A imputação usou estatísticas da própria classe, o que é adequado para a análise descritiva mas vaza informação do alvo para as features. Na modelagem, a imputação deve ser refeita dentro de cada fold de validação cruzada.</w:t>
      </w:r>
    </w:p>
    <w:p>
      <w:pPr>
        <w:pStyle w:val="ListBullet"/>
      </w:pPr>
      <w:r>
        <w:rPr>
          <w:b/>
        </w:rPr>
        <w:t xml:space="preserve">Desbalanceamento no Desenho A. </w:t>
      </w:r>
      <w:r>
        <w:t>A razão de 8,77:1 exige balanceamento artificial (Random Under Sampler), que reduz o tamanho efetivo da amostra de treino e pode aumentar a variância das métricas.</w:t>
      </w:r>
    </w:p>
    <w:p>
      <w:pPr>
        <w:pStyle w:val="ListBullet"/>
      </w:pPr>
      <w:r>
        <w:rPr>
          <w:b/>
        </w:rPr>
        <w:t xml:space="preserve">Variáveis descartadas por missing. </w:t>
      </w:r>
      <w:r>
        <w:t>Variáveis potencialmente relevantes (renda — VDF004; autoavaliação detalhada — N001; escolaridade — VDD004A) foram descartadas por terem 100% de missing real no recorte analítico, limitando a dimensão socioeconômica da análise.</w:t>
      </w:r>
    </w:p>
    <w:p>
      <w:r>
        <w:br w:type="page"/>
      </w:r>
    </w:p>
    <w:p>
      <w:pPr>
        <w:pStyle w:val="Heading1"/>
      </w:pPr>
      <w:r>
        <w:t>7. Próximos Passos — Modelagem de Machine Learning</w:t>
      </w:r>
    </w:p>
    <w:p>
      <w:pPr>
        <w:jc w:val="both"/>
      </w:pPr>
      <w:r>
        <w:rPr>
          <w:b w:val="0"/>
          <w:i w:val="0"/>
          <w:sz w:val="22"/>
        </w:rPr>
        <w:t>Com os dois datasets prontos, a próxima etapa é a fase de modelagem do processo KDD. O plano de execução, alinhado com a metodologia da linha de pesquisa, é:</w:t>
      </w:r>
    </w:p>
    <w:p>
      <w:pPr>
        <w:pStyle w:val="ListBullet"/>
      </w:pPr>
      <w:r>
        <w:t>Treinar quatro algoritmos supervisionados em cada desenho: Árvore de Decisão e Naive Bayes (caixa-branca, interpretáveis) e Floresta Aleatória e AdaBoost (ensemble, maior desempenho).</w:t>
      </w:r>
    </w:p>
    <w:p>
      <w:pPr>
        <w:pStyle w:val="ListBullet"/>
      </w:pPr>
      <w:r>
        <w:t>Aplicar Random Under Sampler dentro de cada fold da validação cruzada (especialmente crítico no Desenho A).</w:t>
      </w:r>
    </w:p>
    <w:p>
      <w:pPr>
        <w:pStyle w:val="ListBullet"/>
      </w:pPr>
      <w:r>
        <w:t>Otimizar hiperparâmetros com RandomizedSearchCV e validação cruzada estratificada de 10 folds; reportar F1-score com IC 95% por classe.</w:t>
      </w:r>
    </w:p>
    <w:p>
      <w:pPr>
        <w:pStyle w:val="ListBullet"/>
      </w:pPr>
      <w:r>
        <w:t>Avaliar no conjunto de teste (holdout) com acurácia, AUC-ROC e matriz de confusão.</w:t>
      </w:r>
    </w:p>
    <w:p>
      <w:pPr>
        <w:pStyle w:val="ListBullet"/>
      </w:pPr>
      <w:r>
        <w:t>Comparar estatisticamente os algoritmos com teste-T sobre os F1-scores dos 10 folds.</w:t>
      </w:r>
    </w:p>
    <w:p>
      <w:pPr>
        <w:pStyle w:val="ListBullet"/>
      </w:pPr>
      <w:r>
        <w:t>Extrair Feature Importance e regras da Árvore de Decisão (profundidade limitada) para interpretabilidade.</w:t>
      </w:r>
    </w:p>
    <w:p>
      <w:pPr>
        <w:pStyle w:val="ListBullet"/>
      </w:pPr>
      <w:r>
        <w:t>Para o Desenho B, conduzir a análise de sensibilidade Modelo A (com Q*) vs. Modelo B (sem Q*) descrita na Seção 5.4.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5E8F0"/>
          </w:tcPr>
          <w:p>
            <w:r/>
            <w:r>
              <w:rPr>
                <w:b/>
                <w:sz w:val="21"/>
              </w:rPr>
              <w:t>Recomendação para a apresentação ao orientador</w:t>
            </w:r>
          </w:p>
          <w:p>
            <w:r>
              <w:rPr>
                <w:sz w:val="20"/>
              </w:rPr>
              <w:t>Apresentar os dois desenhos como uma escolha metodológica deliberada, não como indecisão. O Desenho A responde 'o que distingue a artrite isolada?'; o Desenho B responde 'como diferenciar o idoso multimórbido com artrite do idoso plenamente saudável?'. São perguntas científicas distintas e complementares.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 A — Índice de Tabelas e Figuras</w:t>
      </w:r>
    </w:p>
    <w:p>
      <w:pPr>
        <w:pStyle w:val="Heading2"/>
      </w:pPr>
      <w:r>
        <w:t>Tabelas</w:t>
      </w:r>
    </w:p>
    <w:p>
      <w:pPr>
        <w:spacing w:after="40"/>
      </w:pPr>
      <w:r>
        <w:t>Tabela 2.1 — Estrutura PICOS da pergunta de pesquisa.</w:t>
      </w:r>
    </w:p>
    <w:p>
      <w:pPr>
        <w:spacing w:after="40"/>
      </w:pPr>
      <w:r>
        <w:t>Tabela 2.2 — As quatro bases de dados derivadas da PNS 2019.</w:t>
      </w:r>
    </w:p>
    <w:p>
      <w:pPr>
        <w:spacing w:after="40"/>
      </w:pPr>
      <w:r>
        <w:t>Tabela 2.3 — Etapas do pipeline de pré-processamento.</w:t>
      </w:r>
    </w:p>
    <w:p>
      <w:pPr>
        <w:spacing w:after="40"/>
      </w:pPr>
      <w:r>
        <w:t>Tabela 3.1 — Prevalência de artrite por subgrupo com IC95%.</w:t>
      </w:r>
    </w:p>
    <w:p>
      <w:pPr>
        <w:spacing w:after="40"/>
      </w:pPr>
      <w:r>
        <w:t>Tabela 3.2 — Comparação das quatro bases.</w:t>
      </w:r>
    </w:p>
    <w:p>
      <w:pPr>
        <w:spacing w:after="40"/>
      </w:pPr>
      <w:r>
        <w:t>Tabela 3.3 — Características quantitativas: artrite pura vs. saudáveis.</w:t>
      </w:r>
    </w:p>
    <w:p>
      <w:pPr>
        <w:spacing w:after="40"/>
      </w:pPr>
      <w:r>
        <w:t>Tabela 3.4 — Características qualitativas: artrite pura vs. saudáveis.</w:t>
      </w:r>
    </w:p>
    <w:p>
      <w:pPr>
        <w:spacing w:after="40"/>
      </w:pPr>
      <w:r>
        <w:t>Tabela 3.5 — Análise bivariada completa.</w:t>
      </w:r>
    </w:p>
    <w:p>
      <w:pPr>
        <w:spacing w:after="40"/>
      </w:pPr>
      <w:r>
        <w:t>Tabela 4.1 — Comparação dos dois datasets finais.</w:t>
      </w:r>
    </w:p>
    <w:p>
      <w:pPr>
        <w:spacing w:after="40"/>
      </w:pPr>
      <w:r>
        <w:t>Tabela 4.2 — Mapa de skip patterns resolvidos.</w:t>
      </w:r>
    </w:p>
    <w:p>
      <w:pPr>
        <w:spacing w:after="40"/>
      </w:pPr>
      <w:r>
        <w:t>Tabela 4.3 — Prevalência de comorbidades entre idosos com artrite.</w:t>
      </w:r>
    </w:p>
    <w:p>
      <w:pPr>
        <w:pStyle w:val="Heading2"/>
      </w:pPr>
      <w:r>
        <w:t>Figuras</w:t>
      </w:r>
    </w:p>
    <w:p>
      <w:pPr>
        <w:spacing w:after="40"/>
      </w:pPr>
      <w:r>
        <w:t>Figura 3.1 — Prevalência de artrite por subgrupo com IC95%.</w:t>
      </w:r>
    </w:p>
    <w:p>
      <w:pPr>
        <w:spacing w:after="40"/>
      </w:pPr>
      <w:r>
        <w:t>Figura 3.2 — Distribuição de idade e IMC nas quatro bases.</w:t>
      </w:r>
    </w:p>
    <w:p>
      <w:pPr>
        <w:spacing w:after="40"/>
      </w:pPr>
      <w:r>
        <w:t>Figura 3.3 — Boxplots das variáveis quantitativas por grupo.</w:t>
      </w:r>
    </w:p>
    <w:p>
      <w:pPr>
        <w:spacing w:after="40"/>
      </w:pPr>
      <w:r>
        <w:t>Figura 3.4 — Distribuição percentual das variáveis qualitativas.</w:t>
      </w:r>
    </w:p>
    <w:p>
      <w:pPr>
        <w:spacing w:after="40"/>
      </w:pPr>
      <w:r>
        <w:t>Figura 4.1 — Mapa de calor de dados ausentes (Desenho B).</w:t>
      </w:r>
    </w:p>
    <w:p>
      <w:pPr>
        <w:spacing w:after="40"/>
      </w:pPr>
      <w:r>
        <w:t>Figura 4.2 — Boxplots antes/depois da remoção de outliers (Desenho B).</w:t>
      </w:r>
    </w:p>
    <w:p>
      <w:pPr>
        <w:spacing w:after="40"/>
      </w:pPr>
      <w:r>
        <w:t>Figura 4.3 — Distribuição e prevalência de comorbidades.</w:t>
      </w:r>
    </w:p>
    <w:p>
      <w:pPr>
        <w:spacing w:after="40"/>
      </w:pPr>
      <w:r>
        <w:t>Figura 4.4 — Diagnóstico do dataset final do Desenho A.</w:t>
      </w:r>
    </w:p>
    <w:p>
      <w:pPr>
        <w:spacing w:after="40"/>
      </w:pPr>
      <w:r>
        <w:t>Figura 4.5 — Diagnóstico do dataset final do Desenho B.</w:t>
      </w:r>
    </w:p>
    <w:p/>
    <w:p>
      <w:pPr>
        <w:jc w:val="center"/>
      </w:pPr>
      <w:r>
        <w:rPr>
          <w:i/>
          <w:color w:val="595959"/>
          <w:sz w:val="18"/>
        </w:rPr>
        <w:t>— Fim do documento consolidado de resultados —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7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