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Padrões Nutricionais e sua Associação com Artrite e Reumatismo em Idosos Brasileiros: Uma Abordagem por Aprendizado de Máquina com Dados da PNS 2019</w:t>
      </w:r>
    </w:p>
    <w:p>
      <w:pPr>
        <w:jc w:val="center"/>
      </w:pPr>
      <w:r>
        <w:rPr>
          <w:i/>
          <w:sz w:val="20"/>
        </w:rPr>
        <w:t>Dietary Patterns and Their Association with Arthritis and Rheumatism in Brazilian Older Adults: A Machine Learning Approach Using Data from the 2019 National Health Survey</w:t>
      </w:r>
    </w:p>
    <w:p>
      <w:pPr>
        <w:jc w:val="center"/>
      </w:pPr>
      <w:r>
        <w:rPr>
          <w:sz w:val="21"/>
        </w:rPr>
        <w:t>Pedro Dias Soares, Luís Enrique Zárate Gálvez</w:t>
      </w:r>
    </w:p>
    <w:p>
      <w:pPr>
        <w:jc w:val="center"/>
      </w:pPr>
      <w:r>
        <w:rPr>
          <w:sz w:val="19"/>
        </w:rPr>
        <w:t>Curso de Ciência de Dados — Pontifícia Universidade Católica de Minas Gerais (PUC Minas)</w:t>
        <w:br/>
        <w:t>pdsoares@sga.pucminas.br, zarate@pucminas.br</w:t>
      </w:r>
    </w:p>
    <w:p/>
    <w:p>
      <w:pPr>
        <w:pStyle w:val="Heading2"/>
      </w:pPr>
      <w:r>
        <w:t>Resumo</w:t>
      </w:r>
    </w:p>
    <w:p>
      <w:pPr>
        <w:spacing w:after="120" w:line="259" w:lineRule="auto"/>
        <w:jc w:val="both"/>
      </w:pPr>
      <w:r>
        <w:rPr>
          <w:b w:val="0"/>
          <w:i w:val="0"/>
        </w:rPr>
        <w:t>O envelhecimento da população brasileira aumenta a carga de doenças crônicas, e a artrite e o reumatismo estão entre as que mais comprometem a qualidade de vida do idoso. Este trabalho identifica, por mineração de dados e aprendizado de máquina, os fatores associados à artrite em idosos brasileiros, com atenção especial ao padrão alimentar, usando os microdados da Pesquisa Nacional de Saúde (PNS) 2019. Seguimos um processo de descoberta de conhecimento com modelagem conceitual (CAPTO), análise exploratória, pré-processamento, discretização por faixas de domínio e seleção de atributos por entropia. A seleção por incerteza simétrica reduziu o conjunto a 39 atributos (artrite isolada) e 42 (artrite com comorbidades), preservando as dimensões do modelo conceitual; sexo e autopercepção de saúde aparecem no topo, convergindo com a literatura. A análise exploratória mostrou maior prevalência em mulheres e um padrão alimentar contraintuitivo, compatível com causalidade reversa. A etapa de modelagem (árvore de decisão, floresta aleatória e regressão logística) está em andamento. [Completar com as métricas finais do modelo.]</w:t>
      </w:r>
    </w:p>
    <w:p>
      <w:pPr>
        <w:spacing w:after="120" w:line="259" w:lineRule="auto"/>
        <w:jc w:val="both"/>
      </w:pPr>
      <w:r>
        <w:rPr>
          <w:b w:val="0"/>
          <w:i/>
          <w:sz w:val="19"/>
        </w:rPr>
        <w:t>Descritores: Artrite; Mineração de dados; Padrões alimentares; Pesquisa Nacional de Saúde; Aprendizado de máquina.</w:t>
      </w:r>
    </w:p>
    <w:p>
      <w:pPr>
        <w:pStyle w:val="Heading2"/>
      </w:pPr>
      <w:r>
        <w:t>Abstract</w:t>
      </w:r>
    </w:p>
    <w:p>
      <w:pPr>
        <w:spacing w:after="120" w:line="259" w:lineRule="auto"/>
        <w:jc w:val="both"/>
      </w:pPr>
      <w:r>
        <w:rPr>
          <w:b w:val="0"/>
          <w:i w:val="0"/>
        </w:rPr>
        <w:t>Population aging in Brazil increases the burden of chronic diseases, and arthritis and rheumatism are among those that most affect older adults' quality of life. This study identifies, through data mining and machine learning, the factors associated with arthritis in Brazilian older adults, with particular attention to dietary patterns, using microdata from the 2019 National Health Survey (PNS). We follow a knowledge discovery process with conceptual modeling (CAPTO), exploratory analysis, preprocessing, domain-based discretization, and entropy-based feature selection. Symmetric uncertainty reduced the set to 39 attributes (isolated arthritis) and 42 (arthritis with comorbidities), preserving the conceptual dimensions; sex and self-perceived health rank highest, in line with the literature. Exploratory analysis showed higher prevalence among women and a counterintuitive dietary pattern, consistent with reverse causation. The modeling stage (decision tree, random forest, and logistic regression) is ongoing. [Complete with final model metrics.]</w:t>
      </w:r>
    </w:p>
    <w:p>
      <w:pPr>
        <w:spacing w:after="120" w:line="259" w:lineRule="auto"/>
        <w:jc w:val="both"/>
      </w:pPr>
      <w:r>
        <w:rPr>
          <w:b w:val="0"/>
          <w:i/>
          <w:sz w:val="19"/>
        </w:rPr>
        <w:t>Keywords: Arthritis; Data mining; Dietary patterns; National Health Survey; Machine learning.</w:t>
      </w:r>
    </w:p>
    <w:p>
      <w:pPr>
        <w:pStyle w:val="Heading1"/>
      </w:pPr>
      <w:r>
        <w:t>1. Introdução</w:t>
      </w:r>
    </w:p>
    <w:p>
      <w:pPr>
        <w:spacing w:after="120" w:line="259" w:lineRule="auto"/>
        <w:jc w:val="both"/>
      </w:pPr>
      <w:r>
        <w:rPr>
          <w:b w:val="0"/>
          <w:i w:val="0"/>
        </w:rPr>
        <w:t>O envelhecimento da população brasileira tem aumentado a carga de doenças crônicas não transmissíveis, o que representa um desafio crescente para a saúde pública. Entre essas condições, a artrite e o reumatismo se destacam pelo forte impacto na qualidade de vida. Segundo a Organização Mundial da Saúde (OMS), as doenças osteoarticulares estão entre as principais causas de dor crônica e incapacidade funcional no mundo, e estima-se que cerca de 344 milhões de pessoas convivam com osteoartrite de grau moderado a grave. É uma doença marcada por inflamação, dor e rigidez nas articulações, com impacto socioeconômico expressivo no Brasil: custos contínuos no SUS, afastamentos precoces do trabalho e perda de autonomia na terceira idade.</w:t>
      </w:r>
    </w:p>
    <w:p>
      <w:pPr>
        <w:spacing w:after="120" w:line="259" w:lineRule="auto"/>
        <w:jc w:val="both"/>
      </w:pPr>
      <w:r>
        <w:rPr>
          <w:b w:val="0"/>
          <w:i w:val="0"/>
        </w:rPr>
        <w:t>Na Ciência de Dados aplicada à saúde, o processo de descoberta de conhecimento em bases de dados é bastante usado, porque permite analisar um domínio sob várias dimensões ao mesmo tempo, com o apoio de algoritmos de aprendizado. A partir de análises exploratórias e desses modelos, conseguimos identificar fatores associados à artrite na população idosa brasileira.</w:t>
      </w:r>
    </w:p>
    <w:p>
      <w:pPr>
        <w:spacing w:after="120" w:line="259" w:lineRule="auto"/>
        <w:jc w:val="both"/>
      </w:pPr>
      <w:r>
        <w:rPr>
          <w:b w:val="0"/>
          <w:i w:val="0"/>
        </w:rPr>
        <w:t>Vários trabalhos têm caracterizado e previsto condições crônicas com técnicas de aprendizado de máquina sobre a PNS 2019, vários deles no mesmo grupo de pesquisa (LICAP/PUC Minas). Ainda assim, há uma lacuna de estudos que investiguem a relação entre padrões nutricionais e artrite na população idosa brasileira a partir dos microdados da PNS 2019.</w:t>
      </w:r>
    </w:p>
    <w:p>
      <w:pPr>
        <w:spacing w:after="120" w:line="259" w:lineRule="auto"/>
        <w:jc w:val="both"/>
      </w:pPr>
      <w:r>
        <w:rPr>
          <w:b w:val="0"/>
          <w:i w:val="0"/>
        </w:rPr>
        <w:t>O objetivo deste trabalho é identificar, por meio de um processo de mineração de dados e de modelos de aprendizado supervisionado, os fatores de risco associados à artrite na população idosa brasileira, buscando quais padrões nutricionais e características sociodemográficas diferenciam os idosos com artrite e reumatismo dos idosos saudáveis. Para dar mais peso ao eixo nutricional, construímos um índice inflamatório adaptado e padrões alimentares por agrupamento, detalhados na Seção 3.</w:t>
      </w:r>
    </w:p>
    <w:p>
      <w:pPr>
        <w:pStyle w:val="Heading1"/>
      </w:pPr>
      <w:r>
        <w:t>2. Trabalhos Relacionados</w:t>
      </w:r>
    </w:p>
    <w:p>
      <w:pPr>
        <w:spacing w:after="120" w:line="259" w:lineRule="auto"/>
        <w:jc w:val="both"/>
      </w:pPr>
      <w:r>
        <w:rPr>
          <w:b w:val="0"/>
          <w:i w:val="0"/>
        </w:rPr>
        <w:t>Reunimos seis estudos do grupo do orientador (LICAP) que aplicam mineração de dados sobre a PNS 2019 a doenças crônicas, por serem a referência metodológica mais próxima deste trabalho.</w:t>
      </w:r>
    </w:p>
    <w:p>
      <w:pPr>
        <w:spacing w:after="120" w:line="259" w:lineRule="auto"/>
        <w:jc w:val="both"/>
      </w:pPr>
      <w:r>
        <w:rPr>
          <w:b w:val="0"/>
          <w:i w:val="0"/>
        </w:rPr>
        <w:t>Melo et al. (2024) buscaram fatores de risco para a Doença Pulmonar Obstrutiva Crônica (DPOC) na população brasileira, por um processo de descoberta de conhecimento sobre a PNS 2019. O melhor modelo foi a Floresta Aleatória, com medida F1 de 75% no teste, destacando asma, idade de risco, tabagismo prévio e IMC como principais fatores.</w:t>
      </w:r>
    </w:p>
    <w:p>
      <w:pPr>
        <w:spacing w:after="120" w:line="259" w:lineRule="auto"/>
        <w:jc w:val="both"/>
      </w:pPr>
      <w:r>
        <w:rPr>
          <w:b w:val="0"/>
          <w:i w:val="0"/>
        </w:rPr>
        <w:t>Carvalho et al. (2024) trataram do diagnóstico de hipertensão, também com Floresta Aleatória e F1 médio de 75%. As conclusões apontaram a ingestão de sal, manter-se fora do peso ideal, o sedentarismo e o tabagismo, nessa ordem, como os fatores mais relevantes.</w:t>
      </w:r>
    </w:p>
    <w:p>
      <w:pPr>
        <w:spacing w:after="120" w:line="259" w:lineRule="auto"/>
        <w:jc w:val="both"/>
      </w:pPr>
      <w:r>
        <w:rPr>
          <w:b w:val="0"/>
          <w:i w:val="0"/>
        </w:rPr>
        <w:t>Rodrigues e Zárate (2024) analisaram o Transtorno Obsessivo-Compulsivo a partir de fatores socioambientais e comportamentais, usando Explainable Boosting Machine e Árvore de Decisão. A inclusão desses fatores melhorou as métricas e mostrou concordância com a literatura.</w:t>
      </w:r>
    </w:p>
    <w:p>
      <w:pPr>
        <w:spacing w:after="120" w:line="259" w:lineRule="auto"/>
        <w:jc w:val="both"/>
      </w:pPr>
      <w:r>
        <w:rPr>
          <w:b w:val="0"/>
          <w:i w:val="0"/>
        </w:rPr>
        <w:t>Gonçalves e Zárate (2024) compararam perfis de AVC entre adultos de meia-idade e idosos com Árvore de Decisão. Para os idosos, as regras se ligaram mais a fatores intrínsecos, como a presença de doenças crônicas e o sexo; para os de meia-idade, a hábitos como trabalho e consumo de sal.</w:t>
      </w:r>
    </w:p>
    <w:p>
      <w:pPr>
        <w:spacing w:after="120" w:line="259" w:lineRule="auto"/>
        <w:jc w:val="both"/>
      </w:pPr>
      <w:r>
        <w:rPr>
          <w:b w:val="0"/>
          <w:i w:val="0"/>
        </w:rPr>
        <w:t>Silva e Zárate (2024) caracterizaram a depressão em adultos com algoritmos caixa-branca e caixa-preta; a Floresta Aleatória teve o melhor desempenho (F1 de 82%), reforçando o papel de fatores socioeconômicos, estilo de vida e condições de saúde física.</w:t>
      </w:r>
    </w:p>
    <w:p>
      <w:pPr>
        <w:spacing w:after="120" w:line="259" w:lineRule="auto"/>
        <w:jc w:val="both"/>
      </w:pPr>
      <w:r>
        <w:rPr>
          <w:b w:val="0"/>
          <w:i w:val="0"/>
        </w:rPr>
        <w:t>Cancella e Zárate (2025), o trabalho mais próximo do nosso, caracterizaram o perfil Artrite-Depressão na população brasileira com modelagem conceitual, redução de dimensionalidade e modelos de árvore e floresta aleatória (acurácia e recall entre 76% e 80%). Para os maiores de 60 anos, sexo, presença de diabetes e autopercepção de saúde foram os fatores mais relevantes.</w:t>
      </w:r>
    </w:p>
    <w:p>
      <w:pPr>
        <w:pStyle w:val="Heading2"/>
      </w:pPr>
      <w:r>
        <w:t>2.1 Posicionamento deste trabalho</w:t>
      </w:r>
    </w:p>
    <w:p>
      <w:pPr>
        <w:spacing w:after="120" w:line="259" w:lineRule="auto"/>
        <w:jc w:val="both"/>
      </w:pPr>
      <w:r>
        <w:rPr>
          <w:b w:val="0"/>
          <w:i w:val="0"/>
        </w:rPr>
        <w:t>Nosso estudo se diferencia por focar a população idosa (60 anos ou mais) e por colocar o padrão alimentar no centro da análise, e não como um atributo a mais. Enquanto Cancella e Zárate (2025) tratam da comorbidade artrite-depressão, nós isolamos a artrite e investigamos a dieta com um índice inflamatório adaptado e padrões alimentares por agrupamento, além de um terceiro desenho amostral voltado à carga de comorbidade. Mantemos a metodologia do grupo (CAPTO, discretização por domínio, seleção por entropia), mas a aplicamos a uma pergunta nutricional ainda não explorada sobre a PNS 2019.</w:t>
      </w:r>
    </w:p>
    <w:p>
      <w:pPr>
        <w:pStyle w:val="Heading1"/>
      </w:pPr>
      <w:r>
        <w:t>3. Materiais e Métodos</w:t>
      </w:r>
    </w:p>
    <w:p>
      <w:pPr>
        <w:pStyle w:val="Heading2"/>
      </w:pPr>
      <w:r>
        <w:t>3.1 A base de dados PNS 2019</w:t>
      </w:r>
    </w:p>
    <w:p>
      <w:pPr>
        <w:spacing w:after="120" w:line="259" w:lineRule="auto"/>
        <w:jc w:val="both"/>
      </w:pPr>
      <w:r>
        <w:rPr>
          <w:b w:val="0"/>
          <w:i w:val="0"/>
        </w:rPr>
        <w:t>Usamos a base transversal da Pesquisa Nacional de Saúde de 2019 (PNS 2019), do IBGE em parceria com o Ministério da Saúde, com 293.726 registros e 1.088 atributos em 26 módulos. Como o foco é a população idosa, aplicamos um filtro de idade (60 anos ou mais) e, para reduzir registros incompletos, mantivemos apenas os entrevistados que concluíram a pesquisa (V0015=1 e M001=1). O diagnóstico de artrite é o atributo-alvo Q079.</w:t>
      </w:r>
    </w:p>
    <w:p>
      <w:pPr>
        <w:spacing w:after="120" w:line="259" w:lineRule="auto"/>
        <w:jc w:val="both"/>
      </w:pPr>
      <w:r>
        <w:rPr>
          <w:b w:val="0"/>
          <w:i w:val="0"/>
        </w:rPr>
        <w:t>Identificamos 4.025 idosos com artrite, dos quais 494 sem nenhuma outra doença crônica (artrite isolada) e os demais com ao menos uma comorbidade, além de 4.332 idosos sem nenhum diagnóstico crônico. A comparação entre artrite isolada e saudáveis tem forte desbalanceamento (8,77:1).</w:t>
      </w:r>
    </w:p>
    <w:p>
      <w:pPr>
        <w:spacing w:after="120" w:line="259" w:lineRule="auto"/>
        <w:jc w:val="both"/>
      </w:pPr>
      <w:r>
        <w:rPr>
          <w:b w:val="0"/>
          <w:i w:val="0"/>
        </w:rPr>
        <w:t>Montamos desenhos amostrais para discutir o compromisso entre a pureza do contraste e o realismo clínico: o Desenho 1 (artrite isolada vs. saudáveis) e o Desenho 2 (todos os idosos com artrite vs. saudáveis). Um terceiro desenho, voltado ao eixo nutricional e à carga de comorbidade, é descrito na Seção 3.6.</w:t>
      </w:r>
    </w:p>
    <w:tbl>
      <w:tblPr>
        <w:tblStyle w:val="LightGrid-Accent1"/>
        <w:tblW w:type="auto" w:w="0"/>
        <w:jc w:val="center"/>
        <w:tblLook w:firstColumn="1" w:firstRow="1" w:lastColumn="0" w:lastRow="0" w:noHBand="0" w:noVBand="1" w:val="04A0"/>
      </w:tblPr>
      <w:tblGrid>
        <w:gridCol w:w="2436"/>
        <w:gridCol w:w="2436"/>
        <w:gridCol w:w="2436"/>
        <w:gridCol w:w="2436"/>
      </w:tblGrid>
      <w:tr>
        <w:tc>
          <w:tcPr>
            <w:tcW w:type="dxa" w:w="2835"/>
          </w:tcPr>
          <w:p>
            <w:r>
              <w:rPr>
                <w:b/>
                <w:sz w:val="18"/>
              </w:rPr>
              <w:t>Desenho</w:t>
            </w:r>
          </w:p>
        </w:tc>
        <w:tc>
          <w:tcPr>
            <w:tcW w:type="dxa" w:w="2268"/>
          </w:tcPr>
          <w:p>
            <w:r>
              <w:rPr>
                <w:b/>
                <w:sz w:val="18"/>
              </w:rPr>
              <w:t>Casos</w:t>
            </w:r>
          </w:p>
        </w:tc>
        <w:tc>
          <w:tcPr>
            <w:tcW w:type="dxa" w:w="2551"/>
          </w:tcPr>
          <w:p>
            <w:r>
              <w:rPr>
                <w:b/>
                <w:sz w:val="18"/>
              </w:rPr>
              <w:t>Controles</w:t>
            </w:r>
          </w:p>
        </w:tc>
        <w:tc>
          <w:tcPr>
            <w:tcW w:type="dxa" w:w="1417"/>
          </w:tcPr>
          <w:p>
            <w:r>
              <w:rPr>
                <w:b/>
                <w:sz w:val="18"/>
              </w:rPr>
              <w:t>Razão</w:t>
            </w:r>
          </w:p>
        </w:tc>
      </w:tr>
      <w:tr>
        <w:tc>
          <w:tcPr>
            <w:tcW w:type="dxa" w:w="2835"/>
          </w:tcPr>
          <w:p>
            <w:r/>
            <w:r>
              <w:rPr>
                <w:sz w:val="18"/>
              </w:rPr>
              <w:t>1 — Artrite isolada</w:t>
            </w:r>
          </w:p>
        </w:tc>
        <w:tc>
          <w:tcPr>
            <w:tcW w:type="dxa" w:w="2268"/>
          </w:tcPr>
          <w:p>
            <w:r/>
            <w:r>
              <w:rPr>
                <w:sz w:val="18"/>
              </w:rPr>
              <w:t>494</w:t>
            </w:r>
          </w:p>
        </w:tc>
        <w:tc>
          <w:tcPr>
            <w:tcW w:type="dxa" w:w="2551"/>
          </w:tcPr>
          <w:p>
            <w:r/>
            <w:r>
              <w:rPr>
                <w:sz w:val="18"/>
              </w:rPr>
              <w:t>4.332 (saudáveis)</w:t>
            </w:r>
          </w:p>
        </w:tc>
        <w:tc>
          <w:tcPr>
            <w:tcW w:type="dxa" w:w="1417"/>
          </w:tcPr>
          <w:p>
            <w:r/>
            <w:r>
              <w:rPr>
                <w:sz w:val="18"/>
              </w:rPr>
              <w:t>8,77:1</w:t>
            </w:r>
          </w:p>
        </w:tc>
      </w:tr>
      <w:tr>
        <w:tc>
          <w:tcPr>
            <w:tcW w:type="dxa" w:w="2835"/>
          </w:tcPr>
          <w:p>
            <w:r/>
            <w:r>
              <w:rPr>
                <w:sz w:val="18"/>
              </w:rPr>
              <w:t>2 — Artrite (todas)</w:t>
            </w:r>
          </w:p>
        </w:tc>
        <w:tc>
          <w:tcPr>
            <w:tcW w:type="dxa" w:w="2268"/>
          </w:tcPr>
          <w:p>
            <w:r/>
            <w:r>
              <w:rPr>
                <w:sz w:val="18"/>
              </w:rPr>
              <w:t>4.025</w:t>
            </w:r>
          </w:p>
        </w:tc>
        <w:tc>
          <w:tcPr>
            <w:tcW w:type="dxa" w:w="2551"/>
          </w:tcPr>
          <w:p>
            <w:r/>
            <w:r>
              <w:rPr>
                <w:sz w:val="18"/>
              </w:rPr>
              <w:t>4.332 (saudáveis)</w:t>
            </w:r>
          </w:p>
        </w:tc>
        <w:tc>
          <w:tcPr>
            <w:tcW w:type="dxa" w:w="1417"/>
          </w:tcPr>
          <w:p>
            <w:r/>
            <w:r>
              <w:rPr>
                <w:sz w:val="18"/>
              </w:rPr>
              <w:t>1,08:1</w:t>
            </w:r>
          </w:p>
        </w:tc>
      </w:tr>
      <w:tr>
        <w:tc>
          <w:tcPr>
            <w:tcW w:type="dxa" w:w="2835"/>
          </w:tcPr>
          <w:p>
            <w:r/>
            <w:r>
              <w:rPr>
                <w:sz w:val="18"/>
              </w:rPr>
              <w:t>3 — Intra-artrite (carga)</w:t>
            </w:r>
          </w:p>
        </w:tc>
        <w:tc>
          <w:tcPr>
            <w:tcW w:type="dxa" w:w="2268"/>
          </w:tcPr>
          <w:p>
            <w:r/>
            <w:r>
              <w:rPr>
                <w:sz w:val="18"/>
              </w:rPr>
              <w:t>3.531 c/ comorb.</w:t>
            </w:r>
          </w:p>
        </w:tc>
        <w:tc>
          <w:tcPr>
            <w:tcW w:type="dxa" w:w="2551"/>
          </w:tcPr>
          <w:p>
            <w:r/>
            <w:r>
              <w:rPr>
                <w:sz w:val="18"/>
              </w:rPr>
              <w:t>494 isolada</w:t>
            </w:r>
          </w:p>
        </w:tc>
        <w:tc>
          <w:tcPr>
            <w:tcW w:type="dxa" w:w="1417"/>
          </w:tcPr>
          <w:p>
            <w:r/>
            <w:r>
              <w:rPr>
                <w:sz w:val="18"/>
              </w:rPr>
              <w:t>~7,1:1</w:t>
            </w:r>
          </w:p>
        </w:tc>
      </w:tr>
    </w:tbl>
    <w:p>
      <w:pPr>
        <w:spacing w:after="40"/>
      </w:pPr>
    </w:p>
    <w:p>
      <w:pPr>
        <w:spacing w:after="160"/>
      </w:pPr>
      <w:r>
        <w:rPr>
          <w:i/>
          <w:sz w:val="18"/>
        </w:rPr>
        <w:t>Tabela 1 — Desenhos amostrais derivados da PNS 2019.</w:t>
      </w:r>
    </w:p>
    <w:p>
      <w:pPr>
        <w:pStyle w:val="Heading2"/>
      </w:pPr>
      <w:r>
        <w:t>3.2 Modelagem conceitual (CAPTO) e seleção de atributos</w:t>
      </w:r>
    </w:p>
    <w:p>
      <w:pPr>
        <w:spacing w:after="120" w:line="259" w:lineRule="auto"/>
        <w:jc w:val="both"/>
      </w:pPr>
      <w:r>
        <w:rPr>
          <w:b w:val="0"/>
          <w:i w:val="0"/>
        </w:rPr>
        <w:t>Diante do volume de informações, optamos por uma seleção conceitual de atributos com o método CAPTO [Zárate et al., 2023], que integra conhecimento do domínio. Construímos um mapa conceitual que organiza o domínio da artrite em seis dimensões e dele extraímos 69 atributos da PNS 2019. A Tabela 2 resume as dimensões e exemplos (a classificação completa, antes na forma de tabela descritiva extensa, foi movida para material suplementar).</w:t>
      </w:r>
    </w:p>
    <w:tbl>
      <w:tblPr>
        <w:tblStyle w:val="LightGrid-Accent1"/>
        <w:tblW w:type="auto" w:w="0"/>
        <w:jc w:val="center"/>
        <w:tblLook w:firstColumn="1" w:firstRow="1" w:lastColumn="0" w:lastRow="0" w:noHBand="0" w:noVBand="1" w:val="04A0"/>
      </w:tblPr>
      <w:tblGrid>
        <w:gridCol w:w="4873"/>
        <w:gridCol w:w="4873"/>
      </w:tblGrid>
      <w:tr>
        <w:tc>
          <w:tcPr>
            <w:tcW w:type="dxa" w:w="2948"/>
          </w:tcPr>
          <w:p>
            <w:r>
              <w:rPr>
                <w:b/>
                <w:sz w:val="18"/>
              </w:rPr>
              <w:t>Dimensão (CAPTO)</w:t>
            </w:r>
          </w:p>
        </w:tc>
        <w:tc>
          <w:tcPr>
            <w:tcW w:type="dxa" w:w="6123"/>
          </w:tcPr>
          <w:p>
            <w:r>
              <w:rPr>
                <w:b/>
                <w:sz w:val="18"/>
              </w:rPr>
              <w:t>Exemplos de atributos</w:t>
            </w:r>
          </w:p>
        </w:tc>
      </w:tr>
      <w:tr>
        <w:tc>
          <w:tcPr>
            <w:tcW w:type="dxa" w:w="2948"/>
          </w:tcPr>
          <w:p>
            <w:r/>
            <w:r>
              <w:rPr>
                <w:sz w:val="18"/>
              </w:rPr>
              <w:t>1. Hábitos de saúde</w:t>
            </w:r>
          </w:p>
        </w:tc>
        <w:tc>
          <w:tcPr>
            <w:tcW w:type="dxa" w:w="6123"/>
          </w:tcPr>
          <w:p>
            <w:r/>
            <w:r>
              <w:rPr>
                <w:sz w:val="18"/>
              </w:rPr>
              <w:t>atividade física (P035), consumo de álcool (P027/P029), tabagismo</w:t>
            </w:r>
          </w:p>
        </w:tc>
      </w:tr>
      <w:tr>
        <w:tc>
          <w:tcPr>
            <w:tcW w:type="dxa" w:w="2948"/>
          </w:tcPr>
          <w:p>
            <w:r/>
            <w:r>
              <w:rPr>
                <w:sz w:val="18"/>
              </w:rPr>
              <w:t>2. Hábitos alimentares</w:t>
            </w:r>
          </w:p>
        </w:tc>
        <w:tc>
          <w:tcPr>
            <w:tcW w:type="dxa" w:w="6123"/>
          </w:tcPr>
          <w:p>
            <w:r/>
            <w:r>
              <w:rPr>
                <w:sz w:val="18"/>
              </w:rPr>
              <w:t>frutas, verduras, peixe, carne vermelha, doces, refrigerante, feijão, frango</w:t>
            </w:r>
          </w:p>
        </w:tc>
      </w:tr>
      <w:tr>
        <w:tc>
          <w:tcPr>
            <w:tcW w:type="dxa" w:w="2948"/>
          </w:tcPr>
          <w:p>
            <w:r/>
            <w:r>
              <w:rPr>
                <w:sz w:val="18"/>
              </w:rPr>
              <w:t>3. Acesso e uso de serviços</w:t>
            </w:r>
          </w:p>
        </w:tc>
        <w:tc>
          <w:tcPr>
            <w:tcW w:type="dxa" w:w="6123"/>
          </w:tcPr>
          <w:p>
            <w:r/>
            <w:r>
              <w:rPr>
                <w:sz w:val="18"/>
              </w:rPr>
              <w:t>plano de saúde médico (I00102), consultas em 12 m (J012), local de atendimento</w:t>
            </w:r>
          </w:p>
        </w:tc>
      </w:tr>
      <w:tr>
        <w:tc>
          <w:tcPr>
            <w:tcW w:type="dxa" w:w="2948"/>
          </w:tcPr>
          <w:p>
            <w:r/>
            <w:r>
              <w:rPr>
                <w:sz w:val="18"/>
              </w:rPr>
              <w:t>4. Condições físicas e mentais</w:t>
            </w:r>
          </w:p>
        </w:tc>
        <w:tc>
          <w:tcPr>
            <w:tcW w:type="dxa" w:w="6123"/>
          </w:tcPr>
          <w:p>
            <w:r/>
            <w:r>
              <w:rPr>
                <w:sz w:val="18"/>
              </w:rPr>
              <w:t>autopercepção de saúde (N001), sono (N010), cansaço (N011), comorbidades</w:t>
            </w:r>
          </w:p>
        </w:tc>
      </w:tr>
      <w:tr>
        <w:tc>
          <w:tcPr>
            <w:tcW w:type="dxa" w:w="2948"/>
          </w:tcPr>
          <w:p>
            <w:r/>
            <w:r>
              <w:rPr>
                <w:sz w:val="18"/>
              </w:rPr>
              <w:t>5. Sociodemográficas</w:t>
            </w:r>
          </w:p>
        </w:tc>
        <w:tc>
          <w:tcPr>
            <w:tcW w:type="dxa" w:w="6123"/>
          </w:tcPr>
          <w:p>
            <w:r/>
            <w:r>
              <w:rPr>
                <w:sz w:val="18"/>
              </w:rPr>
              <w:t>sexo (C006), idade (C008), escolaridade (VDD004A), renda (VDF004)</w:t>
            </w:r>
          </w:p>
        </w:tc>
      </w:tr>
      <w:tr>
        <w:tc>
          <w:tcPr>
            <w:tcW w:type="dxa" w:w="2948"/>
          </w:tcPr>
          <w:p>
            <w:r/>
            <w:r>
              <w:rPr>
                <w:sz w:val="18"/>
              </w:rPr>
              <w:t>6. Antropometria</w:t>
            </w:r>
          </w:p>
        </w:tc>
        <w:tc>
          <w:tcPr>
            <w:tcW w:type="dxa" w:w="6123"/>
          </w:tcPr>
          <w:p>
            <w:r/>
            <w:r>
              <w:rPr>
                <w:sz w:val="18"/>
              </w:rPr>
              <w:t>peso (P00104) e altura (P00404) → IMC</w:t>
            </w:r>
          </w:p>
        </w:tc>
      </w:tr>
    </w:tbl>
    <w:p>
      <w:pPr>
        <w:spacing w:after="40"/>
      </w:pPr>
    </w:p>
    <w:p>
      <w:pPr>
        <w:spacing w:after="160"/>
      </w:pPr>
      <w:r>
        <w:rPr>
          <w:i/>
          <w:sz w:val="18"/>
        </w:rPr>
        <w:t>Tabela 2 — Resumo do modelo conceitual: seis dimensões e exemplos (total de 69 atributos selecionados).</w:t>
      </w:r>
    </w:p>
    <w:p>
      <w:pPr>
        <w:pStyle w:val="Heading2"/>
      </w:pPr>
      <w:r>
        <w:t>3.3 Tratamento de ausentes, outliers e imputação</w:t>
      </w:r>
    </w:p>
    <w:p>
      <w:pPr>
        <w:spacing w:after="120" w:line="259" w:lineRule="auto"/>
        <w:jc w:val="both"/>
      </w:pPr>
      <w:r>
        <w:rPr>
          <w:b w:val="0"/>
          <w:i w:val="0"/>
        </w:rPr>
        <w:t>A PNS usa roteamento condicional: a resposta de uma pergunta 'pai' decide se a 'filha' chega a ser feita. Por exemplo, o número de consultas (J012) só era perguntado a quem havia consultado no último ano (J01101); esse vazio não é desconhecido, significa zero. Por isso resolvemos primeiro oito skip patterns e só depois auditamos o que restava. Atributos com mais de 75% de ausência foram removidos; entre 0% e 75%, fizemos imputação global (média para numéricas, moda para categóricas), calculada sem usar o rótulo (target-blind) para não vazar a classe para os atributos. Para outliers, usamos o intervalo interquartil (IQR × 3, por classe), apenas nas variáveis contínuas verdadeiras (peso, altura e idade).</w:t>
      </w:r>
    </w:p>
    <w:p>
      <w:pPr>
        <w:pStyle w:val="Heading2"/>
      </w:pPr>
      <w:r>
        <w:t>3.4 Preparação e discretização</w:t>
      </w:r>
    </w:p>
    <w:p>
      <w:pPr>
        <w:spacing w:after="120" w:line="259" w:lineRule="auto"/>
        <w:jc w:val="both"/>
      </w:pPr>
      <w:r>
        <w:rPr>
          <w:b w:val="0"/>
          <w:i w:val="0"/>
        </w:rPr>
        <w:t>Construímos o IMC a partir de peso e altura (IMC = P00104 / (P00404/100)²), reduzindo duas variáveis correlacionadas a uma só, mais informativa. As variáveis contínuas foram discretizadas no formato dos artigos do grupo: faixas de domínio com fontes oficiais e nunca definidas pela classe-alvo. O IMC seguiu a classificação da OMS; a idade, a subdivisão etária do idoso; a atividade física, o Guia de Atividade Física para a População Brasileira (2021); o álcool por ocasião, o limiar de binge do NIAAA. As consultas médicas (J012) foram divididas em quatro faixas de intensidade de uso.</w:t>
      </w:r>
    </w:p>
    <w:p>
      <w:pPr>
        <w:spacing w:after="120" w:line="259" w:lineRule="auto"/>
        <w:jc w:val="both"/>
      </w:pPr>
      <w:r>
        <w:rPr>
          <w:b w:val="0"/>
          <w:i w:val="0"/>
        </w:rPr>
        <w:t>Para a dieta, em vez de somar dias de consumo, adotamos duas representações complementares (Seção 3.5). A discretização foi isolada em um notebook próprio para que cada corte tenha origem única e auditável.</w:t>
      </w:r>
    </w:p>
    <w:p>
      <w:pPr>
        <w:pStyle w:val="Heading2"/>
      </w:pPr>
      <w:r>
        <w:t>3.5 Eixo nutricional: índice inflamatório e padrões alimentares</w:t>
      </w:r>
    </w:p>
    <w:p>
      <w:pPr>
        <w:spacing w:after="120" w:line="259" w:lineRule="auto"/>
        <w:jc w:val="both"/>
      </w:pPr>
      <w:r>
        <w:rPr>
          <w:b w:val="0"/>
          <w:i w:val="0"/>
        </w:rPr>
        <w:t>Para dar mais peso à nutrição, representamos a dieta de duas formas, seguindo a literatura de padrões alimentares (Hu, 2002). A primeira é a priori: um índice inflamatório adaptado (inspirado no Dietary Inflammatory Index de Shivappa et al., 2014), em que cada item alimentar entra com um peso pró ou anti-inflamatório. Como a PNS traz frequência (dias/semana), e não quantidade, trata-se de um proxy direcional do índice original, e não do índice validado; por isso testamos dois conjuntos de pesos (graduado e apenas direção) como análise de sensibilidade. A segunda é a posteriori: padrões alimentares obtidos por agrupamento k-means sobre os itens de frequência, gerando um único atributo categórico de padrão. As duas abordagens se complementam e substituem a antiga combinação de escores em quadrantes.</w:t>
      </w:r>
    </w:p>
    <w:p>
      <w:pPr>
        <w:pStyle w:val="Heading2"/>
      </w:pPr>
      <w:r>
        <w:t>3.6 Desenho 3 — intra-artrite e carga de comorbidade</w:t>
      </w:r>
    </w:p>
    <w:p>
      <w:pPr>
        <w:spacing w:after="120" w:line="259" w:lineRule="auto"/>
        <w:jc w:val="both"/>
      </w:pPr>
      <w:r>
        <w:rPr>
          <w:b w:val="0"/>
          <w:i w:val="0"/>
        </w:rPr>
        <w:t>O Desenho 3 mantém apenas os idosos com artrite e usa como alvo a presença de ao menos uma comorbidade. A ideia é segurar a artrite constante para reduzir a causalidade reversa que contamina a comparação com os saudáveis. A entrega central não é o classificador (desbalanceado), e sim o gradiente entre o índice inflamatório e a carga de comorbidade. Como parte dessas diferenças alimentares pode refletir o manejo dietético das próprias comorbidades (hipertensão, diabetes), usamos duas contagens — total e excluindo as comorbidades de manejo dietético —; se o gradiente persiste na contagem não-dietética, o sinal não é apenas manejo da comorbidade. Esta análise será triangulada com os Desenhos 1 e 2.</w:t>
      </w:r>
    </w:p>
    <w:p>
      <w:pPr>
        <w:pStyle w:val="Heading1"/>
      </w:pPr>
      <w:r>
        <w:t>4. Análise Exploratória</w:t>
      </w:r>
    </w:p>
    <w:p>
      <w:pPr>
        <w:spacing w:after="120" w:line="259" w:lineRule="auto"/>
        <w:jc w:val="both"/>
      </w:pPr>
      <w:r>
        <w:rPr>
          <w:b w:val="0"/>
          <w:i w:val="0"/>
        </w:rPr>
        <w:t>A prevalência global de artrite/reumatismo entre os idosos da PNS 2019 foi de 17,71% (IC95% 17,21–18,21). Há um gradiente claro por sexo e idade: entre as mulheres a prevalência (25,1%) é quase o triplo da dos homens (8,6%), e cresce com a idade (de 16,6% aos 60–69 anos a 20,5% acima dos 80). Escolaridade e renda, isoladamente, não funcionaram como marcadores fortes de risco.</w:t>
      </w:r>
    </w:p>
    <w:p>
      <w:pPr>
        <w:spacing w:after="120" w:line="259" w:lineRule="auto"/>
        <w:jc w:val="both"/>
      </w:pPr>
      <w:r>
        <w:rPr>
          <w:b w:val="0"/>
          <w:i w:val="0"/>
        </w:rPr>
        <w:t>Na análise bivariada (artrite isolada vs. saudáveis), sete variáveis foram significativas: sexo (***), autoavaliação de saúde (***), IMC (**), consumo de frutas (**), de feijão (**), de refrigerante (*) e posse de plano de saúde médico (*). Chama atenção que nenhum hábito tipicamente pró-inflamatório (carne vermelha, doces, embutidos) tenha atingido significância, e que frutas e refrigerante apareçam na direção oposta à esperada. A explicação mais provável é a causalidade reversa: quem recebe o diagnóstico tende a melhorar a dieta. No Desenho 2, com muito mais casos, o mesmo padrão se confirma e se intensifica.</w:t>
      </w:r>
    </w:p>
    <w:p>
      <w:pPr>
        <w:spacing w:after="120" w:line="259" w:lineRule="auto"/>
        <w:jc w:val="both"/>
      </w:pPr>
      <w:r>
        <w:rPr>
          <w:b w:val="0"/>
          <w:i w:val="0"/>
        </w:rPr>
        <w:t>Quanto à multimorbidade, o idoso brasileiro com artrite é tipicamente multimórbido: 65,3% também têm hipertensão, 39,8% colesterol alto, 21,9% diabetes e 19,5% depressão. A associação artrite-depressão dialoga diretamente com Cancella e Zárate (2025).</w:t>
      </w:r>
    </w:p>
    <w:p>
      <w:pPr>
        <w:spacing w:after="160"/>
      </w:pPr>
      <w:r>
        <w:rPr>
          <w:i/>
          <w:sz w:val="18"/>
        </w:rPr>
        <w:t>Tabela 3 (suplementar) — Análise bivariada completa, com teste, p-valor e IC95%, nos dois desenhos.</w:t>
      </w:r>
    </w:p>
    <w:p>
      <w:pPr>
        <w:pStyle w:val="Heading1"/>
      </w:pPr>
      <w:r>
        <w:t>5. Seleção de Atributos por Entropia</w:t>
      </w:r>
    </w:p>
    <w:p>
      <w:pPr>
        <w:spacing w:after="120" w:line="259" w:lineRule="auto"/>
        <w:jc w:val="both"/>
      </w:pPr>
      <w:r>
        <w:rPr>
          <w:b w:val="0"/>
          <w:i w:val="0"/>
        </w:rPr>
        <w:t>A seleção por entropia é a etapa do KDD que, sobre os dados já discretizados, mede quanto cada atributo reduz a incerteza da classe, antes da modelagem. Seguimos os três usos de entropia dos slides do orientador e adotamos o uso (B), o ganho de informação em relação à classe, como no estudo-irmão de Artrite-Depressão. Calculamos, por atributo, o ganho de informação (IG), a razão de ganho (Gain Ratio) e a incerteza simétrica (SU = 2·IG / (H(C)+H(A))), adotando a SU como métrica primária porque normaliza atributos com número de níveis diferente (de 2 a 22).</w:t>
      </w:r>
    </w:p>
    <w:p>
      <w:pPr>
        <w:spacing w:after="120" w:line="259" w:lineRule="auto"/>
        <w:jc w:val="both"/>
      </w:pPr>
      <w:r>
        <w:rPr>
          <w:b w:val="0"/>
          <w:i w:val="0"/>
        </w:rPr>
        <w:t>Medimos sobre o treino balanceado por subamostragem (RUS), porque no Desenho 1 o desbalanceamento de 8,77:1 esmaga a entropia da classe (H(C) cai de 1,0 para 0,476) e tornaria as comparações injustas. O corte foi conservador: removemos apenas atributos com SU abaixo de 0,001, que na prática são indicadores binários sem informação de classe. Calibramos esse limiar observando que cortes maiores (0,005) eliminariam variáveis substantivas como IMC, atividade física, padrão alimentar, escolaridade e renda, o que seria indefensável e contrário à conclusão dos próprios artigos do grupo. O teste de permutação entra apenas como p-valor descritivo, mostrando honestamente que o sinal é fraco, e não como gatilho de remoção. Toda a seleção é ajustada apenas no treino, com o teste mantido à parte, evitando vazamento.</w:t>
      </w:r>
    </w:p>
    <w:p>
      <w:pPr>
        <w:spacing w:after="120" w:line="259" w:lineRule="auto"/>
        <w:jc w:val="both"/>
      </w:pPr>
      <w:r>
        <w:rPr>
          <w:b w:val="0"/>
          <w:i w:val="0"/>
        </w:rPr>
        <w:t>As comorbidades e os exames a elas condicionados foram removidos dos atributos antes desta etapa, por serem filtro de coorte (preveriam artrite de forma circular). Por isso o ranking de entropia contém apenas fatores exógenos.</w:t>
      </w:r>
    </w:p>
    <w:p>
      <w:pPr>
        <w:spacing w:after="120" w:line="259" w:lineRule="auto"/>
        <w:jc w:val="both"/>
      </w:pPr>
      <w:r>
        <w:rPr>
          <w:b w:val="0"/>
          <w:i w:val="0"/>
        </w:rPr>
        <w:t>O resultado foi um conjunto enxuto e defensável: o Desenho 1 manteve 39 de 57 atributos e o Desenho 2 manteve 42 de 55, removendo apenas indicadores binários vazios e preservando todas as dimensões do modelo conceitual. No topo do ranking aparecem sexo, problema crônico de coluna, número de consultas, autopercepção de saúde, cansaço e sono (Tabela 4). Ainda que as comorbidades tenham sido excluídas, o topo coincide, de forma independente do modelo, com fatores destacados por Cancella e Zárate (2025): sexo e autopercepção de saúde.</w:t>
      </w:r>
    </w:p>
    <w:tbl>
      <w:tblPr>
        <w:tblStyle w:val="LightGrid-Accent1"/>
        <w:tblW w:type="auto" w:w="0"/>
        <w:jc w:val="center"/>
        <w:tblLook w:firstColumn="1" w:firstRow="1" w:lastColumn="0" w:lastRow="0" w:noHBand="0" w:noVBand="1" w:val="04A0"/>
      </w:tblPr>
      <w:tblGrid>
        <w:gridCol w:w="3249"/>
        <w:gridCol w:w="3249"/>
        <w:gridCol w:w="3249"/>
      </w:tblGrid>
      <w:tr>
        <w:tc>
          <w:tcPr>
            <w:tcW w:type="dxa" w:w="5102"/>
          </w:tcPr>
          <w:p>
            <w:r>
              <w:rPr>
                <w:b/>
                <w:sz w:val="18"/>
              </w:rPr>
              <w:t>Atributo (código PNS)</w:t>
            </w:r>
          </w:p>
        </w:tc>
        <w:tc>
          <w:tcPr>
            <w:tcW w:type="dxa" w:w="1984"/>
          </w:tcPr>
          <w:p>
            <w:r>
              <w:rPr>
                <w:b/>
                <w:sz w:val="18"/>
              </w:rPr>
              <w:t>SU · D1</w:t>
            </w:r>
          </w:p>
        </w:tc>
        <w:tc>
          <w:tcPr>
            <w:tcW w:type="dxa" w:w="1984"/>
          </w:tcPr>
          <w:p>
            <w:r>
              <w:rPr>
                <w:b/>
                <w:sz w:val="18"/>
              </w:rPr>
              <w:t>SU · D2</w:t>
            </w:r>
          </w:p>
        </w:tc>
      </w:tr>
      <w:tr>
        <w:tc>
          <w:tcPr>
            <w:tcW w:type="dxa" w:w="5102"/>
          </w:tcPr>
          <w:p>
            <w:r/>
            <w:r>
              <w:rPr>
                <w:sz w:val="18"/>
              </w:rPr>
              <w:t>Sexo — mulher (C006)</w:t>
            </w:r>
          </w:p>
        </w:tc>
        <w:tc>
          <w:tcPr>
            <w:tcW w:type="dxa" w:w="1984"/>
          </w:tcPr>
          <w:p>
            <w:r/>
            <w:r>
              <w:rPr>
                <w:sz w:val="18"/>
              </w:rPr>
              <w:t>0,031</w:t>
            </w:r>
          </w:p>
        </w:tc>
        <w:tc>
          <w:tcPr>
            <w:tcW w:type="dxa" w:w="1984"/>
          </w:tcPr>
          <w:p>
            <w:r/>
            <w:r>
              <w:rPr>
                <w:sz w:val="18"/>
              </w:rPr>
              <w:t>0,101</w:t>
            </w:r>
          </w:p>
        </w:tc>
      </w:tr>
      <w:tr>
        <w:tc>
          <w:tcPr>
            <w:tcW w:type="dxa" w:w="5102"/>
          </w:tcPr>
          <w:p>
            <w:r/>
            <w:r>
              <w:rPr>
                <w:sz w:val="18"/>
              </w:rPr>
              <w:t>Problema crônico de coluna (Q084)</w:t>
            </w:r>
          </w:p>
        </w:tc>
        <w:tc>
          <w:tcPr>
            <w:tcW w:type="dxa" w:w="1984"/>
          </w:tcPr>
          <w:p>
            <w:r/>
            <w:r>
              <w:rPr>
                <w:sz w:val="18"/>
              </w:rPr>
              <w:t>0,033</w:t>
            </w:r>
          </w:p>
        </w:tc>
        <w:tc>
          <w:tcPr>
            <w:tcW w:type="dxa" w:w="1984"/>
          </w:tcPr>
          <w:p>
            <w:r/>
            <w:r>
              <w:rPr>
                <w:sz w:val="18"/>
              </w:rPr>
              <w:t>0,098</w:t>
            </w:r>
          </w:p>
        </w:tc>
      </w:tr>
      <w:tr>
        <w:tc>
          <w:tcPr>
            <w:tcW w:type="dxa" w:w="5102"/>
          </w:tcPr>
          <w:p>
            <w:r/>
            <w:r>
              <w:rPr>
                <w:sz w:val="18"/>
              </w:rPr>
              <w:t>Nº de consultas em 12 m (J012)</w:t>
            </w:r>
          </w:p>
        </w:tc>
        <w:tc>
          <w:tcPr>
            <w:tcW w:type="dxa" w:w="1984"/>
          </w:tcPr>
          <w:p>
            <w:r/>
            <w:r>
              <w:rPr>
                <w:sz w:val="18"/>
              </w:rPr>
              <w:t>0,020</w:t>
            </w:r>
          </w:p>
        </w:tc>
        <w:tc>
          <w:tcPr>
            <w:tcW w:type="dxa" w:w="1984"/>
          </w:tcPr>
          <w:p>
            <w:r/>
            <w:r>
              <w:rPr>
                <w:sz w:val="18"/>
              </w:rPr>
              <w:t>0,098</w:t>
            </w:r>
          </w:p>
        </w:tc>
      </w:tr>
      <w:tr>
        <w:tc>
          <w:tcPr>
            <w:tcW w:type="dxa" w:w="5102"/>
          </w:tcPr>
          <w:p>
            <w:r/>
            <w:r>
              <w:rPr>
                <w:sz w:val="18"/>
              </w:rPr>
              <w:t>Autopercepção de saúde (N001)</w:t>
            </w:r>
          </w:p>
        </w:tc>
        <w:tc>
          <w:tcPr>
            <w:tcW w:type="dxa" w:w="1984"/>
          </w:tcPr>
          <w:p>
            <w:r/>
            <w:r>
              <w:rPr>
                <w:sz w:val="18"/>
              </w:rPr>
              <w:t>0,023</w:t>
            </w:r>
          </w:p>
        </w:tc>
        <w:tc>
          <w:tcPr>
            <w:tcW w:type="dxa" w:w="1984"/>
          </w:tcPr>
          <w:p>
            <w:r/>
            <w:r>
              <w:rPr>
                <w:sz w:val="18"/>
              </w:rPr>
              <w:t>0,091</w:t>
            </w:r>
          </w:p>
        </w:tc>
      </w:tr>
      <w:tr>
        <w:tc>
          <w:tcPr>
            <w:tcW w:type="dxa" w:w="5102"/>
          </w:tcPr>
          <w:p>
            <w:r/>
            <w:r>
              <w:rPr>
                <w:sz w:val="18"/>
              </w:rPr>
              <w:t>Cansaço / falta de energia (N011)</w:t>
            </w:r>
          </w:p>
        </w:tc>
        <w:tc>
          <w:tcPr>
            <w:tcW w:type="dxa" w:w="1984"/>
          </w:tcPr>
          <w:p>
            <w:r/>
            <w:r>
              <w:rPr>
                <w:sz w:val="18"/>
              </w:rPr>
              <w:t>0,029</w:t>
            </w:r>
          </w:p>
        </w:tc>
        <w:tc>
          <w:tcPr>
            <w:tcW w:type="dxa" w:w="1984"/>
          </w:tcPr>
          <w:p>
            <w:r/>
            <w:r>
              <w:rPr>
                <w:sz w:val="18"/>
              </w:rPr>
              <w:t>0,081</w:t>
            </w:r>
          </w:p>
        </w:tc>
      </w:tr>
      <w:tr>
        <w:tc>
          <w:tcPr>
            <w:tcW w:type="dxa" w:w="5102"/>
          </w:tcPr>
          <w:p>
            <w:r/>
            <w:r>
              <w:rPr>
                <w:sz w:val="18"/>
              </w:rPr>
              <w:t>Problemas de sono (N010)</w:t>
            </w:r>
          </w:p>
        </w:tc>
        <w:tc>
          <w:tcPr>
            <w:tcW w:type="dxa" w:w="1984"/>
          </w:tcPr>
          <w:p>
            <w:r/>
            <w:r>
              <w:rPr>
                <w:sz w:val="18"/>
              </w:rPr>
              <w:t>0,032</w:t>
            </w:r>
          </w:p>
        </w:tc>
        <w:tc>
          <w:tcPr>
            <w:tcW w:type="dxa" w:w="1984"/>
          </w:tcPr>
          <w:p>
            <w:r/>
            <w:r>
              <w:rPr>
                <w:sz w:val="18"/>
              </w:rPr>
              <w:t>0,074</w:t>
            </w:r>
          </w:p>
        </w:tc>
      </w:tr>
    </w:tbl>
    <w:p>
      <w:pPr>
        <w:spacing w:after="40"/>
      </w:pPr>
    </w:p>
    <w:p>
      <w:pPr>
        <w:spacing w:after="160"/>
      </w:pPr>
      <w:r>
        <w:rPr>
          <w:i/>
          <w:sz w:val="18"/>
        </w:rPr>
        <w:t>Tabela 4 — Atributos com maior incerteza simétrica (SU), treino balanceado, nos dois desenhos.</w:t>
      </w:r>
    </w:p>
    <w:p>
      <w:pPr>
        <w:pStyle w:val="Heading1"/>
      </w:pPr>
      <w:r>
        <w:t>6. Experimentos e Resultados</w:t>
      </w:r>
    </w:p>
    <w:p>
      <w:pPr>
        <w:spacing w:after="120" w:line="259" w:lineRule="auto"/>
        <w:jc w:val="both"/>
      </w:pPr>
      <w:r>
        <w:rPr>
          <w:b w:val="0"/>
          <w:i w:val="0"/>
        </w:rPr>
        <w:t>Esta seção apresentará os resultados da modelagem supervisionada, atualmente em andamento. O conjunto selecionado pela entropia alimenta três modelos — regressão logística (baseline interpretável), árvore de decisão (regras explícitas) e floresta aleatória (desempenho) —, com subamostragem aplicada dentro de cada dobra da validação cruzada (10 folds), métrica F1-macro e avaliação final em um conjunto de teste de 20% mantido à parte. A interpretabilidade cruzará a importância das árvores com o ranking de SU da Seção 5.</w:t>
      </w:r>
    </w:p>
    <w:p>
      <w:pPr>
        <w:spacing w:after="120" w:line="259" w:lineRule="auto"/>
        <w:jc w:val="both"/>
      </w:pPr>
      <w:r>
        <w:rPr>
          <w:b w:val="0"/>
          <w:i/>
        </w:rPr>
        <w:t>[Em andamento — inserir: tabela de métricas (Acurácia, Precisão, Recall, F1, AUC) por modelo e por desenho; matriz de confusão e curva ROC do melhor modelo; regras extraídas da árvore; e a comparação entre os Desenhos 1, 2 e 3, com o gradiente entre o índice inflamatório e a carga de comorbidade.]</w:t>
      </w:r>
    </w:p>
    <w:p>
      <w:pPr>
        <w:pStyle w:val="Heading1"/>
      </w:pPr>
      <w:r>
        <w:t>7. Conclusão e Trabalhos Futuros</w:t>
      </w:r>
    </w:p>
    <w:p>
      <w:pPr>
        <w:spacing w:after="120" w:line="259" w:lineRule="auto"/>
        <w:jc w:val="both"/>
      </w:pPr>
      <w:r>
        <w:rPr>
          <w:b w:val="0"/>
          <w:i w:val="0"/>
        </w:rPr>
        <w:t>Até aqui, organizamos o domínio da artrite em um modelo conceitual, preparamos a base da PNS 2019 com rastreabilidade de cada decisão e reduzimos o conjunto de atributos por entropia de forma conservada e defensável, preservando o eixo nutricional. A análise exploratória já indica um padrão alimentar contraintuitivo compatível com causalidade reversa, e a seleção por entropia recupera, de forma independente do modelo, fatores reconhecidos na literatura.</w:t>
      </w:r>
    </w:p>
    <w:p>
      <w:pPr>
        <w:spacing w:after="120" w:line="259" w:lineRule="auto"/>
        <w:jc w:val="both"/>
      </w:pPr>
      <w:r>
        <w:rPr>
          <w:b w:val="0"/>
          <w:i w:val="0"/>
        </w:rPr>
        <w:t>Como limitações, a PNS 2019 é transversal e não capta o aspecto temporal, o que dificulta separar causa de consequência, sobretudo na dieta. O índice inflamatório é um proxy adaptado, limitado pela frequência (e não quantidade) de consumo registrada na PNS. Como trabalhos futuros, concluiremos a modelagem nos três desenhos, finalizaremos os padrões alimentares por agrupamento e a análise do gradiente entre o índice inflamatório e a carga de comorbidade.</w:t>
      </w:r>
    </w:p>
    <w:p>
      <w:pPr>
        <w:pStyle w:val="Heading1"/>
      </w:pPr>
      <w:r>
        <w:t>Referências</w:t>
      </w:r>
    </w:p>
    <w:p>
      <w:pPr>
        <w:spacing w:after="60" w:line="240" w:lineRule="auto"/>
      </w:pPr>
      <w:r>
        <w:rPr>
          <w:sz w:val="19"/>
        </w:rPr>
        <w:t>[1] CANCELLA, L. F. R.; ZÁRATE, L. E. Caracterizando o perfil Artrite-Depressão da população brasileira — um estudo baseado na PNS 2019. SBBD, 2025.</w:t>
      </w:r>
    </w:p>
    <w:p>
      <w:pPr>
        <w:spacing w:after="60" w:line="240" w:lineRule="auto"/>
      </w:pPr>
      <w:r>
        <w:rPr>
          <w:sz w:val="19"/>
        </w:rPr>
        <w:t>[2] MELO, R. P. N.; GOMES, M. P. S.; ZÁRATE, L. E. Aprendizado de máquina para auxílio no diagnóstico de doença pulmonar obstrutiva crônica. Journal of Health Informatics, v. 16 (Especial), 2024.</w:t>
      </w:r>
    </w:p>
    <w:p>
      <w:pPr>
        <w:spacing w:after="60" w:line="240" w:lineRule="auto"/>
      </w:pPr>
      <w:r>
        <w:rPr>
          <w:sz w:val="19"/>
        </w:rPr>
        <w:t>[3] CARVALHO, N. M.; GOMES, M. P. S.; ZÁRATE, L. E. Mineração de dados no diagnóstico de hipertensão baseado na PNS 2019. Journal of Health Informatics, v. 16 (Especial), 2024.</w:t>
      </w:r>
    </w:p>
    <w:p>
      <w:pPr>
        <w:spacing w:after="60" w:line="240" w:lineRule="auto"/>
      </w:pPr>
      <w:r>
        <w:rPr>
          <w:sz w:val="19"/>
        </w:rPr>
        <w:t>[4] RODRIGUES, A. P. C.; ZÁRATE, L. E. Análise dos fatores socioambientais e comportamentais na identificação do Transtorno Obsessivo-Compulsivo: PNS 2019. SBBD, 2024.</w:t>
      </w:r>
    </w:p>
    <w:p>
      <w:pPr>
        <w:spacing w:after="60" w:line="240" w:lineRule="auto"/>
      </w:pPr>
      <w:r>
        <w:rPr>
          <w:sz w:val="19"/>
        </w:rPr>
        <w:t>[5] GONÇALVES, L. F. C.; ZÁRATE, L. E. Comparação de perfis de AVC entre idosos e adultos de meia-idade: estudo da PNS 2019. SBBD, 2024.</w:t>
      </w:r>
    </w:p>
    <w:p>
      <w:pPr>
        <w:spacing w:after="60" w:line="240" w:lineRule="auto"/>
      </w:pPr>
      <w:r>
        <w:rPr>
          <w:sz w:val="19"/>
        </w:rPr>
        <w:t>[6] SILVA, P. H. R.; ZÁRATE, L. E. Utilizando modelos de Machine Learning para a caracterização da depressão em adultos no Brasil. SBBD, 2024.</w:t>
      </w:r>
    </w:p>
    <w:p>
      <w:pPr>
        <w:spacing w:after="60" w:line="240" w:lineRule="auto"/>
      </w:pPr>
      <w:r>
        <w:rPr>
          <w:sz w:val="19"/>
        </w:rPr>
        <w:t>[7] RIBEIRO, C. E.; ZÁRATE, L. E. Classifying longevity profiles through longitudinal data mining. Expert Systems with Applications, v. 117, p. 75–89, 2019.</w:t>
      </w:r>
    </w:p>
    <w:p>
      <w:pPr>
        <w:spacing w:after="60" w:line="240" w:lineRule="auto"/>
      </w:pPr>
      <w:r>
        <w:rPr>
          <w:sz w:val="19"/>
        </w:rPr>
        <w:t>[8] ZÁRATE, L. E. et al. CAPTO: a method for understanding problem domains for data science projects. Concilium, v. 23, p. 922–941, 2023.</w:t>
      </w:r>
    </w:p>
    <w:p>
      <w:pPr>
        <w:spacing w:after="60" w:line="240" w:lineRule="auto"/>
      </w:pPr>
      <w:r>
        <w:rPr>
          <w:sz w:val="19"/>
        </w:rPr>
        <w:t>[9] SHIVAPPA, N. et al. Designing and developing a literature-derived, population-based dietary inflammatory index. Public Health Nutrition, v. 17, n. 8, 2014.</w:t>
      </w:r>
    </w:p>
    <w:p>
      <w:pPr>
        <w:spacing w:after="60" w:line="240" w:lineRule="auto"/>
      </w:pPr>
      <w:r>
        <w:rPr>
          <w:sz w:val="19"/>
        </w:rPr>
        <w:t>[10] HU, F. B. Dietary pattern analysis: a new direction in nutritional epidemiology. Current Opinion in Lipidology, v. 13, n. 1, 2002.</w:t>
      </w:r>
    </w:p>
    <w:p>
      <w:pPr>
        <w:spacing w:after="60" w:line="240" w:lineRule="auto"/>
      </w:pPr>
      <w:r>
        <w:rPr>
          <w:sz w:val="19"/>
        </w:rPr>
        <w:t>[11] LOUZADA, M. L. C. et al. Alimentos ultraprocessados e perfil nutricional da dieta no Brasil. Revista de Saúde Pública, v. 49, n. 38, 2015.</w:t>
      </w:r>
    </w:p>
    <w:p>
      <w:pPr>
        <w:spacing w:after="60" w:line="240" w:lineRule="auto"/>
      </w:pPr>
      <w:r>
        <w:rPr>
          <w:sz w:val="19"/>
        </w:rPr>
        <w:t>[12] CLARO, R. M. et al. Consumo de alimentos não saudáveis relacionados a DCNT no Brasil: PNS 2013 e 2019. Epidemiologia e Serviços de Saúde, v. 30, n. 1, 2021.</w:t>
      </w:r>
    </w:p>
    <w:p>
      <w:pPr>
        <w:spacing w:after="60" w:line="240" w:lineRule="auto"/>
      </w:pPr>
      <w:r>
        <w:rPr>
          <w:sz w:val="19"/>
        </w:rPr>
        <w:t>[13] BRASIL. Ministério da Saúde. Guia de Atividade Física para a População Brasileira. Brasília, 2021.</w:t>
      </w:r>
    </w:p>
    <w:p>
      <w:pPr>
        <w:spacing w:after="60" w:line="240" w:lineRule="auto"/>
      </w:pPr>
      <w:r>
        <w:rPr>
          <w:sz w:val="19"/>
        </w:rPr>
        <w:t>[14] INSTITUTO BRASILEIRO DE GEOGRAFIA E ESTATÍSTICA. Pesquisa Nacional de Saúde 2019. Rio de Janeiro: IBGE, 2020.</w:t>
      </w:r>
    </w:p>
    <w:p>
      <w:pPr>
        <w:spacing w:after="60" w:line="240" w:lineRule="auto"/>
      </w:pPr>
      <w:r>
        <w:rPr>
          <w:sz w:val="19"/>
        </w:rPr>
        <w:t>[15] WORLD HEALTH ORGANIZATION. Osteoarthritis. Genebra: WHO, 2023.</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