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8C2F27"/>
          <w:sz w:val="22"/>
        </w:rPr>
        <w:t>ROTEIRO DE APRESENTAÇÃO</w:t>
      </w:r>
    </w:p>
    <w:p>
      <w:r>
        <w:rPr>
          <w:b/>
          <w:sz w:val="60"/>
        </w:rPr>
        <w:t>A EDA Central</w:t>
      </w:r>
    </w:p>
    <w:p>
      <w:pPr>
        <w:spacing w:before="0" w:after="360"/>
        <w:ind w:left="0"/>
      </w:pPr>
      <w:r>
        <w:rPr>
          <w:b w:val="0"/>
          <w:i w:val="0"/>
          <w:color w:val="56534C"/>
          <w:sz w:val="24"/>
        </w:rPr>
        <w:t>Índice de Vulnerabilidade da Saúde intraurbano · Censo Demográfico 2022 · 70 municípios do ELSI-Brasil</w:t>
      </w:r>
    </w:p>
    <w:p>
      <w:pPr>
        <w:spacing w:before="0" w:after="120"/>
        <w:ind w:left="0"/>
      </w:pPr>
      <w:r>
        <w:rPr>
          <w:b w:val="0"/>
          <w:i w:val="0"/>
          <w:color w:val="56534C"/>
          <w:sz w:val="21"/>
        </w:rPr>
        <w:t>47 slides · duração estimada de 35 a 45 minutos · 104.108 setores censitários urbanos</w:t>
      </w:r>
    </w:p>
    <w:p>
      <w:pPr>
        <w:spacing w:before="800" w:after="120"/>
        <w:ind w:left="0"/>
      </w:pPr>
      <w:r>
        <w:rPr>
          <w:b w:val="0"/>
          <w:i w:val="0"/>
          <w:color w:val="56534C"/>
          <w:sz w:val="20"/>
        </w:rPr>
        <w:t>Pedro Dias Soares · Iniciação Científica · Fiocruz Minas — Instituto René Rachou · agosto de 2026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pPr>
        <w:spacing w:before="0" w:after="120"/>
        <w:ind w:left="0"/>
      </w:pPr>
      <w:r>
        <w:rPr>
          <w:b w:val="0"/>
          <w:i w:val="0"/>
        </w:rPr>
        <w:t>Cada slide tem quatro blocos. "O que está na tela" descreve o conteúdo, para você reconhecer o slide sem precisar olhar. "O que dizer" traz a fala sugerida entre aspas e em itálico — não é para decorar nem ler, é para você saber qual é a ideia central e em que ordem ela se sustenta. "O que apontar" indica onde levar o olhar de quem assiste, especialmente nas figuras. "Se perguntarem" antecipa as objeções prováveis.</w:t>
      </w:r>
    </w:p>
    <w:p>
      <w:pPr>
        <w:spacing w:before="80" w:after="120"/>
        <w:ind w:left="0"/>
      </w:pPr>
      <w:r>
        <w:rPr>
          <w:b w:val="0"/>
          <w:i w:val="0"/>
        </w:rPr>
        <w:t>Uma regra vale para a apresentação inteira: sempre que citar um número, diga o recorte. A base tem dois — 104.108 setores urbanos elegíveis e 106.281 incluindo os rurais — e confundi-los foi um erro real que esta versão do deck corrigiu. Cada tabela traz o recorte impresso embaixo dela; se a pergunta vier, é só ler.</w:t>
      </w:r>
    </w:p>
    <w:p>
      <w:pPr>
        <w:pStyle w:val="Heading2"/>
      </w:pPr>
      <w:r>
        <w:t>Antes de começar</w:t>
      </w:r>
    </w:p>
    <w:p>
      <w:pPr>
        <w:pStyle w:val="ListBullet"/>
        <w:spacing w:after="60"/>
        <w:ind w:left="454"/>
      </w:pPr>
      <w:r>
        <w:t>Deixe abertos: a pasta banco_de_dados/eda/ (61 tabelas) e o PDF do IBGE em docs/ — as duas perguntas mais prováveis se respondem abrindo um arquivo.</w:t>
      </w:r>
    </w:p>
    <w:p>
      <w:pPr>
        <w:pStyle w:val="ListBullet"/>
        <w:spacing w:after="60"/>
        <w:ind w:left="454"/>
      </w:pPr>
      <w:r>
        <w:t>Tenha à mão o número 63: é a quantidade de testes automatizados que passam. É a resposta curta para "como você sabe que isso está certo?".</w:t>
      </w:r>
    </w:p>
    <w:p>
      <w:pPr>
        <w:pStyle w:val="ListBullet"/>
        <w:spacing w:after="60"/>
        <w:ind w:left="454"/>
      </w:pPr>
      <w:r>
        <w:t>Se o tempo apertar, os slides que não podem cair são 7, 10, 18, 21, 24, 32, 37 e 46. Os divisores de seção (3, 6, 8, 17, 20, 28, 36, 40) podem passar em cinco segundos.</w:t>
      </w:r>
    </w:p>
    <w:p>
      <w:pPr>
        <w:pStyle w:val="ListBullet"/>
        <w:spacing w:after="60"/>
        <w:ind w:left="454"/>
      </w:pPr>
      <w:r>
        <w:t>Os slides 12, 13, 15, 18, 25 e 27 têm figura. Em cada um, resista a descrever a figura inteira: diga a única coisa que ela mostra e siga.</w:t>
      </w:r>
    </w:p>
    <w:p>
      <w:pPr>
        <w:pStyle w:val="Heading2"/>
      </w:pPr>
      <w:r>
        <w:t>O arco da apresentação, em uma frase por seção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Seção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9"/>
              </w:rPr>
              <w:t>A ideia que precisa ficar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Abertura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1–2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Esta é a primeira vez que a EDA aparece inteira; as anteriores eram recortes.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1. Desenho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3–5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objeto é o setor censitário, e o índice é intraurbano — isso decide todo o resto.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2. Quem entra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6–7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Cada exclusão é auditável e reversível; a base bruta guarda tudo.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3. As sete componentes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8–16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As distribuições são torcidas, e isso quebra a regra usual de outlier.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4. Correlação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17–19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Três variáveis medem quase a mesma coisa; chefia feminina mede outra.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5. Renda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20–27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extremo não é renda alta, é erro de dado — e o dano está na escala, não na média.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6. Blocos descritivos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28–35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Tudo que ficou fora dos decks anteriores, agora no mesmo recorte.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7. Favelas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36–38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O critério foi validado contra a lista oficial do IBGE, com 100% de acerto.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8. Fechamento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39–47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Limitações declaradas, correções assumidas e o próximo passo definido.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Roteiro slide a slide</w:t>
      </w:r>
    </w:p>
    <w:p>
      <w:pPr>
        <w:pStyle w:val="Heading2"/>
      </w:pPr>
      <w:r>
        <w:t>Slide 1 — Capa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Folha de rosto: título, subtítulo com o recorte e a assinatura.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análise exploratória completa do Censo 2022 nos 70 municípios do ELSI-Brasil. São 104 mil setores censitários urbanos, e é a primeira vez que apresento a EDA inteira num só lugar.”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só agora?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cada apresentação anterior foi montada em torno da pauta daquele mês. O próximo slide mostra exatamente o que se perdeu nisso.</w:t>
      </w:r>
    </w:p>
    <w:p>
      <w:pPr>
        <w:pStyle w:val="Heading2"/>
      </w:pPr>
      <w:r>
        <w:t>Slide 2 — Por que esta apresentação existe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comparando os blocos de análise entre o deck de junho, o de agosto e este.</w:t>
      </w:r>
    </w:p>
    <w:p>
      <w:pPr>
        <w:pStyle w:val="ListBullet"/>
        <w:spacing w:after="60"/>
        <w:ind w:left="454"/>
      </w:pPr>
      <w:r>
        <w:t>Coluna "Agosto" tem três "caiu"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notou que a chefia feminina não estava na última apresentação. Eu fui atrás, e achei o motivo. Ela estava sim no deck de junho, no slide 19. Sumiu quando remontei a apresentação de agosto em torno das sete demandas de julho — e chefia feminina tinha sido uma das seis demandas de junho, não de julho.”</w:t>
      </w:r>
    </w:p>
    <w:p>
      <w:pPr>
        <w:spacing w:before="80" w:after="160"/>
        <w:ind w:left="510" w:right="283"/>
      </w:pPr>
      <w:r>
        <w:rPr>
          <w:i/>
        </w:rPr>
        <w:t>“Não foi só ela. Habitação precária, morfologia do domicílio e a análise de banheiro caíram na mesma reescrita. E a causa é estrutural: nenhum script gerava as apresentações. A lista do que entra vivia na minha cabeça.”</w:t>
      </w:r>
    </w:p>
    <w:p>
      <w:pPr>
        <w:spacing w:before="80" w:after="160"/>
        <w:ind w:left="510" w:right="283"/>
      </w:pPr>
      <w:r>
        <w:rPr>
          <w:i/>
        </w:rPr>
        <w:t>“Este deck é gerado por script, e os números são lidos das tabelas na hora de gerar. Nenhum valor é digitado à mão.”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Os três "caiu" da coluna Agosto — é o que motivou esta revisão.</w:t>
      </w:r>
    </w:p>
    <w:p>
      <w:pPr>
        <w:pStyle w:val="ListBullet"/>
        <w:spacing w:after="60"/>
        <w:ind w:left="454"/>
      </w:pPr>
      <w:r>
        <w:t>A coluna "Tabelas": os dados nunca sumiram, só o caminho até 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Como você garante que não vai acontecer de novo?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lista de blocos agora está num arquivo versionado. Dá para comparar o que o deck cobre com as 61 tabelas da pasta e ver o que ficou de fora.</w:t>
      </w:r>
    </w:p>
    <w:p>
      <w:pPr>
        <w:pStyle w:val="Heading2"/>
      </w:pPr>
      <w:r>
        <w:t>Slide 3 — Divisor — O desenho do estudo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seção, só o número 1 e o título.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“Começo pelo desenho: a pergunta, o objeto e como o código está organizado.”</w:t>
      </w:r>
    </w:p>
    <w:p>
      <w:pPr>
        <w:pStyle w:val="Heading2"/>
      </w:pPr>
      <w:r>
        <w:t>Slide 4 — A pergunta e o objeto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A pergunta de pesquisa, a definição do objeto e quatro números de dimensionamento.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é como a vulnerabilidade se distribui dentro das cidades, não entre elas. Isso parece detalhe, mas é a decisão que organiza a análise inteira.”</w:t>
      </w:r>
    </w:p>
    <w:p>
      <w:pPr>
        <w:spacing w:before="80" w:after="160"/>
        <w:ind w:left="510" w:right="283"/>
      </w:pPr>
      <w:r>
        <w:rPr>
          <w:i/>
        </w:rPr>
        <w:t>“O objeto é o setor censitário, a menor unidade do Censo. E o índice é intraurbano: ele compara setores dentro da mesma cidade. Sempre que eu tiver que escolher entre um critério nacional e um critério municipal ao longo desta apresentação, vou escolher o municipal — e é por causa desta definição.”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104.108 setores urbanos elegíveis, em 70 municípios.</w:t>
      </w:r>
    </w:p>
    <w:p>
      <w:pPr>
        <w:pStyle w:val="ListBullet"/>
        <w:spacing w:after="60"/>
        <w:ind w:left="454"/>
      </w:pPr>
      <w:r>
        <w:t>8 arquivos do Censo, 2,4 GB, 73 variáveis na base montada.</w:t>
      </w:r>
    </w:p>
    <w:p>
      <w:pPr>
        <w:pStyle w:val="ListBullet"/>
        <w:spacing w:after="60"/>
        <w:ind w:left="454"/>
      </w:pPr>
      <w:r>
        <w:t>O recorte reúne 61,4% de toda a população favelada do Brasil — número conferido contra a publicação oficial do IBGE, e que volta no slide 37.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70 municípios?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 amostra do ELSI-Brasil, o estudo longitudinal da saúde dos idosos. O índice vai ser cruzado com desfechos dessa coorte.</w:t>
      </w:r>
    </w:p>
    <w:p>
      <w:pPr>
        <w:pStyle w:val="Heading2"/>
      </w:pPr>
      <w:r>
        <w:t>Slide 5 — Como a pipeline está estruturada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etapas numeradas: módulo, Notebook 01, Notebook 02, scripts e testes.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fórmulas ficam num módulo só. Os dois notebooks e os quatro scripts leem dele — nenhuma fórmula é redigitada em outro lugar.”</w:t>
      </w:r>
    </w:p>
    <w:p>
      <w:pPr>
        <w:spacing w:before="80" w:after="160"/>
        <w:ind w:left="510" w:right="283"/>
      </w:pPr>
      <w:r>
        <w:rPr>
          <w:i/>
        </w:rPr>
        <w:t>“Isso não era assim até este mês. As fórmulas existiam em dois lugares e a lista de variáveis em três. Bastava corrigir de um lado e esquecer o outro para o recorte ELSI divergir do cálculo nacional em silêncio.”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é reprodutível por outra pessoa?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Sim. São quatro comandos: criar o ambiente, rodar os dois notebooks e rodar os scripts. Está documentado no README, e a suíte de 63 testes confere o resultado.</w:t>
      </w:r>
    </w:p>
    <w:p>
      <w:pPr>
        <w:pStyle w:val="Heading2"/>
      </w:pPr>
      <w:r>
        <w:t>Slide 6 — Divisor — Quem entra na análise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2.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“Agora, quem entra e quem fica de fora.”</w:t>
      </w:r>
    </w:p>
    <w:p>
      <w:pPr>
        <w:pStyle w:val="Heading2"/>
      </w:pPr>
      <w:r>
        <w:t>Slide 7 — Do universo do Censo aos setores analisados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Tabela-funil: de 468.099 setores do país até 104.108 analisados.</w:t>
      </w:r>
    </w:p>
    <w:p>
      <w:pPr>
        <w:pStyle w:val="ListBullet"/>
        <w:spacing w:after="60"/>
        <w:ind w:left="454"/>
      </w:pPr>
      <w:r>
        <w:t>Dois parágrafos abaixo: a conferência da exclusão rural e a correção das massas d'água.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funil é o slide que eu mais uso para responder pergunta. Cada linha é um corte, e cada corte tem critério escrito.”</w:t>
      </w:r>
    </w:p>
    <w:p>
      <w:pPr>
        <w:spacing w:before="80" w:after="160"/>
        <w:ind w:left="510" w:right="283"/>
      </w:pPr>
      <w:r>
        <w:rPr>
          <w:i/>
        </w:rPr>
        <w:t>“Da esquerda para a direita: os 468 mil setores do país, o filtro dos 70 municípios, e aí três exclusões. Setores sem população, setores com o denominador sigiloso, e setores inteiramente coletivos — asilos e presídios, que no nosso recorte não aparecem.”</w:t>
      </w:r>
    </w:p>
    <w:p>
      <w:pPr>
        <w:spacing w:before="80" w:after="160"/>
        <w:ind w:left="510" w:right="283"/>
      </w:pPr>
      <w:r>
        <w:rPr>
          <w:i/>
        </w:rPr>
        <w:t>“A última linha é o filtro urbano, que a senhora pediu em julho. Ele é aplicado na análise, não na extração: a base bruta continua com os 109 mil setores, então a exclusão é reversível e auditável.”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ZERADO — foi uma correção: 1.736 setores sem população apareciam como sigilosos porque a ordem das condições estava invertida.</w:t>
      </w:r>
    </w:p>
    <w:p>
      <w:pPr>
        <w:pStyle w:val="ListBullet"/>
        <w:spacing w:after="60"/>
        <w:ind w:left="454"/>
      </w:pPr>
      <w:r>
        <w:t>A linha do recorte urbano: 2.173 setores rurais saem.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29 dos 70 municípios perdem mais de 10% dos setores com o filtro urbano, e 7 ficam com menos de 10 setores. Isso afeta a estabilidade das descritivas municipais e está declarado nas limitações.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rurais já na extração?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aí a exclusão viraria irreversível e não daria para conferir quanto saiu. Do jeito atual, a tabela de conferência mostra município a município.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Nenhum setor coletivo mesmo?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Nenhum. A classe existe na regra e ficou vazia, então ninguém é excluído por ela. O que existe é uma assimetria: quem mora em domicílio coletivo entra na população do setor, o v0001, mas não entra no denominador domiciliar, o V00001. Ou seja, essa pessoa conta nos indicadores de cor/raça e de idade, e não conta nos de saneamento. É isso que está nas limitações.</w:t>
      </w:r>
    </w:p>
    <w:p>
      <w:pPr>
        <w:pStyle w:val="Heading2"/>
      </w:pPr>
      <w:r>
        <w:t>Slide 8 — Divisor — As sete componentes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3.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“As sete variáveis que compõem o índice.”</w:t>
      </w:r>
    </w:p>
    <w:p>
      <w:pPr>
        <w:pStyle w:val="Heading2"/>
      </w:pPr>
      <w:r>
        <w:t>Slide 9 — As sete componentes — fórmulas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numerador, denominador e dimensão de cada componente.</w:t>
      </w:r>
    </w:p>
    <w:p>
      <w:pPr>
        <w:pStyle w:val="ListBullet"/>
        <w:spacing w:after="60"/>
        <w:ind w:left="454"/>
      </w:pPr>
      <w:r>
        <w:t>Três parágrafos abaixo: denominador consolidado, analfabetismo corrigido, três não reprodutíveis.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sete. Três de saneamento e quatro socioeconômicas, adaptadas do IVS-BH de 2012.”</w:t>
      </w:r>
    </w:p>
    <w:p>
      <w:pPr>
        <w:spacing w:before="80" w:after="160"/>
        <w:ind w:left="510" w:right="283"/>
      </w:pPr>
      <w:r>
        <w:rPr>
          <w:i/>
        </w:rPr>
        <w:t>“Duas correções valem menção. A primeira: o denominador domiciliar é V00001, domicílios particulares permanentes ocupados. Antes usávamos V01042, que é contagem de pessoas, não de domicílios — e com isso algumas proporções passavam de 1,0, o que é impossível.”</w:t>
      </w:r>
    </w:p>
    <w:p>
      <w:pPr>
        <w:spacing w:before="80" w:after="160"/>
        <w:ind w:left="510" w:right="283"/>
      </w:pPr>
      <w:r>
        <w:rPr>
          <w:i/>
        </w:rPr>
        <w:t>“A segunda: a taxa de analfabetismo é V00901 dividido pela soma de V00900 e V00901, ou seja, pelo total de pessoas com 15 anos ou mais. Antes era V00901 sobre V00900, que é uma razão entre analfabetos e alfabetizados, não uma taxa.”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 as componentes do IVS-BH que não estão aqui?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Três não existem nos agregados por setor do Censo 2022: anos de estudo, faixas de renda e óbitos cardiovasculares. Cada uma foi substituída por um proxy declarado, e a substituição está documentada.</w:t>
      </w:r>
    </w:p>
    <w:p>
      <w:pPr>
        <w:pStyle w:val="Heading2"/>
      </w:pPr>
      <w:r>
        <w:t>Slide 10 — As sete componentes em números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n, média, mediana, p75, máximo e assimetria das sete.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“Dois números desta tabela abrem as duas seções seguintes.”</w:t>
      </w:r>
    </w:p>
    <w:p>
      <w:pPr>
        <w:spacing w:before="80" w:after="160"/>
        <w:ind w:left="510" w:right="283"/>
      </w:pPr>
      <w:r>
        <w:rPr>
          <w:i/>
        </w:rPr>
        <w:t>“O primeiro é o n do analfabetismo: 87.556, contra 104 mil das outras. São 16.552 setores sem o dado, e a razão disso é o tema do slide 15.”</w:t>
      </w:r>
    </w:p>
    <w:p>
      <w:pPr>
        <w:spacing w:before="80" w:after="160"/>
        <w:ind w:left="510" w:right="283"/>
      </w:pPr>
      <w:r>
        <w:rPr>
          <w:i/>
        </w:rPr>
        <w:t>“O segundo é a assimetria da renda: 3,74, com máximo de 170 mil reais. É a distribuição mais torta da base, e é o tema da seção 5 inteira.”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mediana: em três das sete ela é zero. Água, esgoto e lixo não têm inadequação medida na maioria dos setores urbanos — e é isso que vai quebrar a regra de outlier no slide 14. Cuidado com a palavra: em cerca de um quarto desses zeros alguma parcela veio sigilosa, então é ausência de medida, não adequação comprovada.</w:t>
      </w:r>
    </w:p>
    <w:p>
      <w:pPr>
        <w:pStyle w:val="ListBullet"/>
        <w:spacing w:after="60"/>
        <w:ind w:left="454"/>
      </w:pPr>
      <w:r>
        <w:t>A razão de moradores é a única com assimetria próxima de zero.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reportar média e mediana juntas?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a distância entre elas mede a assimetria. Na renda, média de 4.187 contra mediana de 2.572 — a média está sendo puxada pela cauda.</w:t>
      </w:r>
    </w:p>
    <w:p>
      <w:pPr>
        <w:pStyle w:val="Heading2"/>
      </w:pPr>
      <w:r>
        <w:t>Slide 11 — As sete componentes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sete componentes por região.</w:t>
      </w:r>
    </w:p>
    <w:p>
      <w:pPr>
        <w:pStyle w:val="ListBullet"/>
        <w:spacing w:after="60"/>
        <w:ind w:left="454"/>
      </w:pPr>
      <w:r>
        <w:t>Dois parágrafos: o padrão confirmado e duas exceções.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está o gradiente Norte-Sul que a literatura prevê, e ele aparece em seis das sete.”</w:t>
      </w:r>
    </w:p>
    <w:p>
      <w:pPr>
        <w:spacing w:before="80" w:after="160"/>
        <w:ind w:left="510" w:right="283"/>
      </w:pPr>
      <w:r>
        <w:rPr>
          <w:i/>
        </w:rPr>
        <w:t>“Água inadequada no Norte é dezesseis vezes a do Sul. O esgoto, oito vezes. A razão de moradores acompanha: 3,19 no Norte contra 2,53 no Sul.”</w:t>
      </w:r>
    </w:p>
    <w:p>
      <w:pPr>
        <w:spacing w:before="80" w:after="160"/>
        <w:ind w:left="510" w:right="283"/>
      </w:pPr>
      <w:r>
        <w:rPr>
          <w:i/>
        </w:rPr>
        <w:t>“Mas há duas exceções, e elas são mais interessantes que a regra. O analfabetismo tem pico no Nordeste, não no Norte. E o lixo inadequado é maior no Nordeste e no Sudeste do que no Norte — o que é o contrário do esperado, e volta no slide 39.”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lixo — é a única que não segue o gradiente. Guarde isso, porque no comparativo com o Brasil ela vai reaparecer.</w:t>
      </w:r>
    </w:p>
    <w:p>
      <w:pPr>
        <w:pStyle w:val="Heading2"/>
      </w:pPr>
      <w:r>
        <w:t>Slide 12 — Como as sete variáveis se distribuem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nove histogramas em grade, um por componente.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figura existe para justificar uma decisão metodológica, não para descrever.”</w:t>
      </w:r>
    </w:p>
    <w:p>
      <w:pPr>
        <w:spacing w:before="80" w:after="160"/>
        <w:ind w:left="510" w:right="283"/>
      </w:pPr>
      <w:r>
        <w:rPr>
          <w:i/>
        </w:rPr>
        <w:t>“Cinco das sete têm essa forma: uma barra altíssima no zero e uma cauda longa à direita. Não é uma distribuição com dispersão em torno de um centro — é uma massa de setores adequados mais uma minoria com problema.”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Aponte só um histograma, o da água. A forma se repete em esgoto e lixo.</w:t>
      </w:r>
    </w:p>
    <w:p>
      <w:pPr>
        <w:pStyle w:val="ListBullet"/>
        <w:spacing w:after="60"/>
        <w:ind w:left="454"/>
      </w:pPr>
      <w:r>
        <w:t>Depois aponte o da razão de moradores, que é o contraste: esse sim tem forma de sino.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as estatísticas?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Não, mas muda quais fazem sentido. A média sozinha engana nessas cinco, e a regra do IQR para outlier deixa de funcionar — é o slide 14.</w:t>
      </w:r>
    </w:p>
    <w:p>
      <w:pPr>
        <w:pStyle w:val="Heading2"/>
      </w:pPr>
      <w:r>
        <w:t>Slide 13 — Distribuição por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boxplots das sete componentes, com as cinco regiões em cada painel.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mesma informação da tabela anterior, agora visual. O que a tabela dá em média, o boxplot dá em dispersão.”</w:t>
      </w:r>
    </w:p>
    <w:p>
      <w:pPr>
        <w:spacing w:before="80" w:after="160"/>
        <w:ind w:left="510" w:right="283"/>
      </w:pPr>
      <w:r>
        <w:rPr>
          <w:i/>
        </w:rPr>
        <w:t>“Repare que no Norte as caixas de água e esgoto são largas: não é só que a média é pior, é que a variação interna é maior. Há setores muito adequados e muito inadequados na mesma região.”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largura das caixas do Norte comparada com a do Sul, no painel de água.</w:t>
      </w:r>
    </w:p>
    <w:p>
      <w:pPr>
        <w:pStyle w:val="Heading2"/>
      </w:pPr>
      <w:r>
        <w:t>Slide 14 — Outliers: a regra do IQR não serve para o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quartis, limite superior, número de outliers e uma coluna "IQR serve?".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 método que falha, e sobre por que é importante dizer isso em vez de aplicar mesmo assim.”</w:t>
      </w:r>
    </w:p>
    <w:p>
      <w:pPr>
        <w:spacing w:before="80" w:after="160"/>
        <w:ind w:left="510" w:right="283"/>
      </w:pPr>
      <w:r>
        <w:rPr>
          <w:i/>
        </w:rPr>
        <w:t>“A regra usual de outlier usa o intervalo interquartil. Só que quando a mediana e o primeiro quartil são zero — que é o caso de água, esgoto e lixo — o intervalo interquartil fica minúsculo, e qualquer setor com qualquer inadequação vira atípico.”</w:t>
      </w:r>
    </w:p>
    <w:p>
      <w:pPr>
        <w:spacing w:before="80" w:after="160"/>
        <w:ind w:left="510" w:right="283"/>
      </w:pPr>
      <w:r>
        <w:rPr>
          <w:i/>
        </w:rPr>
        <w:t>“O resultado é que cerca de 20% dos setores são classificados como outlier nessas três variáveis. Vinte por cento não é cauda. É a forma da distribuição sendo confundida com anomalia.”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"IQR serve?" — três "não" e quatro "sim".</w:t>
      </w:r>
    </w:p>
    <w:p>
      <w:pPr>
        <w:pStyle w:val="ListBullet"/>
        <w:spacing w:after="60"/>
        <w:ind w:left="454"/>
      </w:pPr>
      <w:r>
        <w:t>Compare a linha da água (20,68% de outliers) com a da razão de moradores (3,49%).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como identificar outlier nessas variáveis?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Pelo percentil, que é o que a tabela também traz. Ou não identificar: se 20% dos setores têm inadequação, isso é o fenômeno, não ruído.</w:t>
      </w:r>
    </w:p>
    <w:p>
      <w:pPr>
        <w:pStyle w:val="Heading2"/>
      </w:pPr>
      <w:r>
        <w:t>Slide 15 — Dados faltantes e o sigilo do IBGE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mapa de dados faltantes por município.</w:t>
      </w:r>
    </w:p>
    <w:p>
      <w:pPr>
        <w:pStyle w:val="ListBullet"/>
        <w:spacing w:after="60"/>
        <w:ind w:left="454"/>
      </w:pPr>
      <w:r>
        <w:t>Dois parágrafos à direita: a variável que concentra o problema, e o fato de não ser aleatório.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“Seis das sete componentes têm cobertura praticamente total — abaixo de 0,05% de ausentes. O problema está concentrado numa variável só.”</w:t>
      </w:r>
    </w:p>
    <w:p>
      <w:pPr>
        <w:spacing w:before="80" w:after="160"/>
        <w:ind w:left="510" w:right="283"/>
      </w:pPr>
      <w:r>
        <w:rPr>
          <w:i/>
        </w:rPr>
        <w:t>“O analfabetismo tem 15,9% dos setores sem dado: 16.552 no recorte urbano. E a causa é o sigilo do IBGE, que suprime contagens pequenas.”</w:t>
      </w:r>
    </w:p>
    <w:p>
      <w:pPr>
        <w:spacing w:before="80" w:after="160"/>
        <w:ind w:left="510" w:right="283"/>
      </w:pPr>
      <w:r>
        <w:rPr>
          <w:i/>
        </w:rPr>
        <w:t>“A parte importante é que essa supressão não é aleatória. Ela acontece onde há poucos analfabetos — ou seja, nos setores de melhor situação. O próximo slide prova isso.”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analfabetismo no mapa, que destoa de todas as outras.</w:t>
      </w:r>
    </w:p>
    <w:p>
      <w:pPr>
        <w:pStyle w:val="Heading2"/>
      </w:pPr>
      <w:r>
        <w:t>Slide 16 — O sigilo depende do porte do setor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sigilo por faixa de tamanho do setor: de 44,09% a 3,33%.</w:t>
      </w:r>
    </w:p>
    <w:p>
      <w:pPr>
        <w:pStyle w:val="ListBullet"/>
        <w:spacing w:after="60"/>
        <w:ind w:left="454"/>
      </w:pPr>
      <w:r>
        <w:t>Parágrafo abaixo com o intervalo da média verdadeira.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prova de que a supressão não é aleatória, e ela é limpa: 44% de sigilo nos setores menores, caindo monotonicamente até 3,3% nos maiores.”</w:t>
      </w:r>
    </w:p>
    <w:p>
      <w:pPr>
        <w:spacing w:before="80" w:after="160"/>
        <w:ind w:left="510" w:right="283"/>
      </w:pPr>
      <w:r>
        <w:rPr>
          <w:i/>
        </w:rPr>
        <w:t>“E isso permite fazer uma coisa melhor do que declarar a limitação e parar. Como os setores excluídos são os de menor analfabetismo, a média que eu observo é um teto, não uma estimativa central. E como o IBGE reporta os zeros — mais de nove mil setores declaram zero analfabetos —, o valor suprimido é necessariamente maior ou igual a um. Isso fecha o intervalo pelos dois lados.”</w:t>
      </w:r>
    </w:p>
    <w:p>
      <w:pPr>
        <w:spacing w:before="80" w:after="160"/>
        <w:ind w:left="510" w:right="283"/>
      </w:pPr>
      <w:r>
        <w:rPr>
          <w:i/>
        </w:rPr>
        <w:t>“A média verdadeira da amostra está entre 3,14% e 3,64%. Meio ponto percentual de largura.”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Setores sem o dado: renda mediana de R$ 6.092,84. Setores com o dado: R$ 2.313,89.</w:t>
      </w:r>
    </w:p>
    <w:p>
      <w:pPr>
        <w:pStyle w:val="ListBullet"/>
        <w:spacing w:after="60"/>
        <w:ind w:left="454"/>
      </w:pPr>
      <w:r>
        <w:t>População preta, parda ou indígena: 30,8% nos sem dado, 60,6% nos com dado.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imputar?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Preencher com zero achataria o analfabetismo justamente nas áreas menos vulneráveis, comprimindo o gradiente. Imputar pela mediana do município transferiria aos setores ricos o perfil dos pobres — erra na direção oposta. As duas trocam uma ausência honesta por um número inventado.</w:t>
      </w:r>
    </w:p>
    <w:p>
      <w:pPr>
        <w:pStyle w:val="Heading2"/>
      </w:pPr>
      <w:r>
        <w:t>Slide 17 — Divisor — A estrutura de associação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4.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“Como as variáveis se relacionam entre si.”</w:t>
      </w:r>
    </w:p>
    <w:p>
      <w:pPr>
        <w:pStyle w:val="Heading2"/>
      </w:pPr>
      <w:r>
        <w:t>Slide 18 — Matriz de correlação com dez variáveis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Figura: dois mapas de calor lado a lado, Pearson e Spearman, 10 × 10.</w:t>
      </w:r>
    </w:p>
    <w:p>
      <w:pPr>
        <w:pStyle w:val="ListBullet"/>
        <w:spacing w:after="60"/>
        <w:ind w:left="454"/>
      </w:pPr>
      <w:r>
        <w:t>Uma linha preta separa as 7 componentes do IVS das 3 descritivas.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matriz que a senhora pediu ampliada. As três variáveis novas — idosos de 60 anos ou mais, menores de cinco anos e chefia feminina — estão abaixo e à direita da linha preta.”</w:t>
      </w:r>
    </w:p>
    <w:p>
      <w:pPr>
        <w:spacing w:before="80" w:after="160"/>
        <w:ind w:left="510" w:right="283"/>
      </w:pPr>
      <w:r>
        <w:rPr>
          <w:i/>
        </w:rPr>
        <w:t>“A linha está ali de propósito: sem ela, o mapa sugere que as dez são componentes do índice, e não são. As três são descritivas.”</w:t>
      </w:r>
    </w:p>
    <w:p>
      <w:pPr>
        <w:spacing w:before="80" w:after="160"/>
        <w:ind w:left="510" w:right="283"/>
      </w:pPr>
      <w:r>
        <w:rPr>
          <w:i/>
        </w:rPr>
        <w:t>“Duas leituras. Primeira: o bloco socioeconômico. Renda, cor/raça e analfabetismo se correlacionam entre si a menos 0,81, menos 0,76 e mais 0,63. Isso significa que se eu der peso igual às sete, três delas votam na mesma dimensão — e isso não seria uma escolha, seria um acidente.”</w:t>
      </w:r>
    </w:p>
    <w:p>
      <w:pPr>
        <w:spacing w:before="80" w:after="160"/>
        <w:ind w:left="510" w:right="283"/>
      </w:pPr>
      <w:r>
        <w:rPr>
          <w:i/>
        </w:rPr>
        <w:t>“Segunda: compare o Pearson com o Spearman na linha da renda. A diferença é grande, e a causa é a assimetria. Com a renda em log, o Pearson praticamente alcança o Spearman.”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quadrado escuro de renda × cor/raça, no canto do bloco socioeconômico.</w:t>
      </w:r>
    </w:p>
    <w:p>
      <w:pPr>
        <w:pStyle w:val="ListBullet"/>
        <w:spacing w:after="60"/>
        <w:ind w:left="454"/>
      </w:pPr>
      <w:r>
        <w:t>A linha preta divisória.</w:t>
      </w:r>
    </w:p>
    <w:p>
      <w:pPr>
        <w:pStyle w:val="ListBullet"/>
        <w:spacing w:after="60"/>
        <w:ind w:left="454"/>
      </w:pPr>
      <w:r>
        <w:t>A última linha, de chefia feminina: quase toda clara — é 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Pearson e Spearman?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Pearson mede associação linear; Spearman, monotônica. Onde os dois discordam, é a assimetria falando. É o caso da renda.</w:t>
      </w:r>
    </w:p>
    <w:p>
      <w:pPr>
        <w:pStyle w:val="Heading2"/>
      </w:pPr>
      <w:r>
        <w:t>Slide 19 — O que a matriz decidiu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três descritivas, a maior correlação de cada uma e a média absoluta.</w:t>
      </w:r>
    </w:p>
    <w:p>
      <w:pPr>
        <w:pStyle w:val="ListBullet"/>
        <w:spacing w:after="60"/>
        <w:ind w:left="454"/>
      </w:pPr>
      <w:r>
        <w:t>Dois parágrafos: chefia feminina como candidata, idosos e crianças como espelhos.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pergunta que justifica ampliar a matriz não é "quanto elas se correlacionam". É "alguma delas merece entrar no índice?".”</w:t>
      </w:r>
    </w:p>
    <w:p>
      <w:pPr>
        <w:spacing w:before="80" w:after="160"/>
        <w:ind w:left="510" w:right="283"/>
      </w:pPr>
      <w:r>
        <w:rPr>
          <w:i/>
        </w:rPr>
        <w:t>“Chefia feminina tem média de correlação absoluta de 0,133 com as sete componentes. É baixa. Isso quer dizer que ela mede algo que nenhuma variável do índice captura — e é exatamente esse o argumento para promovê-la.”</w:t>
      </w:r>
    </w:p>
    <w:p>
      <w:pPr>
        <w:spacing w:before="80" w:after="160"/>
        <w:ind w:left="510" w:right="283"/>
      </w:pPr>
      <w:r>
        <w:rPr>
          <w:i/>
        </w:rPr>
        <w:t>“As outras duas correlacionam três vezes mais com o que já está lá. E entre si estão a menos 0,722: são os dois lados da mesma estrutura etária. Colocar as duas seria contar a mesma coisa duas vezes.”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recomenda incluir chefia feminina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Recomendo levar a decisão a sério, porque a evidência sustenta. Mas é decisão de metodologia, e o IVS-BH original não a tem — então é a senhora quem decide se vale afastar-se da fonte.</w:t>
      </w:r>
    </w:p>
    <w:p>
      <w:pPr>
        <w:pStyle w:val="Heading2"/>
      </w:pPr>
      <w:r>
        <w:t>Slide 20 — Divisor — A renda sob auditoria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10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5.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seção mais longa. Cinco das demandas de agosto convergem aqui.”</w:t>
      </w:r>
    </w:p>
    <w:p>
      <w:pPr>
        <w:pStyle w:val="Heading2"/>
      </w:pPr>
      <w:r>
        <w:t>Slide 21 — O caso que abriu o assunto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Ficha do setor: código, valor em destaque, identificação.</w:t>
      </w:r>
    </w:p>
    <w:p>
      <w:pPr>
        <w:pStyle w:val="ListBullet"/>
        <w:spacing w:after="60"/>
        <w:ind w:left="454"/>
      </w:pPr>
      <w:r>
        <w:t>Anotação circulada à mão sobre o valor.</w:t>
      </w:r>
    </w:p>
    <w:p>
      <w:pPr>
        <w:pStyle w:val="ListBullet"/>
        <w:spacing w:after="60"/>
        <w:ind w:left="454"/>
      </w:pPr>
      <w:r>
        <w:t>Dois parágrafos à direita.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excluir a observação de 170 mil. Eu fui ver qual era.”</w:t>
      </w:r>
    </w:p>
    <w:p>
      <w:pPr>
        <w:spacing w:before="80" w:after="160"/>
        <w:ind w:left="510" w:right="283"/>
      </w:pPr>
      <w:r>
        <w:rPr>
          <w:i/>
        </w:rPr>
        <w:t>“É um setor de Belo Horizonte, no bairro Senhor dos Passos. E o campo CD_TIPO dele é 1, que no Censo significa Favela e Comunidade Urbana.”</w:t>
      </w:r>
    </w:p>
    <w:p>
      <w:pPr>
        <w:spacing w:before="80" w:after="160"/>
        <w:ind w:left="510" w:right="283"/>
      </w:pPr>
      <w:r>
        <w:rPr>
          <w:i/>
        </w:rPr>
        <w:t>“São 186 domicílios. A 170 mil reais de renda média por responsável, isso daria 31,7 milhões de reais circulando por mês numa favela de 186 casas. O perfil do setor não sustenta esse valor.”</w:t>
      </w:r>
    </w:p>
    <w:p>
      <w:pPr>
        <w:spacing w:before="80" w:after="160"/>
        <w:ind w:left="510" w:right="283"/>
      </w:pPr>
      <w:r>
        <w:rPr>
          <w:i/>
        </w:rPr>
        <w:t>“E o próprio arquivo do IBGE ajuda a dizer o que aconteceu. Ele traz o V06005, que é a variância do rendimento no setor. O coeficiente de variação aqui é 5,26, contra uma mediana nacional de 0,78. Se fosse só uma vírgula fora do lugar na média, esse coeficiente seria da ordem de 526. Então não é erro de digitação: a média está sendo puxada por uma ou poucas declarações enormes.”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CD_TIPO = 1, em vermelho: é o que torna o valor incompatível com o resto do perfil.</w:t>
      </w:r>
    </w:p>
    <w:p>
      <w:pPr>
        <w:pStyle w:val="ListBullet"/>
        <w:spacing w:after="60"/>
        <w:ind w:left="454"/>
      </w:pPr>
      <w:r>
        <w:t>A anotação circulada: o coeficiente de variação de 5,26 contra 0,78.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Você comunicou isso ao IBGE?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Não. É uma possibilidade — a tabela com os 66 casos está pronta e teria valor como retorno. Mas é decisão de vocês.</w:t>
      </w:r>
    </w:p>
    <w:p>
      <w:pPr>
        <w:pStyle w:val="Heading2"/>
      </w:pPr>
      <w:r>
        <w:t>Slide 22 — Como separamos erro de dado de renda alta de verdade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com as decisões de método; tabela com as três classes.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rastrear todos. Para isso eu precisei de um critério, e ele tem duas decisões dentro.”</w:t>
      </w:r>
    </w:p>
    <w:p>
      <w:pPr>
        <w:spacing w:before="80" w:after="160"/>
        <w:ind w:left="510" w:right="283"/>
      </w:pPr>
      <w:r>
        <w:rPr>
          <w:i/>
        </w:rPr>
        <w:t>“A primeira: a detecção é por município, não global. O índice é intraurbano, então 20 mil reais é comum em São Paulo e anômalo em Autazes. Um corte nacional mede a distância entre cidades, que não é o objeto.”</w:t>
      </w:r>
    </w:p>
    <w:p>
      <w:pPr>
        <w:spacing w:before="80" w:after="160"/>
        <w:ind w:left="510" w:right="283"/>
      </w:pPr>
      <w:r>
        <w:rPr>
          <w:i/>
        </w:rPr>
        <w:t>“A segunda, que é a que faz o método funcionar: o que levanta suspeita não é o valor, é a incoerência. Um setor no topo da renda do próprio município que também é favela, ou tem analfabetismo acima da mediana local, é internamente contraditório.”</w:t>
      </w:r>
    </w:p>
    <w:p>
      <w:pPr>
        <w:spacing w:before="80" w:after="160"/>
        <w:ind w:left="510" w:right="283"/>
      </w:pPr>
      <w:r>
        <w:rPr>
          <w:i/>
        </w:rPr>
        <w:t>“O resultado: 66 setores suspeitos e 3.292 extremos coerentes. E aqui eu preciso ser honesto sobre o que essa tabela mostra e o que ela não mostra: ser favela é um dos testes de incoerência, então nenhuma favela pode cair em EXTREMO por construção. A coluna da direita repete a regra, ela não a valida.”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"São favela?" — 22 de 66 contra 0 de 3.292. Diga que esse contraste é consequência da regra, não evidência a favor dela.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não excluir os 3.292 também?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renda alta de verdade é informação, não ruído. Removê-la achataria a desigualdade que o índice existe para medir.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critério não é arbitrário?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A escolha do limiar é, como toda escolha de limiar. O critério está escrito, versionado e coberto por testes. Duas fraquezas conhecidas: 40 dos 66 suspeitos são flagrados só por ter analfabetismo acima da mediana do município, que é evento de metade por construção; e a regra é cega a erro de dado em bairro rico. O setor de São Paulo com 140 mil reais, 45 vezes a mediana da cidade, sai como EXTREMO porque o entorno sustenta renda alta. Por isso acrescentei a coluna razao_implausivel, que marca 13 desses casos.</w:t>
      </w:r>
    </w:p>
    <w:p>
      <w:pPr>
        <w:pStyle w:val="Heading2"/>
      </w:pPr>
      <w:r>
        <w:t>Slide 23 — As duas análises exploratórias, lado a lado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antes e depois em seis métricas.</w:t>
      </w:r>
    </w:p>
    <w:p>
      <w:pPr>
        <w:pStyle w:val="ListBullet"/>
        <w:spacing w:after="60"/>
        <w:ind w:left="454"/>
      </w:pPr>
      <w:r>
        <w:t>Dois parágrafos: excluir muda pouco, transformar muda muito.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as duas EDAs. Aqui estão, e o resultado contraria o que eu esperava.”</w:t>
      </w:r>
    </w:p>
    <w:p>
      <w:pPr>
        <w:spacing w:before="80" w:after="160"/>
        <w:ind w:left="510" w:right="283"/>
      </w:pPr>
      <w:r>
        <w:rPr>
          <w:i/>
        </w:rPr>
        <w:t>“Tirar os 66 suspeitos quase não muda a estatística. A média cai 0,21%, a mediana 0,05%. As correlações se movem no máximo 0,010, e o Spearman fica praticamente imóvel.”</w:t>
      </w:r>
    </w:p>
    <w:p>
      <w:pPr>
        <w:spacing w:before="80" w:after="160"/>
        <w:ind w:left="510" w:right="283"/>
      </w:pPr>
      <w:r>
        <w:rPr>
          <w:i/>
        </w:rPr>
        <w:t>“Mas passar a renda para logaritmo muda dez vezes mais. A correlação com analfabetismo vai de menos 0,42 para menos 0,59; com cor e raça, de menos 0,68 para menos 0,81.”</w:t>
      </w:r>
    </w:p>
    <w:p>
      <w:pPr>
        <w:spacing w:before="80" w:after="160"/>
        <w:ind w:left="510" w:right="283"/>
      </w:pPr>
      <w:r>
        <w:rPr>
          <w:i/>
        </w:rPr>
        <w:t>“A conclusão prática é que o problema da renda está na assimetria, e não no outlier. E isso importa diretamente para a análise fatorial, que roda sobre a matriz de Pearson: com a renda bruta, a carga dela sairia subestimada.”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Então não vale excluir?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Vale, mas por outro motivo — é o próximo slide.</w:t>
      </w:r>
    </w:p>
    <w:p>
      <w:pPr>
        <w:pStyle w:val="Heading2"/>
      </w:pPr>
      <w:r>
        <w:t>Slide 24 — Onde a exclusão importa de verdade: a escala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cinco municípios e o percentual de setores comprimidos no primeiro decil.</w:t>
      </w:r>
    </w:p>
    <w:p>
      <w:pPr>
        <w:pStyle w:val="ListBullet"/>
        <w:spacing w:after="60"/>
        <w:ind w:left="454"/>
      </w:pPr>
      <w:r>
        <w:t>Bloco de destaque sobre Autazes.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argumento para excluir está na normalização, que é o insumo do índice, e não na média nem na correlação.”</w:t>
      </w:r>
    </w:p>
    <w:p>
      <w:pPr>
        <w:spacing w:before="80" w:after="160"/>
        <w:ind w:left="510" w:right="283"/>
      </w:pPr>
      <w:r>
        <w:rPr>
          <w:i/>
        </w:rPr>
        <w:t>“Autazes tem 43 setores. Um valor ruim, e 81% da cidade colapsa no primeiro decil da escala de renda. Sem ele, cai para 14%. Sessenta e sete pontos percentuais de diferença.”</w:t>
      </w:r>
    </w:p>
    <w:p>
      <w:pPr>
        <w:spacing w:before="80" w:after="160"/>
        <w:ind w:left="510" w:right="283"/>
      </w:pPr>
      <w:r>
        <w:rPr>
          <w:i/>
        </w:rPr>
        <w:t>“Em Belo Horizonte são 98,8% dos setores espremidos no primeiro decil, com dois valores ruins numa cidade de cinco mil setores.”
“E aqui vale dizer o que a tabela não resolve. Mesmo tirando os suspeitos, Belo Horizonte fica com 70,8% dos setores no primeiro decil, e Belém com 69,6%. O que quebra a escala não são os 66 valores: é aplicar min-max a uma variável com assimetria 3,74. Trocar a normalização global pela municipal reduz o problema e não o resolve. Transformar a variável, em log ou em posto, é a decisão que ainda está aberta.”</w:t>
      </w:r>
    </w:p>
    <w:p>
      <w:pPr>
        <w:spacing w:before="80" w:after="160"/>
        <w:ind w:left="510" w:right="283"/>
      </w:pPr>
      <w:r>
        <w:rPr>
          <w:i/>
        </w:rPr>
        <w:t>“Ou seja: mantido o outlier, a renda deixa de discriminar dentro da cidade — que é exatamente o que o índice precisa que ela faça. Vinte e três dos 63 municípios avaliados têm ao menos um suspeito.”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Autazes, e a coluna "Ganho": 67,1 pontos percentuais.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Qual sua recomendação, então?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Que os 66 saiam do cálculo do índice e fiquem na EDA como achado de qualidade do dado. As duas versões continuam publicadas, então a decisão é defensável nos dois sentidos.</w:t>
      </w:r>
    </w:p>
    <w:p>
      <w:pPr>
        <w:pStyle w:val="Heading2"/>
      </w:pPr>
      <w:r>
        <w:t>Slide 25 — Renda alta está mesmo nos setores pequenos?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com dois painéis: dispersão renda × tamanho, e barras da taxa de suspeita por faixa.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era a demanda 2, e a resposta é sim e não — a distinção importa.”</w:t>
      </w:r>
    </w:p>
    <w:p>
      <w:pPr>
        <w:spacing w:before="80" w:after="160"/>
        <w:ind w:left="510" w:right="283"/>
      </w:pPr>
      <w:r>
        <w:rPr>
          <w:i/>
        </w:rPr>
        <w:t>“O painel da esquerda mostra que o valor não depende do tamanho. A correlação entre número de domicílios e renda é menos 0,031, ou seja, nula. O maior valor da base está num setor de 186 domicílios, que é o tamanho mediano.”</w:t>
      </w:r>
    </w:p>
    <w:p>
      <w:pPr>
        <w:spacing w:before="80" w:after="160"/>
        <w:ind w:left="510" w:right="283"/>
      </w:pPr>
      <w:r>
        <w:rPr>
          <w:i/>
        </w:rPr>
        <w:t>“Mas o painel da direita mostra outra coisa. A taxa de suspeita é 0,265% nos setores de até 50 domicílios contra 0,045% nos de 201 a 400. Seis vezes mais.”</w:t>
      </w:r>
    </w:p>
    <w:p>
      <w:pPr>
        <w:spacing w:before="80" w:after="160"/>
        <w:ind w:left="510" w:right="283"/>
      </w:pPr>
      <w:r>
        <w:rPr>
          <w:i/>
        </w:rPr>
        <w:t>“Então o mecanismo que a senhora descreveu existe e está medido: média de poucos domicílios oscila mais. Só não é ele que produz o maior valor.”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tracejada vertical no painel esquerdo: o corte de 50 domicílios.</w:t>
      </w:r>
    </w:p>
    <w:p>
      <w:pPr>
        <w:pStyle w:val="ListBullet"/>
        <w:spacing w:after="60"/>
        <w:ind w:left="454"/>
      </w:pPr>
      <w:r>
        <w:t>A escada descendente do painel direito — é a resposta da demanda.</w:t>
      </w:r>
    </w:p>
    <w:p>
      <w:pPr>
        <w:pStyle w:val="Heading2"/>
      </w:pPr>
      <w:r>
        <w:t>Slide 26 — Sudeste e Norte: dois fenômenos com o mesmo rótulo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das cinco regiões com mediana, razão máximo/mediana, assimetria, extremos e suspeitos.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olhar Sudeste e Norte. São coisas diferentes com o mesmo nome.”</w:t>
      </w:r>
    </w:p>
    <w:p>
      <w:pPr>
        <w:spacing w:before="80" w:after="160"/>
        <w:ind w:left="510" w:right="283"/>
      </w:pPr>
      <w:r>
        <w:rPr>
          <w:i/>
        </w:rPr>
        <w:t>“O Sudeste tem o extremo absoluto: 62 vezes a mediana da própria região. Mas a taxa de suspeita é baixa, 0,044%.”</w:t>
      </w:r>
    </w:p>
    <w:p>
      <w:pPr>
        <w:spacing w:before="80" w:after="160"/>
        <w:ind w:left="510" w:right="283"/>
      </w:pPr>
      <w:r>
        <w:rPr>
          <w:i/>
        </w:rPr>
        <w:t>“O Norte tem 26 vezes a taxa de suspeita do Sul. Não por ter mais rico — a mediana dele é a segunda mais baixa. É porque a distribuição é tão comprimida na base que qualquer setor de classe média já destoa. A assimetria de lá é 6,15, a maior do país.”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Um achado que não estava na pauta: o critério global inverte esse retrato. Ele marca 4,61% do Sudeste e só 1,32% do Norte, porque mede "este setor é rico para o Brasil", e não "é anômalo na própria cidade". Dos cerca de 4.000 setores marcados pelos dois critérios, apenas 1.673 coincidem.</w:t>
      </w:r>
    </w:p>
    <w:p>
      <w:pPr>
        <w:pStyle w:val="Heading2"/>
      </w:pPr>
      <w:r>
        <w:t>Slide 27 — A distribuição da renda em cada uma das 70 cidades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Figura alta: boxplots das 70 cidades, em cinco painéis por região.</w:t>
      </w:r>
    </w:p>
    <w:p>
      <w:pPr>
        <w:pStyle w:val="ListBullet"/>
        <w:spacing w:after="60"/>
        <w:ind w:left="454"/>
      </w:pPr>
      <w:r>
        <w:t>Três parágrafos à esquerda explicando as escolhas de construção.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3. Setenta cidades num boxplot único é ilegível, então são painéis por região, com as cidades ordenadas pela mediana.”</w:t>
      </w:r>
    </w:p>
    <w:p>
      <w:pPr>
        <w:spacing w:before="80" w:after="160"/>
        <w:ind w:left="510" w:right="283"/>
      </w:pPr>
      <w:r>
        <w:rPr>
          <w:i/>
        </w:rPr>
        <w:t>“O eixo é logarítmico. Com assimetria de 3,74, em escala linear sessenta das setenta caixas colapsam contra a margem esquerda e não se distingue nada.”</w:t>
      </w:r>
    </w:p>
    <w:p>
      <w:pPr>
        <w:spacing w:before="80" w:after="160"/>
        <w:ind w:left="510" w:right="283"/>
      </w:pPr>
      <w:r>
        <w:rPr>
          <w:i/>
        </w:rPr>
        <w:t>“Os pontos vermelhos são os 66 suspeitos, cidade a cidade. Belo Horizonte, Belém e Salvador concentram os casos mais graves.”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O ponto vermelho isolado bem à direita, no painel do Sudeste: é Belo Horizonte.</w:t>
      </w:r>
    </w:p>
    <w:p>
      <w:pPr>
        <w:pStyle w:val="ListBullet"/>
        <w:spacing w:after="60"/>
        <w:ind w:left="454"/>
      </w:pPr>
      <w:r>
        <w:t>O painel do Sul, para contraste: caixas curtas e quase sem pontos vermelhos.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Dá para ver essa figura em tamanho maior?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ela está em banco_de_dados/eda/figuras/, em resolução cheia.</w:t>
      </w:r>
    </w:p>
    <w:p>
      <w:pPr>
        <w:pStyle w:val="Heading2"/>
      </w:pPr>
      <w:r>
        <w:t>Slide 28 — Divisor — Os blocos descritivos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6.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“Agora tudo que ficou de fora dos decks anteriores.”</w:t>
      </w:r>
    </w:p>
    <w:p>
      <w:pPr>
        <w:pStyle w:val="Heading2"/>
      </w:pPr>
      <w:r>
        <w:t>Slide 29 — Os blocos descritivos, região a região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sete indicadores descritivos por região.</w:t>
      </w:r>
    </w:p>
    <w:p>
      <w:pPr>
        <w:pStyle w:val="ListBullet"/>
        <w:spacing w:after="60"/>
        <w:ind w:left="454"/>
      </w:pPr>
      <w:r>
        <w:t>Três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“Estes são os blocos que caíram da apresentação anterior, e aqui estão todos na mesma tabela e no mesmo recorte — que é a parte que a versão anterior não garantia.”</w:t>
      </w:r>
    </w:p>
    <w:p>
      <w:pPr>
        <w:spacing w:before="80" w:after="160"/>
        <w:ind w:left="510" w:right="283"/>
      </w:pPr>
      <w:r>
        <w:rPr>
          <w:i/>
        </w:rPr>
        <w:t>“Habitação precária concentra-se no Centro-Oeste e no Sudeste. Isso é contraintuitivo e é um achado: precariedade habitacional é metropolitana, não rural do Norte. Saneamento e banheiro seguem o gradiente Norte-Sul; habitação improvisada não segue.”</w:t>
      </w:r>
    </w:p>
    <w:p>
      <w:pPr>
        <w:spacing w:before="80" w:after="160"/>
        <w:ind w:left="510" w:right="283"/>
      </w:pPr>
      <w:r>
        <w:rPr>
          <w:i/>
        </w:rPr>
        <w:t>“Chefia feminina é maioria: 52,81% no recorte urbano, com pico no Nordeste, em 55,4%.”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de habitação precária: Centro-Oeste com o maior valor, Sul com o menor.</w:t>
      </w:r>
    </w:p>
    <w:p>
      <w:pPr>
        <w:pStyle w:val="ListBullet"/>
        <w:spacing w:after="60"/>
        <w:ind w:left="454"/>
      </w:pPr>
      <w:r>
        <w:t>O contraste com a linha de banheiro logo abaixo, que tem o padrão oposto.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Por que esses indicadores não entram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Porque o IVS-BH tem sete componentes definidas, e estes são descritivos. Promovê-los é decisão metodológica — e a matriz de correlação do slide 19 é o insumo dessa decisão.</w:t>
      </w:r>
    </w:p>
    <w:p>
      <w:pPr>
        <w:pStyle w:val="Heading2"/>
      </w:pPr>
      <w:r>
        <w:t>Slide 30 — Chefia feminina e envelhecimento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 envelhecimento por região; quatro números em destaque abaixo.</w:t>
      </w:r>
    </w:p>
    <w:p>
      <w:pPr>
        <w:pStyle w:val="ListBullet"/>
        <w:spacing w:after="60"/>
        <w:ind w:left="454"/>
      </w:pPr>
      <w:r>
        <w:t>Parágrafo em vermelho sobre a correção do IEP.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“O índice de envelhecimento da amostra é 92,7, com razão de dependência de idosos de 25,5.”</w:t>
      </w:r>
    </w:p>
    <w:p>
      <w:pPr>
        <w:spacing w:before="80" w:after="160"/>
        <w:ind w:left="510" w:right="283"/>
      </w:pPr>
      <w:r>
        <w:rPr>
          <w:i/>
        </w:rPr>
        <w:t>“Este número passou por uma correção que vale explicar. Antes ele dava 299, porque o denominador usava só a faixa de zero a quatro anos. O correto, seguindo Galvão e colaboradores, é usar todos os menores de quinze. Corrigido, dá 92,7.”</w:t>
      </w:r>
    </w:p>
    <w:p>
      <w:pPr>
        <w:spacing w:before="80" w:after="160"/>
        <w:ind w:left="510" w:right="283"/>
      </w:pPr>
      <w:r>
        <w:rPr>
          <w:i/>
        </w:rPr>
        <w:t>“Por região o contraste é grande: 56 no Norte contra 112 no Sul. O Sul já tem mais idosos que crianças.”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IEP: a escada de 56 no Norte a 112 no Sul.</w:t>
      </w:r>
    </w:p>
    <w:p>
      <w:pPr>
        <w:pStyle w:val="ListBullet"/>
        <w:spacing w:after="60"/>
        <w:ind w:left="454"/>
      </w:pPr>
      <w:r>
        <w:t>O parágrafo em vermelho — é uma correção assumida, não um dado.</w:t>
      </w:r>
    </w:p>
    <w:p>
      <w:pPr>
        <w:pStyle w:val="Heading2"/>
      </w:pPr>
      <w:r>
        <w:t>Slide 31 — Tipo de espécie do domicílio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os onze tipos de espécie e a distribuição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morfologia urbana: o que não é casa. Repare que o percentual aqui é sobre domicílios, não sobre setores — é outra unidade.”</w:t>
      </w:r>
    </w:p>
    <w:p>
      <w:pPr>
        <w:spacing w:before="80" w:after="160"/>
        <w:ind w:left="510" w:right="283"/>
      </w:pPr>
      <w:r>
        <w:rPr>
          <w:i/>
        </w:rPr>
        <w:t>“Apartamento vai de 15,7% no Norte a 36,9% no Sul. Cortiço e casa de cômodos, que é o tipo mais associado a precariedade, concentra-se no Centro-Oeste.”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do apartamento, que é o indicador que a senhora pediu em julho.</w:t>
      </w:r>
    </w:p>
    <w:p>
      <w:pPr>
        <w:pStyle w:val="ListBullet"/>
        <w:spacing w:after="60"/>
        <w:ind w:left="454"/>
      </w:pPr>
      <w:r>
        <w:t>A linha da maloca indígena, toda zerada: no recorte urbano dos 70 municípios não há.</w:t>
      </w:r>
    </w:p>
    <w:p>
      <w:pPr>
        <w:pStyle w:val="Heading2"/>
      </w:pPr>
      <w:r>
        <w:t>Slide 32 — Canalização da água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 com as três categorias, o total sem canalização e a coluna "suprimido".</w:t>
      </w:r>
    </w:p>
    <w:p>
      <w:pPr>
        <w:pStyle w:val="ListBullet"/>
        <w:spacing w:after="60"/>
        <w:ind w:left="454"/>
      </w:pPr>
      <w:r>
        <w:t>Dois parágrafos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demanda 10. E o achado principal é que estas variáveis medem coisa diferente do que o índice já tem.”</w:t>
      </w:r>
    </w:p>
    <w:p>
      <w:pPr>
        <w:spacing w:before="80" w:after="160"/>
        <w:ind w:left="510" w:right="283"/>
      </w:pPr>
      <w:r>
        <w:rPr>
          <w:i/>
        </w:rPr>
        <w:t>“O indicador de água que está no IVS usa V00112 a V00118, que é a fonte da água: poço, nascente, carro-pipa, rio. As três variáveis novas medem a entrega: se a água chega encanada dentro do domicílio, só até o terreno, ou não chega. Um domicílio ligado à rede geral pode receber água só no terreno. O Spearman entre os dois eixos é 0,459: medem coisas próximas, mas não a mesma coisa.”</w:t>
      </w:r>
    </w:p>
    <w:p>
      <w:pPr>
        <w:spacing w:before="80" w:after="160"/>
        <w:ind w:left="510" w:right="283"/>
      </w:pPr>
      <w:r>
        <w:rPr>
          <w:i/>
        </w:rPr>
        <w:t>“O Norte tem 3,73% dos domicílios sem canalização contra 0,33% do Sul. Onze vezes.”</w:t>
      </w:r>
    </w:p>
    <w:p>
      <w:pPr>
        <w:spacing w:before="80" w:after="160"/>
        <w:ind w:left="510" w:right="283"/>
      </w:pPr>
      <w:r>
        <w:rPr>
          <w:i/>
        </w:rPr>
        <w:t>“E as três variáveis formam uma partição de V00001. Isso virou auditoria automática: elas somam exatamente o total de domicílios em 100% dos 81 mil setores em que as três estão presentes.”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"Suprimido" — é a parcela que o sigilo tira das duas categorias pequenas. Ela está publicada em vez de escondida, e é o assunto do próximo slide.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deveria entrar no índice?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Como componente, discrimina pouco: só 5% dos setores têm algum domicílio sem canalização. Como descritivo de contraste regional, funciona bem.</w:t>
      </w:r>
    </w:p>
    <w:p>
      <w:pPr>
        <w:pStyle w:val="Heading2"/>
      </w:pPr>
      <w:r>
        <w:t>Slide 33 — O truque que salvou 21,9% dos setores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Duas colunas comparando as fórmulas, com 21,9% em vermelho e 0,04% em preto.</w:t>
      </w:r>
    </w:p>
    <w:p>
      <w:pPr>
        <w:pStyle w:val="ListBullet"/>
        <w:spacing w:after="60"/>
        <w:ind w:left="454"/>
      </w:pPr>
      <w:r>
        <w:t>Parágrafo de ressalva abaixo.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“Este slide é sobre uma decisão técnica que vale uma explicação.”</w:t>
      </w:r>
    </w:p>
    <w:p>
      <w:pPr>
        <w:spacing w:before="80" w:after="160"/>
        <w:ind w:left="510" w:right="283"/>
      </w:pPr>
      <w:r>
        <w:rPr>
          <w:i/>
        </w:rPr>
        <w:t>“A fórmula literal do que a senhora pediu é V00200 mais V00201 sobre o total. Só que essas duas são contagens pequenas — e contagem pequena é exatamente o que o IBGE suprime. Exigindo as duas, 21,9% dos setores ficam sem valor.”</w:t>
      </w:r>
    </w:p>
    <w:p>
      <w:pPr>
        <w:spacing w:before="80" w:after="160"/>
        <w:ind w:left="510" w:right="283"/>
      </w:pPr>
      <w:r>
        <w:rPr>
          <w:i/>
        </w:rPr>
        <w:t>“Como a trinca soma o total, dá para calcular a mesma coisa por um menos V00199 sobre o total. E V00199 é contagem grande, quase nunca sigilada: o ausente cai para 0,04%.”</w:t>
      </w:r>
    </w:p>
    <w:p>
      <w:pPr>
        <w:spacing w:before="80" w:after="160"/>
        <w:ind w:left="510" w:right="283"/>
      </w:pPr>
      <w:r>
        <w:rPr>
          <w:i/>
        </w:rPr>
        <w:t>“Mas há uma ressalva, e ela precisa constar do artigo: a identidade só é verificável onde as três estão presentes. Nos setores com sigilo, aplicá-la é extrapolação — justificada porque a partição é definida pelo IBGE, mas é suposição, não medição.”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não é assumir demais?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É assumir algo, e por isso está declarado. A alternativa é perder um em cada cinco setores, de forma não aleatória. Escolhi a suposição declarada em vez da perda silenciosa.</w:t>
      </w:r>
    </w:p>
    <w:p>
      <w:pPr>
        <w:pStyle w:val="Heading2"/>
      </w:pPr>
      <w:r>
        <w:t>Slide 34 — Cobertura integral de saneamento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por região; quatro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“Aqui a leitura é otimista: quantos setores têm cobertura integral, ou seja, nenhum domicílio na condição inadequada.”</w:t>
      </w:r>
    </w:p>
    <w:p>
      <w:pPr>
        <w:spacing w:before="80" w:after="160"/>
        <w:ind w:left="510" w:right="283"/>
      </w:pPr>
      <w:r>
        <w:rPr>
          <w:i/>
        </w:rPr>
        <w:t>“Água: 72,9%. Esgoto: 71,4%. Lixo: 61,7%. Mas os três juntos, só 41,6%.”</w:t>
      </w:r>
    </w:p>
    <w:p>
      <w:pPr>
        <w:spacing w:before="80" w:after="160"/>
        <w:ind w:left="510" w:right="283"/>
      </w:pPr>
      <w:r>
        <w:rPr>
          <w:i/>
        </w:rPr>
        <w:t>“Atenção ao recorte deste slide: ele é o que inclui os rurais, 106.281 setores. Está impresso embaixo da tabela.”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Contando a caçamba de serviço de limpeza como coleta, o lixo sobe de 61,7% para 91,5%. Essa diferença é o efeito de uma decisão metodológica — a caçamba é contada como inadequada por fidelidade ao IVS-BH 2012, e essa decisão está em revisão.</w:t>
      </w:r>
    </w:p>
    <w:p>
      <w:pPr>
        <w:pStyle w:val="Heading2"/>
      </w:pPr>
      <w:r>
        <w:t>Slide 35 — Gravidade do saneamento em faixas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três serviços em duas faixas cada, por região.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“Não basta saber quantos setores têm inadequação: importa quanto.”</w:t>
      </w:r>
    </w:p>
    <w:p>
      <w:pPr>
        <w:spacing w:before="80" w:after="160"/>
        <w:ind w:left="510" w:right="283"/>
      </w:pPr>
      <w:r>
        <w:rPr>
          <w:i/>
        </w:rPr>
        <w:t>“No Norte, 30,8% dos setores têm metade ou mais dos domicílios com água inadequada — contra 11,8% em situação totalmente adequada. No Sul e no Centro-Oeste a distribuição se inverte por completo.”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As duas linhas da água: a de 0% e a de 50% ou mais, no Norte. Elas se cruzam em relação ao resto do país.</w:t>
      </w:r>
    </w:p>
    <w:p>
      <w:pPr>
        <w:pStyle w:val="Heading2"/>
      </w:pPr>
      <w:r>
        <w:t>Slide 36 — Divisor — Favelas e Comunidades Urbanas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7.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demanda 5, e o que ela revelou.”</w:t>
      </w:r>
    </w:p>
    <w:p>
      <w:pPr>
        <w:pStyle w:val="Heading2"/>
      </w:pPr>
      <w:r>
        <w:t>Slide 37 — A fonte oficial e a validação do critério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parágrafos, tabela de representatividade e um bloco de limitação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pediu para conferir um relatório do IBGE sobre favelas. Achei a publicação oficial de 2024, 171 páginas, e a definição com os quatro critérios está transcrita no relatório da EDA.”</w:t>
      </w:r>
    </w:p>
    <w:p>
      <w:pPr>
        <w:spacing w:before="80" w:after="160"/>
        <w:ind w:left="510" w:right="283"/>
      </w:pPr>
      <w:r>
        <w:rPr>
          <w:i/>
        </w:rPr>
        <w:t>“Mas o mais útil foi a planilha anexa, que lista as favelas por setor censitário. Com ela eu validei nosso critério: dos 109 mil setores da base completa, 19.507 estão na lista oficial — e são exatamente os 19.507 que o nosso código marca. Zero falso positivo, zero omissão. No recorte de análise são 19.452, que dão 18,7% dos 104.108.”</w:t>
      </w:r>
    </w:p>
    <w:p>
      <w:pPr>
        <w:spacing w:before="80" w:after="160"/>
        <w:ind w:left="510" w:right="283"/>
      </w:pPr>
      <w:r>
        <w:rPr>
          <w:i/>
        </w:rPr>
        <w:t>“A tabela mostra outra coisa que vale para o artigo: os 70 municípios do ELSI reúnem 61,4% de toda a população favelada do Brasil, sendo apenas 6,4% dos municípios que têm favela.”</w:t>
      </w:r>
    </w:p>
    <w:p>
      <w:pPr>
        <w:spacing w:before="80" w:after="160"/>
        <w:ind w:left="510" w:right="283"/>
      </w:pPr>
      <w:r>
        <w:rPr>
          <w:i/>
        </w:rPr>
        <w:t>“E a fonte revelou uma limitação que eu não conhecia. Na nota de rodapé da página 75, o IBGE diz que identificou 2.298 favelas com 21 a 50 domicílios que não receberam setor censitário próprio. Como nosso critério depende do setor, essas favelas são invisíveis na nossa base.”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linha da população em FCU: 61,4%. É um argumento de representatividade forte.</w:t>
      </w:r>
    </w:p>
    <w:p>
      <w:pPr>
        <w:pStyle w:val="ListBullet"/>
        <w:spacing w:after="60"/>
        <w:ind w:left="454"/>
      </w:pPr>
      <w:r>
        <w:t>O bloco em vermelho: a limitação das favelas pequenas.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invalida a comparação favela × cidade?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invalida, mas enviesa nos dois sentidos: subestima a população favelada e contamina o grupo de comparação com ela. Está declarado nas limitações.</w:t>
      </w:r>
    </w:p>
    <w:p>
      <w:pPr>
        <w:pStyle w:val="Heading2"/>
      </w:pPr>
      <w:r>
        <w:t>Slide 38 — Favela e restante da cidade, indicador a indicador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médias e medianas dentro e fora de favela, e a razão entre elas.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comparação direta. A última coluna é quantas vezes o valor médio no setor de favela supera o de fora.”</w:t>
      </w:r>
    </w:p>
    <w:p>
      <w:pPr>
        <w:spacing w:before="80" w:after="160"/>
        <w:ind w:left="510" w:right="283"/>
      </w:pPr>
      <w:r>
        <w:rPr>
          <w:i/>
        </w:rPr>
        <w:t>“Esgoto inadequado: 4,1 vezes. Lixo: 2,9. Água: 1,8.”</w:t>
      </w:r>
    </w:p>
    <w:p>
      <w:pPr>
        <w:spacing w:before="80" w:after="160"/>
        <w:ind w:left="510" w:right="283"/>
      </w:pPr>
      <w:r>
        <w:rPr>
          <w:i/>
        </w:rPr>
        <w:t>“Mas repare na razão de moradores: 1,11. Quase igual. Isso é coerente e vale dizer — adensamento domiciliar não é o eixo que separa favela do resto da cidade. O que separa é infraestrutura.”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da razão: a escada do esgoto até a razão de moradores.</w:t>
      </w:r>
    </w:p>
    <w:p>
      <w:pPr>
        <w:pStyle w:val="Heading2"/>
      </w:pPr>
      <w:r>
        <w:t>Slide 39 — A amostra ELSI comparada com o Brasil urbano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dos sete indicadores em Brasil urbano e ELSI-70, com a razão.</w:t>
      </w:r>
    </w:p>
    <w:p>
      <w:pPr>
        <w:pStyle w:val="ListBullet"/>
        <w:spacing w:after="60"/>
        <w:ind w:left="454"/>
      </w:pPr>
      <w:r>
        <w:t>Anotação circulada à mão na razão do lixo.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linha de base nacional: os mesmos indicadores calculados sobre os 468 mil setores do país inteiro.”</w:t>
      </w:r>
    </w:p>
    <w:p>
      <w:pPr>
        <w:spacing w:before="80" w:after="160"/>
        <w:ind w:left="510" w:right="283"/>
      </w:pPr>
      <w:r>
        <w:rPr>
          <w:i/>
        </w:rPr>
        <w:t>“Em seis dos sete, a amostra ELSI está melhor que o Brasil urbano. O esgoto é o contraste mais forte: 0,080 contra 0,155, quase metade.”</w:t>
      </w:r>
    </w:p>
    <w:p>
      <w:pPr>
        <w:spacing w:before="80" w:after="160"/>
        <w:ind w:left="510" w:right="283"/>
      </w:pPr>
      <w:r>
        <w:rPr>
          <w:i/>
        </w:rPr>
        <w:t>“A exceção é o lixo, e ela é diagnóstica. É a única variável em que estamos piores, razão de 1,21. Isso reforça a hipótese que apareceu no slide 11: o indicador de lixo pode estar medindo porte urbano em vez de vulnerabilidade, porque a caçamba de serviço de limpeza é mais comum em cidade grande.”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anotação circulada na razão 1,21 — é a única acima de 1.</w:t>
      </w:r>
    </w:p>
    <w:p>
      <w:pPr>
        <w:pStyle w:val="Heading3"/>
      </w:pPr>
      <w:r>
        <w:t>Números que sustentam a fala</w:t>
      </w:r>
    </w:p>
    <w:p>
      <w:pPr>
        <w:pStyle w:val="ListBullet"/>
        <w:spacing w:after="60"/>
        <w:ind w:left="454"/>
      </w:pPr>
      <w:r>
        <w:t>A população nacional calculada pela nossa pipeline confere com o número oficial do Censo 2022: 203.080.756 pessoas. É a prova de que o cálculo nacional está correto.</w:t>
      </w:r>
    </w:p>
    <w:p>
      <w:pPr>
        <w:pStyle w:val="Heading2"/>
      </w:pPr>
      <w:r>
        <w:t>Slide 40 — Divisor — Limitações e processo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5 segundos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Página de seção 8.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“Para fechar: o que não podemos afirmar, e o que vem agora.”</w:t>
      </w:r>
    </w:p>
    <w:p>
      <w:pPr>
        <w:pStyle w:val="Heading2"/>
      </w:pPr>
      <w:r>
        <w:t>Slide 41 — O sigilo do analfabetismo — limitação aceita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Dois parágrafos e três números em destaque.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“A senhora decidiu aceitar esta limitação. Eu aceitei, mas quantifiquei — porque aceitar não é deixar sem número.”</w:t>
      </w:r>
    </w:p>
    <w:p>
      <w:pPr>
        <w:spacing w:before="80" w:after="160"/>
        <w:ind w:left="510" w:right="283"/>
      </w:pPr>
      <w:r>
        <w:rPr>
          <w:i/>
        </w:rPr>
        <w:t>“Já mostrei os detalhes no slide 16. O resumo: 16.552 setores sem o dado, e a média verdadeira entre 3,14% e 3,64%.”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Isso vai no artigo?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Sim, com essa mesma quantificação. Está escrito na seção 14.1 do relatório.</w:t>
      </w:r>
    </w:p>
    <w:p>
      <w:pPr>
        <w:pStyle w:val="Heading2"/>
      </w:pPr>
      <w:r>
        <w:t>Slide 42 — As limitações da análise exploratória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Seis parágrafos, quatro em vermelho.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“Estas são as limitações que já estão escritas. As quatro primeiras são as que mais pesam.”</w:t>
      </w:r>
    </w:p>
    <w:p>
      <w:pPr>
        <w:spacing w:before="80" w:after="160"/>
        <w:ind w:left="510" w:right="283"/>
      </w:pPr>
      <w:r>
        <w:rPr>
          <w:i/>
        </w:rPr>
        <w:t>“A falácia ecológica é a mais importante e a mais fácil de esquecer: tudo aqui é agregado por setor. Nada nesta apresentação autoriza inferência sobre indivíduos.”</w:t>
      </w:r>
    </w:p>
    <w:p>
      <w:pPr>
        <w:spacing w:before="80" w:after="160"/>
        <w:ind w:left="510" w:right="283"/>
      </w:pPr>
      <w:r>
        <w:rPr>
          <w:i/>
        </w:rPr>
        <w:t>“As outras três eu já expliquei: o sigilo do analfabetismo, as favelas pequenas invisíveis, e os municípios que ficam com poucos setores depois do filtro urbano.”</w:t>
      </w:r>
    </w:p>
    <w:p>
      <w:pPr>
        <w:spacing w:before="80" w:after="160"/>
        <w:ind w:left="510" w:right="283"/>
      </w:pPr>
      <w:r>
        <w:rPr>
          <w:i/>
        </w:rPr>
        <w:t>“E a última: a EDA é descritiva. Nenhum teste de hipótese foi feito, e as correlações são exploratórias.”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Falta alguma limitação?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Faltam duas do roteiro de Lima-Costa e Barreto que ainda não redigi: viés de sobrevivência e a situação dos institucionalizados. Estão na fila.</w:t>
      </w:r>
    </w:p>
    <w:p>
      <w:pPr>
        <w:pStyle w:val="Heading2"/>
      </w:pPr>
      <w:r>
        <w:t>Slide 43 — As correções desta rodada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seis correções, a forma como foram encontradas e o que se fez.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“Prefiro mostrar os erros a escondê-los, porque a forma como eles foram encontrados é o argumento de confiabilidade.”</w:t>
      </w:r>
    </w:p>
    <w:p>
      <w:pPr>
        <w:spacing w:before="80" w:after="160"/>
        <w:ind w:left="510" w:right="283"/>
      </w:pPr>
      <w:r>
        <w:rPr>
          <w:i/>
        </w:rPr>
        <w:t>“A primeira linha: eu tinha uma tabela regional de água que somava duas parcelas sigilosas, e o resultado dava 99,7% onde deveria dar 100%. Quem pegou foi um teste automatizado — não eu relendo o código. É exatamente o erro que a seção da água existe para alertar, e eu o cometi na agregação.”</w:t>
      </w:r>
    </w:p>
    <w:p>
      <w:pPr>
        <w:spacing w:before="80" w:after="160"/>
        <w:ind w:left="510" w:right="283"/>
      </w:pPr>
      <w:r>
        <w:rPr>
          <w:i/>
        </w:rPr>
        <w:t>“A segunda linha é sobre esta apresentação. A primeira versão dela tinha números digitados à mão, e três vieram do recorte errado. Agora o gerador lê as tabelas na hora de gerar.”</w:t>
      </w:r>
    </w:p>
    <w:p>
      <w:pPr>
        <w:pStyle w:val="Heading3"/>
      </w:pPr>
      <w:r>
        <w:t>O que apontar</w:t>
      </w:r>
    </w:p>
    <w:p>
      <w:pPr>
        <w:pStyle w:val="ListBullet"/>
        <w:spacing w:after="60"/>
        <w:ind w:left="454"/>
      </w:pPr>
      <w:r>
        <w:t>A coluna do meio, "Como foi pego" — quatro das seis por teste ou conferência sistemática.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Quantos erros ainda devem existir?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Não sei, e é honesto dizer isso. O que posso dizer é que os testes cobrem as fórmulas e as contagens dos artefatos, e que a documentação foi varrida atrás de afirmações obsoletas.</w:t>
      </w:r>
    </w:p>
    <w:p>
      <w:pPr>
        <w:pStyle w:val="Heading2"/>
      </w:pPr>
      <w:r>
        <w:t>Slide 44 — As demandas de agosto, uma a uma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3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Tabela com as onze demandas, onde cada entrega está e a situação.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“Dez cumpridas e uma planejada.”</w:t>
      </w:r>
    </w:p>
    <w:p>
      <w:pPr>
        <w:spacing w:before="80" w:after="160"/>
        <w:ind w:left="510" w:right="283"/>
      </w:pPr>
      <w:r>
        <w:rPr>
          <w:i/>
        </w:rPr>
        <w:t>“A que ficou planejada é a análise fatorial. O plano está pronto — transformar a renda, decidir o que fazer com os 16 mil setores sem analfabetismo, KMO, Bartlett, número de fatores, rotação varimax. Não executei porque a decisão de método precede a execução.”</w:t>
      </w:r>
    </w:p>
    <w:p>
      <w:pPr>
        <w:pStyle w:val="Heading2"/>
      </w:pPr>
      <w:r>
        <w:t>Slide 45 — Por que estes números são confiáveis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Quatro números em destaque e quatro parágrafos de método.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“Se houver uma coisa para levar desta apresentação além dos resultados, é esta.”</w:t>
      </w:r>
    </w:p>
    <w:p>
      <w:pPr>
        <w:spacing w:before="80" w:after="160"/>
        <w:ind w:left="510" w:right="283"/>
      </w:pPr>
      <w:r>
        <w:rPr>
          <w:i/>
        </w:rPr>
        <w:t>“São 63 testes automatizados, todos passando. Eles não conferem só as fórmulas: leem os arquivos gerados e verificam contagens exatas.”</w:t>
      </w:r>
    </w:p>
    <w:p>
      <w:pPr>
        <w:spacing w:before="80" w:after="160"/>
        <w:ind w:left="510" w:right="283"/>
      </w:pPr>
      <w:r>
        <w:rPr>
          <w:i/>
        </w:rPr>
        <w:t>“E quando eu refatorei o Notebook 01 para ler as variáveis do módulo, comparei a base nova com a anterior antes de aceitar: 67 colunas em comum, zero diferenças, mesmos 109.032 setores. A refatoração foi provada neutra no dado, não no argumento.”</w:t>
      </w:r>
    </w:p>
    <w:p>
      <w:pPr>
        <w:pStyle w:val="Heading2"/>
      </w:pPr>
      <w:r>
        <w:t>Slide 46 — A decisão dos pesos do índice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4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Veredito em destaque, três parágrafos de sustentação e dois de ressalva.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“Esta é a decisão em aberto mais importante, e eu a submeti a uma análise adversarial com cinco perspectivas independentes e revisão cega entre elas.”</w:t>
      </w:r>
    </w:p>
    <w:p>
      <w:pPr>
        <w:spacing w:before="80" w:after="160"/>
        <w:ind w:left="510" w:right="283"/>
      </w:pPr>
      <w:r>
        <w:rPr>
          <w:i/>
        </w:rPr>
        <w:t>“O veredito foi adotar 60/40 da literatura e tratar o peso como análise de sensibilidade, não como decisão central. Três razões. Primeira: com renda, cor/raça e analfabetismo colineares a 0,8, qualquer esquema razoável produz quase o mesmo ranking. Segunda: a fatorial não decide o que fazer com o lixo, ela esconde a decisão — com correlações de 0,10 a 0,20 ele carrega sozinho, e a escolha volta a ser manual. Terceira: o custo de errar é assimétrico.”</w:t>
      </w:r>
    </w:p>
    <w:p>
      <w:pPr>
        <w:spacing w:before="80" w:after="160"/>
        <w:ind w:left="510" w:right="283"/>
      </w:pPr>
      <w:r>
        <w:rPr>
          <w:i/>
        </w:rPr>
        <w:t>“Mas a parte mais valiosa foi o ponto cego, que só apareceu na revisão: a normalização por município mexe mais no ranking do que qualquer peso, e ninguém testou isso ainda.”</w:t>
      </w:r>
    </w:p>
    <w:p>
      <w:pPr>
        <w:spacing w:before="80" w:after="160"/>
        <w:ind w:left="510" w:right="283"/>
      </w:pPr>
      <w:r>
        <w:rPr>
          <w:i/>
        </w:rPr>
        <w:t>“E registro que a decisão é da senhora. O que eu trago é o que a evidência sustenta.”</w:t>
      </w:r>
    </w:p>
    <w:p>
      <w:pPr>
        <w:pStyle w:val="Heading3"/>
      </w:pPr>
      <w:r>
        <w:t>Se perguntarem</w:t>
      </w:r>
    </w:p>
    <w:p>
      <w:pPr>
        <w:spacing w:before="0" w:after="40"/>
        <w:ind w:left="454"/>
      </w:pPr>
      <w:r>
        <w:rPr>
          <w:b/>
        </w:rPr>
        <w:t xml:space="preserve">P: </w:t>
      </w:r>
      <w:r>
        <w:rPr>
          <w:b w:val="0"/>
        </w:rPr>
        <w:t>O que exatamente é essa análise adversarial?</w:t>
      </w:r>
    </w:p>
    <w:p>
      <w:pPr>
        <w:spacing w:before="0" w:after="160"/>
        <w:ind w:left="454"/>
      </w:pPr>
      <w:r>
        <w:rPr>
          <w:b/>
        </w:rPr>
        <w:t xml:space="preserve">R: </w:t>
      </w:r>
      <w:r>
        <w:rPr>
          <w:b w:val="0"/>
        </w:rPr>
        <w:t>Cinco análises independentes da mesma questão, cada uma com um ângulo diferente, depois revisadas às cegas umas pelas outras. As cinco revisões escolheram a mesma resposta como a mais forte.</w:t>
      </w:r>
    </w:p>
    <w:p>
      <w:pPr>
        <w:pStyle w:val="Heading2"/>
      </w:pPr>
      <w:r>
        <w:t>Slide 47 — O que vem agora</w:t>
      </w:r>
    </w:p>
    <w:p>
      <w:pPr>
        <w:spacing w:before="0" w:after="160"/>
        <w:ind w:left="0"/>
      </w:pPr>
      <w:r>
        <w:rPr>
          <w:b w:val="0"/>
          <w:i/>
          <w:color w:val="56534C"/>
          <w:sz w:val="19"/>
        </w:rPr>
        <w:t>Tempo sugerido: 2 minutos</w:t>
      </w:r>
    </w:p>
    <w:p>
      <w:pPr>
        <w:pStyle w:val="Heading3"/>
      </w:pPr>
      <w:r>
        <w:t>O que está na tela</w:t>
      </w:r>
    </w:p>
    <w:p>
      <w:pPr>
        <w:pStyle w:val="ListBullet"/>
        <w:spacing w:after="60"/>
        <w:ind w:left="454"/>
      </w:pPr>
      <w:r>
        <w:t>Cinco itens numerados.</w:t>
      </w:r>
    </w:p>
    <w:p>
      <w:pPr>
        <w:pStyle w:val="Heading3"/>
      </w:pPr>
      <w:r>
        <w:t>O que dizer</w:t>
      </w:r>
    </w:p>
    <w:p>
      <w:pPr>
        <w:spacing w:before="80" w:after="160"/>
        <w:ind w:left="510" w:right="283"/>
      </w:pPr>
      <w:r>
        <w:rPr>
          <w:i/>
        </w:rPr>
        <w:t>“Cinco frentes. A primeira é a normalização por município, que o conselho apontou como dominante sobre a escolha dos pesos — e é mais barata que a fatorial.”</w:t>
      </w:r>
    </w:p>
    <w:p>
      <w:pPr>
        <w:spacing w:before="80" w:after="160"/>
        <w:ind w:left="510" w:right="283"/>
      </w:pPr>
      <w:r>
        <w:rPr>
          <w:i/>
        </w:rPr>
        <w:t>“A segunda fecha a questão dos pesos com uma tabela: calcular o índice com três esquemas e reportar a correlação entre os rankings.”</w:t>
      </w:r>
    </w:p>
    <w:p>
      <w:pPr>
        <w:spacing w:before="80" w:after="160"/>
        <w:ind w:left="510" w:right="283"/>
      </w:pPr>
      <w:r>
        <w:rPr>
          <w:i/>
        </w:rPr>
        <w:t>“A terceira é a fatorial, quando a senhora decidir.”</w:t>
      </w:r>
    </w:p>
    <w:p>
      <w:pPr>
        <w:spacing w:before="80" w:after="160"/>
        <w:ind w:left="510" w:right="283"/>
      </w:pPr>
      <w:r>
        <w:rPr>
          <w:i/>
        </w:rPr>
        <w:t>“A quarta são os estudos de renda que propus, e a quinta é terminar a redação das limitações.”</w:t>
      </w:r>
    </w:p>
    <w:p>
      <w:pPr>
        <w:spacing w:before="80" w:after="160"/>
        <w:ind w:left="510" w:right="283"/>
      </w:pPr>
      <w:r>
        <w:rPr>
          <w:i/>
        </w:rPr>
        <w:t>“Fico à disposição.”</w:t>
      </w:r>
    </w:p>
    <w:p>
      <w:r>
        <w:br w:type="page"/>
      </w:r>
    </w:p>
    <w:p>
      <w:pPr>
        <w:pStyle w:val="Heading1"/>
      </w:pPr>
      <w:r>
        <w:t>Anexo A — As perguntas difíceis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Perguntas que não estão presas a um slide, e que podem vir a qualquer momento.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Como sei que os números estão certos?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Três camadas. Os 63 testes automatizados conferem as fórmulas contra dados sintéticos calculáveis na mão e as contagens dos arquivos gerados. Os números desta apresentação são lidos das tabelas na hora de gerar o arquivo, não digitados. E o cálculo nacional reproduz a população oficial do Censo: 203.080.756.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dois recortes diferentes na mesma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algumas tabelas foram geradas antes do filtro urbano de julho e sustentam números já apresentados. Regerá-las no recorte novo mudaria os slides antigos. Cada tabela traz o recorte impresso embaixo, então a comparação nunca é feita às cegas.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Esse índice já pode ser usado por uma prefeitura?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Ainda não. Falta a normalização, os pesos e o cálculo final. O que existe hoje é a base analítica e a EDA que a sustenta.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Quanto disso é comparável com o IVS-BH 2012?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A estrutura é a mesma, mas três componentes foram substituídas por proxies porque não existem nos agregados por setor do Censo 2022. E o Censo 2022 redesenhou setores, o que limita comparação territorial direta com 2010.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Por que o lixo se comporta de forma estranha em toda a apresentação?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Porque a caçamba de serviço de limpeza é contada como destino inadequado, por fidelidade ao IVS-BH 2012. Há indício de que isso faz o indicador medir porte urbano: é a única variável em que estamos piores que o Brasil urbano. A decisão está registrada como em revisão.</w:t>
      </w:r>
    </w:p>
    <w:p>
      <w:pPr>
        <w:spacing w:before="0" w:after="40"/>
        <w:ind w:left="0"/>
      </w:pPr>
      <w:r>
        <w:rPr>
          <w:b/>
        </w:rPr>
        <w:t xml:space="preserve">P: </w:t>
      </w:r>
      <w:r>
        <w:rPr>
          <w:b w:val="0"/>
        </w:rPr>
        <w:t>Você usou inteligência artificial nisso?</w:t>
      </w:r>
    </w:p>
    <w:p>
      <w:pPr>
        <w:spacing w:before="0" w:after="200"/>
        <w:ind w:left="0"/>
      </w:pPr>
      <w:r>
        <w:rPr>
          <w:b/>
        </w:rPr>
        <w:t xml:space="preserve">R: </w:t>
      </w:r>
      <w:r>
        <w:rPr>
          <w:b w:val="0"/>
        </w:rPr>
        <w:t>Usei como ferramenta de trabalho, com verificação. Toda fórmula está em código versionado, toda tabela tem script que a gera, e o conjunto é coberto por 63 testes. Os erros que encontrei estão listados no slide 43, inclusive os meus.</w:t>
      </w:r>
    </w:p>
    <w:p>
      <w:pPr>
        <w:pStyle w:val="Heading1"/>
      </w:pPr>
      <w:r>
        <w:t>Anexo B — O que NÃO afirmar</w:t>
      </w:r>
    </w:p>
    <w:p>
      <w:pPr>
        <w:spacing w:before="0" w:after="200"/>
        <w:ind w:left="0"/>
      </w:pPr>
      <w:r>
        <w:rPr>
          <w:b w:val="0"/>
          <w:i/>
          <w:color w:val="56534C"/>
        </w:rPr>
        <w:t>Frases que a base não sustenta, e que é fácil deixar escapar.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"Os setores mais vulneráveis têm mais idosos analfabetos."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Falácia ecológica. Os dados são agregados por setor; não há informação sobre indivíduos.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"A favelização cresceu entre 2010 e 2022."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próprio IBGE restringe essa comparação. No estudo de área constante que eles fizeram, a população caiu 5,4%. O aumento no número de favelas vem em boa parte de melhoria no mapeamento.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analfabetismo na amostra é 3,64%."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Esse é o teto. Diga "entre 3,14% e 3,64%", ou diga "3,64% entre os setores com o dado".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"X% dos setores são favela e vivem pior."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A comparação é válida, mas as favelas pequenas não estão na base. Diga que a comparação é conservadora nos dois sentidos.</w:t>
      </w:r>
    </w:p>
    <w:p>
      <w:pPr>
        <w:spacing w:before="0" w:after="40"/>
        <w:ind w:left="0"/>
      </w:pPr>
      <w:r>
        <w:rPr>
          <w:b/>
        </w:rPr>
        <w:t xml:space="preserve">Não dizer: </w:t>
      </w:r>
      <w:r>
        <w:rPr>
          <w:b w:val="0"/>
        </w:rPr>
        <w:t>"O índice mostra que a região Norte é a mais vulnerável."</w:t>
      </w:r>
    </w:p>
    <w:p>
      <w:pPr>
        <w:spacing w:before="0" w:after="200"/>
        <w:ind w:left="0"/>
      </w:pPr>
      <w:r>
        <w:rPr>
          <w:b/>
        </w:rPr>
        <w:t xml:space="preserve">Dizer: </w:t>
      </w:r>
      <w:r>
        <w:rPr>
          <w:b w:val="0"/>
        </w:rPr>
        <w:t>O índice ainda não foi calculado. O que existe são as componentes, e o gradiente aparece em seis das sete.</w:t>
      </w:r>
    </w:p>
    <w:p>
      <w:pPr>
        <w:pStyle w:val="Heading1"/>
      </w:pPr>
      <w:r>
        <w:t>Anexo C — Onde está cada 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Slides</w:t>
            </w:r>
          </w:p>
        </w:tc>
        <w:tc>
          <w:tcPr>
            <w:tcW w:type="dxa" w:w="7483"/>
          </w:tcPr>
          <w:p>
            <w:r/>
            <w:r>
              <w:rPr>
                <w:b/>
                <w:sz w:val="19"/>
              </w:rPr>
              <w:t>Arquivo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10, 11, 14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banco_de_dados/eda/descritivas_globais.csv · descritivas_por_regiao.csv · outliers.csv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12, 13, 15, 18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banco_de_dados/eda/figuras/ — histogramas, boxplots_por_regiao, missing_por_municipio, matriz_correlacao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banco_de_dados/eda/auditoria_analfabetismo_v00900_bins.csv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21–27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banco_de_dados/eda/renda_*.csv — oito tabelas, geradas por scripts/auditoria_renda.py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29–31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habitacao_precaria_* · inadequacao_banheiro_* · resp_feminino_* · tipo_domicilio_* · morfologia_*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32, 33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banco_de_dados/eda/agua_canalizada_*.csv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34, 35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cobertura_*.csv · saneamento_categorias_por_regiao.csv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37, 38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favelas_fcu_*.csv · dados/FavelaseComunidadesUrbanas2022Setores_20250417.xlsx · docs/IBGE_Censo2022_Favelas_e_Comunidades_Urbanas.pdf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banco_de_dados/nacional/comparativo_brasil_vs_elsi.csv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41, 42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docs/Relatorio_EDA_Fase3_IVS_ELSI.md, seções 14, 14.1 e 14.2</w:t>
            </w:r>
          </w:p>
        </w:tc>
      </w:tr>
    </w:tbl>
    <w:p>
      <w:pPr>
        <w:spacing w:after="40"/>
      </w:pPr>
    </w:p>
    <w:p>
      <w:pPr>
        <w:spacing w:before="120" w:after="120"/>
        <w:ind w:left="0"/>
      </w:pPr>
      <w:r>
        <w:rPr>
          <w:b w:val="0"/>
          <w:i/>
          <w:color w:val="56534C"/>
        </w:rPr>
        <w:t>Todos os números desta apresentação são extraídos por scripts/eda_central_dados.py, que lê as tabelas acima e grava banco_de_dados/eda/dados_deck.json. O gerador do deck apenas formata.</w:t>
      </w:r>
    </w:p>
    <w:p>
      <w:pPr>
        <w:pStyle w:val="Heading1"/>
      </w:pPr>
      <w:r>
        <w:t xml:space="preserve">Anexo — A fonte do IBGE, transcrita, com orientação de uso</w:t>
      </w:r>
    </w:p>
    <w:p>
      <w:pPr>
        <w:spacing w:before="0" w:after="160"/>
        <w:ind w:left="0"/>
      </w:pPr>
      <w:r>
        <w:rPr/>
        <w:t xml:space="preserve">IBGE. Censo Demográfico 2022: Favelas e Comunidades Urbanas — Resultados do universo. Rio de Janeiro: IBGE, 2024. 171 p. O arquivo está em Projeto_IVS_Censo22/docs/IBGE_Censo2022_Favelas_e_Comunidades_Urbanas.pdf.</w:t>
      </w:r>
    </w:p>
    <w:p>
      <w:pPr>
        <w:spacing w:before="0" w:after="160"/>
        <w:ind w:left="0"/>
      </w:pPr>
      <w:r>
        <w:rPr/>
        <w:t xml:space="preserve">Estão transcritas aqui as passagens das páginas 46, 47, 73, 74 e 75 que sustentam alguma afirmação da apresentação. Cada uma vem seguida da orientação de quando e como usá-la. As transcrições são literais: se for citar no artigo, copie daqui.</w:t>
      </w:r>
    </w:p>
    <w:p>
      <w:pPr>
        <w:spacing w:before="0" w:after="160"/>
        <w:ind w:left="0"/>
      </w:pPr>
      <w:r>
        <w:rPr>
          <w:i/>
          <w:color w:val="8C2F27"/>
        </w:rPr>
        <w:t xml:space="preserve">Atenção à numeração das páginas. A página impressa no rodapé é a que se cita, e ela fica três à frente do número de página do leitor de PDF: impressa 46 = PDF 49. Todas as páginas indicadas abaixo são as impressas.</w:t>
      </w:r>
    </w:p>
    <w:p>
      <w:pPr>
        <w:pStyle w:val="Heading2"/>
      </w:pPr>
      <w:r>
        <w:t xml:space="preserve">Página 46 — a mudança de nomenclatura não mudou o conteúdo</w:t>
      </w:r>
    </w:p>
    <w:p>
      <w:pPr>
        <w:spacing w:before="0" w:after="160"/>
        <w:ind w:left="0"/>
      </w:pPr>
      <w:r>
        <w:rPr/>
        <w:t xml:space="preserve">Contexto: em 2024 o IBGE trocou "Aglomerados Subnormais" por "Favelas e Comunidades Urbanas" e reescreveu os critérios. Estas duas frases são a garantia de que a série não quebrou.</w:t>
      </w:r>
    </w:p>
    <w:p>
      <w:pPr>
        <w:pStyle w:val="Heading3"/>
      </w:pPr>
      <w:r>
        <w:t xml:space="preserve">Transcrição 1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"Cabe reforçar que a mudança de nomenclatura e redação dos critérios não afeta estruturalmente o mapeamento produzido para a pesquisa censitária de 2022, uma vez que não houve alterações efetivas, mas apenas uma mudança na redação dos elementos utilizados como referência."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sua defesa se perguntarem se a mudança de nome comprometeu a comparação com a literatura anterior, que fala em aglomerado subnormal. A resposta é que o IBGE afirma explicitamente que não houve alteração efetiva de critério. Use no slide 37 e na resposta à pergunta "mudou alguma coisa em relação ao Aglomerado Subnormal?". Não use para dizer que os NÚMEROS de 2010 e 2022 são comparáveis: isso é outra coisa, e a própria publicação diz que não são. Ver página 73.</w:t>
      </w:r>
    </w:p>
    <w:p>
      <w:pPr>
        <w:pStyle w:val="Heading3"/>
      </w:pPr>
      <w:r>
        <w:t xml:space="preserve">Transcrição 2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"Como dito, as mudanças dizem respeito à forma como o IBGE se refere a esses territórios e seus habitantes em seus materiais e em suas bases de divulgação, evitando estigmatizações e homogeneizações que possam afetá-los negativamente. O conteúdo essencial dos critérios utilizados para identificação e classificação dos então chamados Aglomerados Subnormais foi mantido."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segunda frase é a mais forte das duas e é a que vale citar no artigo, porque diz diretamente que o conteúdo do critério foi mantido. A primeira frase serve para explicar a MOTIVAÇÃO da mudança, que é evitar estigmatização. Se a conversa derivar para a escolha do termo "favela" no seu texto, é esta frase que justifica você seguir a nomenclatura oficial do IBGE em vez de inventar uma sua.</w:t>
      </w:r>
    </w:p>
    <w:p>
      <w:pPr>
        <w:pStyle w:val="Heading2"/>
      </w:pPr>
      <w:r>
        <w:t xml:space="preserve">Páginas 46 e 47 — a definição oficial</w:t>
      </w:r>
    </w:p>
    <w:p>
      <w:pPr>
        <w:spacing w:before="0" w:after="160"/>
        <w:ind w:left="0"/>
      </w:pPr>
      <w:r>
        <w:rPr/>
        <w:t xml:space="preserve">A definição vem entre aspas na publicação, em quatro parágrafos. Começa na página 46 e termina na 47. Transcrita na íntegra abaixo.</w:t>
      </w:r>
    </w:p>
    <w:p>
      <w:pPr>
        <w:pStyle w:val="Heading3"/>
      </w:pPr>
      <w:r>
        <w:t xml:space="preserve">Parágrafo 1 — a definição propriamente dita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"As Favelas e Comunidades Urbanas são territórios populares originados das diversas estratégias utilizadas pela população para atender, geralmente de forma autônoma e coletiva, às suas necessidades de moradia e usos associados (comércio, serviços, lazer, cultura, entre outros), diante da insuficiência e inadequação das políticas públicas e investimentos privados dirigidos à garantia do direito à cidade."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esta que você cita se pedirem a definição. Decore a espinha dela, não a frase inteira: território popular, originado de estratégia autônoma e coletiva da população, diante da insuficiência de política pública e investimento privado. Repare que a definição é sobre ORIGEM e PROCESSO, não sobre carência material — isso importa, porque a carência aparece só nos critérios operacionais da página 47. Se alguém disser que favela "é onde falta saneamento", esta frase mostra que a definição oficial é outra.</w:t>
      </w:r>
    </w:p>
    <w:p>
      <w:pPr>
        <w:pStyle w:val="Heading3"/>
      </w:pPr>
      <w:r>
        <w:t xml:space="preserve">Parágrafo 2 — identidade comunitária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"Em muitos casos, devido à sua origem compartilhada, relações de vizinhança, engajamento comunitário e intenso uso de espaços comuns, constituem identidade e representação comunitária."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Não use na apresentação. Está aqui para você saber que existe, porque é o parágrafo que justifica a palavra "Comunidades" no nome novo. Serve se a conversa for sobre nomenclatura, não sobre o índice.</w:t>
      </w:r>
    </w:p>
    <w:p>
      <w:pPr>
        <w:pStyle w:val="Heading3"/>
      </w:pPr>
      <w:r>
        <w:t xml:space="preserve">Parágrafo 3 — os muitos nomes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"No Brasil, esses espaços se manifestam em diferentes formas e nomenclaturas, como favelas, ocupações, comunidades, quebradas, grotas, baixadas, alagados, vilas, ressacas, mocambos, palafitas, loteamentos informais, vilas de malocas, entre outros, expressando diferenças geográficas, históricas e culturais na sua formação."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parágrafo que responde à demanda de julho, que foi formulada como "vilas e favelas". Ele mostra que vila e favela são dois dos muitos nomes de uma mesma categoria oficial, e que a sua marcação CD_TIPO = 1 cobre as duas. Se a orientadora perguntar por que você não separou vila de favela, a resposta é que o Censo não separa: são a mesma categoria.</w:t>
      </w:r>
    </w:p>
    <w:p>
      <w:pPr>
        <w:pStyle w:val="Heading3"/>
      </w:pPr>
      <w:r>
        <w:t xml:space="preserve">Parágrafo 4 — vulnerabilidade e insegurança da posse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"Favelas e Comunidades Urbanas expressam a desigualdade socioespacial da urbanização brasileira. Retratam a incompletude - no limite, a precariedade - das políticas governamentais e investimentos privados de dotação de infraestrutura urbana, serviços públicos, equipamentos coletivos e proteção ambiental aos sítios onde se localizam, reproduzindo condições de vulnerabilidade. Estas se tornam agravadas com a insegurança jurídica da posse, que também compromete a garantia do direito à moradia e a proteção legal contra despejos forçados e remoções."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parágrafo mais útil para o SEU argumento, e é o menos óbvio. A palavra "vulnerabilidade" aparece na definição oficial de favela do IBGE, ligada a infraestrutura urbana e serviços públicos — que é exatamente o que o seu índice mede. Use para justificar por que faz sentido comparar favela e resto da cidade usando o IVS: não é comparação arbitrária, é a própria definição da categoria que aponta para essas dimensões. Mas veja a ressalva na seção seguinte: é isso mesmo que torna a comparação parcialmente circular.</w:t>
      </w:r>
    </w:p>
    <w:p>
      <w:pPr>
        <w:pStyle w:val="Heading2"/>
      </w:pPr>
      <w:r>
        <w:t xml:space="preserve">Página 47 — os quatro critérios de identificação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"Para identificação das Favelas e Comunidades Urbanas o IBGE utiliza os seguintes critérios:"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"i. Predominância de domicílios com graus diferenciados de insegurança jurídica da posse; e, pelo menos, um dos demais critérios abaixo:"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"ii. Ausência ou oferta incompleta e/ou precária de serviços públicos (iluminação elétrica pública e domiciliar, abastecimento de água, esgotamento sanitário, sistemas de drenagem e coleta de lixo regular) por parte das instituições competentes; e/ou"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"iii. Predomínio de edificações, arruamento e infraestrutura que usualmente são autoproduzidos e/ou se orientam por parâmetros urbanísticos e construtivos distintos dos definidos pelos órgãos públicos; e/ou"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"iv. Localização em áreas com restrição à ocupação definidas pela legislação ambiental ou urbanística, tais como faixas de domínio de rodovias e ferrovias, linhas de transmissão de energia e áreas protegidas, entre outras; ou em sítios urbanos caracterizados como áreas de risco ambiental (geológico, geomorfológico, climático, hidrológico e de contaminação)." (IBGE, 2024)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estrutura lógica é o que você precisa saber de cor: o critério i é OBRIGATÓRIO, e basta UM dos outros três. Ou seja, insegurança jurídica da posse mais qualquer uma das três carências. É a pergunta mais provável desta seção, e errar a estrutura lógica é pior do que não saber o texto.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A ressalva metodológica que você deve levantar antes que perguntem: os critérios ii e iv são saneamento e risco ambiental, e o critério ii lista exatamente água, esgoto e lixo, que são três das sete componentes do seu índice. Isso significa que a sua comparação favela versus resto da cidade NÃO é validação externa independente — há sobreposição por construção entre o que define a categoria e o que o índice mede. Chame de checagem de coerência, não de validação. Levantar isso você mesmo vira maturidade metodológica; ser pego nisso é constrangedor.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Repare também no que o critério i implica: a insegurança da posse é obrigatória e o seu índice não a mede, porque o Censo não publica posse por setor. Então há uma dimensão da definição oficial que o IVS não captura. Vale uma frase nas limitações.</w:t>
      </w:r>
    </w:p>
    <w:p>
      <w:pPr>
        <w:pStyle w:val="Heading2"/>
      </w:pPr>
      <w:r>
        <w:t xml:space="preserve">Página 73 — a comparabilidade com 2010</w:t>
      </w:r>
    </w:p>
    <w:p>
      <w:pPr>
        <w:spacing w:before="0" w:after="160"/>
        <w:ind w:left="0"/>
      </w:pPr>
      <w:r>
        <w:rPr/>
        <w:t xml:space="preserve">Estas passagens abrem a seção "Considerações sobre a comparabilidade entre o Censo Demográfico 2010 e o Censo Demográfico 2022".</w:t>
      </w:r>
    </w:p>
    <w:p>
      <w:pPr>
        <w:pStyle w:val="Heading3"/>
      </w:pPr>
      <w:r>
        <w:t xml:space="preserve">Transcrição 1 — a restrição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"Conforme mencionado na Introdução, as inovações gerenciais, metodológicas e tecnológicas entre os Censos Demográficos 2010 e 2022 implicam em restrições quanto à comparabilidade direta entre as informações coletadas nas Favelas e Comunidades Urbanas nos dois períodos."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Use se alguém pedir uma comparação com 2010, em qualquer contexto. A restrição é do próprio IBGE, então você não está sendo conservador por conta própria: está seguindo a orientação da fonte.</w:t>
      </w:r>
    </w:p>
    <w:p>
      <w:pPr>
        <w:pStyle w:val="Heading3"/>
      </w:pPr>
      <w:r>
        <w:t xml:space="preserve">Transcrição 2 — os números dos dois censos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"Em 2010, foram identificadas 6 329 Favelas e Comunidades Urbanas, onde residiam 11 425 644 pessoas. Já em 2022, o mapeamento resultou em 12 348 Favelas e Comunidades Urbanas, onde viviam 16 390 815 pessoas."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Só cite estes números junto com a transcrição 3, nunca sozinhos. Sozinhos eles sugerem que a favelização dobrou, que é precisamente a leitura errada. Se precisar de um número isolado, use o de 2022.</w:t>
      </w:r>
    </w:p>
    <w:p>
      <w:pPr>
        <w:pStyle w:val="Heading3"/>
      </w:pPr>
      <w:r>
        <w:t xml:space="preserve">Transcrição 3 — por que o aumento não é crescimento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aumento no número de Favelas e Comunidades Urbanas em 2022 e, consequentemente, de população residente nessas áreas, não se deve apenas ao surgimento de novas Favelas e Comunidades Urbanas no País, no período intercensitário. Os aprimoramentos operacionais, como os treinamentos mais específicos sobre a abordagem em Favelas e Comunidades Urbanas e o acompanhamento da coleta por meio dos dados georreferenciados referentes aos pontos de energia elétrica fornecidos pela ANEEL, por exemplo, somados ao engajamento das equipes locais com o tema e às inovações tecnológicas que resultaram na melhoria das imagens orbitais, são fatores que ajudam a explicar as diferenças observadas entre os anos de 2010 e 2022."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passagem que sustenta a sua decisão de não afirmar nada sobre crescimento da favelização no artigo. O detalhe dos pontos da ANEEL é bom de mencionar em voz alta porque mostra leitura de verdade: o IBGE passou a cruzar coordenadas de ligações elétricas para achar domicílio que a coleta tinha perdido. Boa parte do "aumento" é isso, não gente nova.</w:t>
      </w:r>
    </w:p>
    <w:p>
      <w:pPr>
        <w:pStyle w:val="Heading2"/>
      </w:pPr>
      <w:r>
        <w:t xml:space="preserve">Página 74 — o estudo de área constante</w:t>
      </w:r>
    </w:p>
    <w:p>
      <w:pPr>
        <w:spacing w:before="0" w:after="160"/>
        <w:ind w:left="0"/>
      </w:pPr>
      <w:r>
        <w:rPr/>
        <w:t xml:space="preserve">Para dar algum resultado comparável, o IBGE isolou os setores de 2010 cuja área inteira virou setor de FCU em 2022, e comparou só esses.</w:t>
      </w:r>
    </w:p>
    <w:p>
      <w:pPr>
        <w:pStyle w:val="Heading3"/>
      </w:pPr>
      <w:r>
        <w:t xml:space="preserve">Transcrição — o resultado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conjunto de setores analisados corresponde a 77,9% dos setores de Favelas e Comunidades Urbanas de 2010, equivalentes a 46,5% dos setores de Favelas e Comunidades Urbanas de 2022. A análise comparativa mostrou que a população residente na área de estudo em 2010 era 8 793 856, que correspondia a 77,0% da população em Favelas e Comunidades Urbanas daquele ano. Em 2022, a população residente na mesma área investigada era 8 315 088, equivalente a 50,7% da população residente em Favelas e Comunidades Urbanas no mesmo ano. Esse resultado, que não representa a totalidade das áreas de Favelas e Comunidades Urbanas em 2010 e 2022, mostra uma redução de 5,4% no número de moradores em Favelas e Comunidades Urbanas que viviam na área delimitada pelo estudo."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Este é o argumento decisivo, e é contraintuitivo: mantida a área constante, a população em favela CAIU 5,4%. Guarde os dois números de cobertura, 77,9% e 46,5%, porque eles são a ressalva: o estudo cobre menos da metade dos setores de 2022, então também não autoriza dizer que a favelização diminuiu. A conclusão correta é que a comparação entre censos não sustenta afirmação em nenhuma das duas direções.</w:t>
      </w:r>
    </w:p>
    <w:p>
      <w:pPr>
        <w:pStyle w:val="Heading3"/>
      </w:pPr>
      <w:r>
        <w:t xml:space="preserve">Transcrição — o que ainda falta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"Um entendimento completo da variação da população em áreas de Favelas e Comunidades Urbanas entre 2010 e 2022 requer um estudo aprofundado que identifique as áreas classificadas como Favela e Comunidade Urbana em 2022 que já possuíam características que se enquadravam no conceito em 2010, denominado Aglomerado Subnormal, mas que não foram classificadas dessa maneira."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Guarde para a pergunta "isso não daria um estudo?". O próprio IBGE aponta a lacuna e diz que a continuidade depende de recurso. Serve como sugestão de trabalho futuro no artigo, e mostra que você leu além do dado.</w:t>
      </w:r>
    </w:p>
    <w:p>
      <w:pPr>
        <w:pStyle w:val="Heading2"/>
      </w:pPr>
      <w:r>
        <w:t xml:space="preserve">Página 75 — o total, e a nota 7</w:t>
      </w:r>
    </w:p>
    <w:p>
      <w:pPr>
        <w:pStyle w:val="Heading3"/>
      </w:pPr>
      <w:r>
        <w:t xml:space="preserve">Transcrição — o total oficial, no corpo do texto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"O mapeamento das Favelas e Comunidades Urbanas procedente do Censo Demográfico 2022 resultou na identificação de 12 348 áreas presentes em 656 Municípios brasileiros."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o denominador da sua tabela de representatividade no slide 37. Os seus 5.899 saem de 47,8% deste 12.348, e os 42 municípios saem de 6,4% destes 656.</w:t>
      </w:r>
    </w:p>
    <w:p>
      <w:pPr>
        <w:pStyle w:val="Heading3"/>
      </w:pPr>
      <w:r>
        <w:t xml:space="preserve">Transcrição — a nota de rodapé 7, a limitação que mais te afeta</w:t>
      </w:r>
    </w:p>
    <w:p>
      <w:pPr>
        <w:spacing w:before="0" w:after="100"/>
        <w:ind w:left="454"/>
      </w:pPr>
      <w:r>
        <w:rPr>
          <w:i/>
          <w:color w:val="3D4A48"/>
          <w:sz w:val="19"/>
        </w:rPr>
        <w:t xml:space="preserve">"Como visto, além das 12 348 Favelas e Comunidades Urbanas classificadas em 656 Municípios, para as quais serão fornecidas informações resultantes da coleta do Censo Demográfico 2022, o IBGE identificou 2 298 Favelas e Comunidades Urbanas cujos quantitativos de domicílios, estimados previamente à coleta, variaram entre 21 e 50. Para essas áreas não serão disponibilizadas informações específicas, uma vez que elas não puderam ser definidas em setores censitários específicos de Favelas e Comunidades Urbanas. Esses critérios e procedimentos metodológicos estão descritos na seção Cartografia censitária para Favelas e Comunidades Urbanas."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É a citação mais importante do anexo para o seu trabalho, e é a que sustenta o cartão de limitação do slide 37. O raciocínio a dizer em voz alta: como o critério da base é o setor censitário, e essas 2.298 favelas não têm setor próprio, os moradores delas caem em setores comuns. Logo a comparação favela versus cidade erra nos dois sentidos ao mesmo tempo — subestima a população favelada e contamina o grupo de comparação com ela. Diga "nos dois sentidos", porque é o que mostra que você entendeu a consequência e não só copiou a limitação.</w:t>
      </w:r>
    </w:p>
    <w:p>
      <w:pPr>
        <w:spacing w:before="40" w:after="200"/>
        <w:ind w:left="454"/>
      </w:pPr>
      <w:r>
        <w:rPr>
          <w:b/>
        </w:rPr>
        <w:t xml:space="preserve">Como usar. </w:t>
      </w:r>
      <w:r>
        <w:rPr>
          <w:b w:val="0"/>
        </w:rPr>
        <w:t xml:space="preserve">Cite como "nota 7, p. 75". A mesma informação aparece antes, na nota 3 da página 7, dentro da Apresentação. Se ela abrir o PDF pela introdução e vir a nota 3, as duas estão certas: é o mesmo texto repetido.</w:t>
      </w:r>
    </w:p>
    <w:p>
      <w:pPr>
        <w:pStyle w:val="Heading2"/>
      </w:pPr>
      <w:r>
        <w:t xml:space="preserve">O que existe nessas páginas e não foi transcrito</w:t>
      </w:r>
    </w:p>
    <w:p>
      <w:pPr>
        <w:spacing w:before="0" w:after="160"/>
        <w:ind w:left="0"/>
      </w:pPr>
      <w:r>
        <w:rPr/>
        <w:t xml:space="preserve">Para você não ser pego de surpresa se ela olhar o PDF junto com você:</w:t>
      </w:r>
    </w:p>
    <w:p>
      <w:pPr>
        <w:spacing w:before="0" w:after="160"/>
        <w:ind w:left="0"/>
      </w:pPr>
      <w:r>
        <w:rPr/>
        <w:t xml:space="preserve">Na página 47, depois dos critérios, começa a seção "Procedimentos e inovações para a realização do Censo Demográfico 2022 em Favelas e Comunidades Urbanas", que trata dos processos de consulta à sociedade. Não toca no seu recorte.</w:t>
      </w:r>
    </w:p>
    <w:p>
      <w:pPr>
        <w:spacing w:before="0" w:after="160"/>
        <w:ind w:left="0"/>
      </w:pPr>
      <w:r>
        <w:rPr/>
        <w:t xml:space="preserve">No topo da página 73, antes da seção de comparabilidade, há um trecho sobre o Help Desk montado pelo IBGE para a rede de coleta. É operacional.</w:t>
      </w:r>
    </w:p>
    <w:p>
      <w:pPr>
        <w:spacing w:before="0" w:after="160"/>
        <w:ind w:left="0"/>
      </w:pPr>
      <w:r>
        <w:rPr/>
        <w:t xml:space="preserve">Na página 74, antes do resultado transcrito, há três marcadores descrevendo quais tipos de setor de 2010 foram considerados equivalentes aos de 2022: os que foram divididos, os que foram agregados e os que mantiveram a geometria. É o detalhe metodológico do estudo de área constante. Se perguntarem como o IBGE definiu "mesma área", é esta a resposta.</w:t>
      </w:r>
    </w:p>
    <w:p>
      <w:pPr>
        <w:spacing w:before="0" w:after="160"/>
        <w:ind w:left="0"/>
      </w:pPr>
      <w:r>
        <w:rPr/>
        <w:t xml:space="preserve">Na página 75, depois da nota 7, começa a análise de resultados, com os cartogramas de Cariacica (ES) e Campina Grande (PB) como exemplos de favelas grandes e contíguas contra muitas favelas pequenas dispersas. Há também a nota 8, que apenas remete de volta à seção de comparabilidade.</w:t>
      </w:r>
    </w:p>
    <w:p>
      <w:pPr>
        <w:spacing w:before="0" w:after="160"/>
        <w:ind w:left="0"/>
      </w:pPr>
      <w:r>
        <w:rPr>
          <w:i/>
          <w:color w:val="8C2F27"/>
        </w:rPr>
        <w:t xml:space="preserve">Se ela perguntar sobre qualquer uma dessas partes, a resposta honesta é que você não entrou nelas porque não tocavam no recorte do trabalho. É melhor do que improvisar.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56534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 w:eastAsia="Cambria"/>
      <w:color w:val="1A1A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mbria" w:hAnsi="Cambria"/>
      <w:b/>
      <w:bCs/>
      <w:color w:val="1A1A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A1A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mbria" w:hAnsi="Cambria"/>
      <w:b/>
      <w:bCs/>
      <w:color w:val="8C2F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