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t>Análise fatorial e o IVS do Censo 2022</w:t>
      </w:r>
    </w:p>
    <w:p>
      <w:pPr>
        <w:pStyle w:val="Heading2"/>
        <w:spacing w:before="280"/>
      </w:pPr>
      <w:r>
        <w:t>O artigo de Figueiredo Filho &amp; Silva Júnior (2010) lido a partir do projeto — e testado nos dados dele</w:t>
      </w:r>
    </w:p>
    <w:p>
      <w:pPr>
        <w:jc w:val="both"/>
      </w:pPr>
      <w:r>
        <w:rPr>
          <w:b/>
        </w:rPr>
        <w:t>Projeto:</w:t>
      </w:r>
      <w:r>
        <w:t xml:space="preserve"> Índice de Vulnerabilidade à Saúde (IVS) intraurbano — Censo Demográfico 2022 / ELSI-Brasil</w:t>
      </w:r>
    </w:p>
    <w:p>
      <w:pPr>
        <w:jc w:val="both"/>
      </w:pPr>
      <w:r>
        <w:rPr>
          <w:b/>
        </w:rPr>
        <w:t>Instituição:</w:t>
      </w:r>
      <w:r>
        <w:t xml:space="preserve"> Fiocruz Minas — Instituto René Rachou (IRR) · Iniciação Científica</w:t>
      </w:r>
    </w:p>
    <w:p>
      <w:pPr>
        <w:jc w:val="both"/>
      </w:pPr>
      <w:r>
        <w:rPr>
          <w:b/>
        </w:rPr>
        <w:t>Pesquisador:</w:t>
      </w:r>
      <w:r>
        <w:t xml:space="preserve"> Pedro Dias Soares</w:t>
      </w:r>
    </w:p>
    <w:p>
      <w:pPr>
        <w:jc w:val="both"/>
      </w:pPr>
      <w:r>
        <w:rPr>
          <w:b/>
        </w:rPr>
        <w:t>Data:</w:t>
      </w:r>
      <w:r>
        <w:t xml:space="preserve"> 24 de agosto de 2026</w:t>
      </w:r>
    </w:p>
    <w:p>
      <w:pPr>
        <w:jc w:val="both"/>
      </w:pPr>
      <w:r>
        <w:rPr>
          <w:b/>
        </w:rPr>
        <w:t>Artigo analisado:</w:t>
      </w:r>
      <w:r>
        <w:t xml:space="preserve"> FIGUEIREDO FILHO, Dalson Britto; SILVA JÚNIOR, José Alexandre da. </w:t>
      </w:r>
      <w:r>
        <w:rPr>
          <w:i/>
        </w:rPr>
        <w:t>Visão além do alcance: uma introdução à análise fatorial.</w:t>
      </w:r>
      <w:r>
        <w:t xml:space="preserve"> Opinião Pública, Campinas, v. 16, n. 1, p. 160–185, jun. 2010.</w:t>
      </w:r>
    </w:p>
    <w:p>
      <w:pPr>
        <w:spacing w:after="40"/>
      </w:pPr>
    </w:p>
    <w:p>
      <w:pPr>
        <w:pStyle w:val="Heading2"/>
        <w:spacing w:before="280"/>
      </w:pPr>
      <w:r>
        <w:t>Sumário executivo</w:t>
      </w:r>
    </w:p>
    <w:p>
      <w:pPr>
        <w:jc w:val="both"/>
      </w:pPr>
      <w:r>
        <w:t xml:space="preserve">Este documento faz três coisas: sintetiza o artigo, mostra ponto a ponto onde ele encosta no projeto e — em vez de parar na correspondência conceitual — </w:t>
      </w:r>
      <w:r>
        <w:rPr>
          <w:b/>
        </w:rPr>
        <w:t>roda os testes que o artigo prescreve sobre os dados reais do projeto</w:t>
      </w:r>
      <w:r>
        <w:t xml:space="preserve">, nos 104.108 setores censitários do recorte de análise. Os testes estão em </w:t>
      </w:r>
      <w:r>
        <w:rPr>
          <w:rFonts w:ascii="Consolas" w:hAnsi="Consolas"/>
          <w:sz w:val="19"/>
        </w:rPr>
        <w:t>scripts/diagnostico_fatorial.py</w:t>
      </w:r>
      <w:r>
        <w:t xml:space="preserve"> e as tabelas em </w:t>
      </w:r>
      <w:r>
        <w:rPr>
          <w:rFonts w:ascii="Consolas" w:hAnsi="Consolas"/>
          <w:sz w:val="19"/>
        </w:rPr>
        <w:t>banco_de_dados/eda/fatorial/</w:t>
      </w:r>
      <w:r>
        <w:t>.</w:t>
      </w:r>
    </w:p>
    <w:p>
      <w:pPr>
        <w:jc w:val="both"/>
      </w:pPr>
      <w:r>
        <w:t>O que saiu disso:</w:t>
      </w:r>
    </w:p>
    <w:p>
      <w:pPr>
        <w:pStyle w:val="ListNumber"/>
      </w:pPr>
      <w:r>
        <w:rPr>
          <w:b/>
        </w:rPr>
        <w:t>O artigo é o manual da única etapa central que ainda falta.</w:t>
      </w:r>
      <w:r>
        <w:t xml:space="preserve"> O </w:t>
      </w:r>
      <w:r>
        <w:rPr>
          <w:rFonts w:ascii="Consolas" w:hAnsi="Consolas"/>
          <w:sz w:val="19"/>
        </w:rPr>
        <w:t>GUIA_DO_PROJETO.md</w:t>
      </w:r>
      <w:r>
        <w:t xml:space="preserve"> (§8) lista "Análise fatorial / pesos / cálculo do IVS final" como pendente, e o relatório da EDA (§15) prevê um Notebook 04 com "KMO, Bartlett, número de fatores, cargas e pesos" — que é literalmente a sequência das Tabelas 1 a 3 do artigo.</w:t>
      </w:r>
    </w:p>
    <w:p>
      <w:pPr>
        <w:pStyle w:val="ListNumber"/>
      </w:pPr>
      <w:r>
        <w:rPr>
          <w:b/>
        </w:rPr>
        <w:t>A base é adequada à análise fatorial, pelos critérios do próprio artigo.</w:t>
      </w:r>
      <w:r>
        <w:t xml:space="preserve"> Com os 7 componentes do IVS e correlação de Spearman: KMO = 0,783 (faixa "mediano" de Friel, bem acima do piso de 0,50 de Hair), BTS = 235.084 com 21 g.l. e p &lt; 0,001, 57,1% dos coeficientes com |r| ≥ 0,30, e razão de 12.506 casos por variável — contra o mínimo de 5 para 1 recomendado.</w:t>
      </w:r>
    </w:p>
    <w:p>
      <w:pPr>
        <w:pStyle w:val="ListNumber"/>
      </w:pPr>
      <w:r>
        <w:rPr>
          <w:b/>
        </w:rPr>
        <w:t>O indicador de lixo não pertence ao índice, e agora isso está medido.</w:t>
      </w:r>
      <w:r>
        <w:t xml:space="preserve"> Ele não aparece com comunalidade baixa: ele </w:t>
      </w:r>
      <w:r>
        <w:rPr>
          <w:b/>
        </w:rPr>
        <w:t>forma um fator só dele</w:t>
      </w:r>
      <w:r>
        <w:t xml:space="preserve"> (carga 0,919 no segundo componente rotacionado, comunalidade 0,859, correlações de 0,10 a 0,20 com todo o resto). É o retrato exato da variável que o artigo manda considerar excluir por ser "estatisticamente independente das demais". Isso converte a ressalva empírica da §6.2.10 do Guia em evidência.</w:t>
      </w:r>
    </w:p>
    <w:p>
      <w:pPr>
        <w:pStyle w:val="ListNumber"/>
      </w:pPr>
      <w:r>
        <w:rPr>
          <w:b/>
        </w:rPr>
        <w:t>A regra mecânica de comunalidade do artigo teria excluído a variável errada.</w:t>
      </w:r>
      <w:r>
        <w:t xml:space="preserve"> Na solução com as 7 variáveis, quem fica abaixo de 0,50 é a </w:t>
      </w:r>
      <w:r>
        <w:rPr>
          <w:b/>
        </w:rPr>
        <w:t>água</w:t>
      </w:r>
      <w:r>
        <w:t xml:space="preserve"> (0,253) — e o artigo diz para excluir e re-rodar. Mas a comunalidade da água é baixa </w:t>
      </w:r>
      <w:r>
        <w:rPr>
          <w:i/>
        </w:rPr>
        <w:t>porque o lixo sequestrou o segundo fator</w:t>
      </w:r>
      <w:r>
        <w:t>: retirado o lixo, a água sobe para 0,822. Seguir a regra sem olhar a estrutura teria custado ao índice um componente central de saneamento.</w:t>
      </w:r>
    </w:p>
    <w:p>
      <w:pPr>
        <w:pStyle w:val="ListNumber"/>
      </w:pPr>
      <w:r>
        <w:rPr>
          <w:b/>
        </w:rPr>
        <w:t>Os pesos empíricos convergem com os da literatura.</w:t>
      </w:r>
      <w:r>
        <w:t xml:space="preserve"> Sem o lixo, os dois fatores rotacionados distribuem 65% do peso para a dimensão socioeconômica e 35% para saneamento — perto da referência do IVS-BH 2012 (60/40) que o projeto já adota. A decisão em aberto nº 1 da §6.3 do Guia deixa de ser um dilema e vira uma convergência a ser reportada.</w:t>
      </w:r>
    </w:p>
    <w:p>
      <w:pPr>
        <w:pStyle w:val="ListNumber"/>
      </w:pPr>
      <w:r>
        <w:rPr>
          <w:b/>
        </w:rPr>
        <w:t>A ordem entre normalizar e fatorar não é indiferente — e isso é uma decisão nova.</w:t>
      </w:r>
      <w:r>
        <w:t xml:space="preserve"> A padronização min-max </w:t>
      </w:r>
      <w:r>
        <w:rPr>
          <w:b/>
        </w:rPr>
        <w:t>por município</w:t>
      </w:r>
      <w:r>
        <w:t xml:space="preserve"> prevista para o Notebook 03 é uma transformação afim com escala diferente por grupo: ela muda a matriz de correlação e, com ela, todo o resultado. Nos mesmos setores, o KMO cai de 0,783 para 0,720, o critério de Kaiser passa a apontar 3 fatores em vez de 2, e a repartição dos pesos entre as duas dimensões vai de 65/35 para 56/44. Rodar a fatorial antes ou depois do NB03 dá índices diferentes.</w:t>
      </w:r>
    </w:p>
    <w:p>
      <w:pPr>
        <w:pStyle w:val="ListNumber"/>
      </w:pPr>
      <w:r>
        <w:rPr>
          <w:b/>
        </w:rPr>
        <w:t>Há três pontos em que o artigo não alcança o problema deste projeto</w:t>
      </w:r>
      <w:r>
        <w:t>, e é preciso dizê-los na dissertação metodológica: o Bartlett é vazio com dezenas de milhares de casos, a ACP sobre matriz de Spearman é uma ACP de postos e precisa ser declarada como tal, e o artigo trata de mensurar um construto — não de compor um índice ponderado, que é o passo seguinte e pede outra literatura.</w:t>
      </w:r>
    </w:p>
    <w:p>
      <w:pPr>
        <w:spacing w:after="40"/>
      </w:pPr>
    </w:p>
    <w:p>
      <w:pPr>
        <w:pStyle w:val="Heading2"/>
        <w:spacing w:before="280"/>
      </w:pPr>
      <w:r>
        <w:t>1. O artigo em síntese</w:t>
      </w:r>
    </w:p>
    <w:p>
      <w:pPr>
        <w:pStyle w:val="Heading3"/>
        <w:spacing w:before="200"/>
      </w:pPr>
      <w:r>
        <w:t>1.1 O problema que ele ataca</w:t>
      </w:r>
    </w:p>
    <w:p>
      <w:pPr>
        <w:jc w:val="both"/>
      </w:pPr>
      <w:r>
        <w:t xml:space="preserve">O artigo parte de um problema de mensuração: como medir o que não se observa diretamente. Os autores enunciam duas saídas. A primeira é eleger um </w:t>
      </w:r>
      <w:r>
        <w:rPr>
          <w:b/>
        </w:rPr>
        <w:t>proxy</w:t>
      </w:r>
      <w:r>
        <w:t xml:space="preserve"> — e o exemplo que eles dão, logo na introdução, é justamente medir </w:t>
      </w:r>
      <w:r>
        <w:rPr>
          <w:b/>
        </w:rPr>
        <w:t>vulnerabilidade social</w:t>
      </w:r>
      <w:r>
        <w:t xml:space="preserve"> por uma linha de pobreza. Simples, e arriscado: nem sempre existe proxy adequado. A segunda é identificar variáveis que "caminham juntas" e reduzi-las a poucas dimensões latentes por </w:t>
      </w:r>
      <w:r>
        <w:rPr>
          <w:b/>
        </w:rPr>
        <w:t>análise fatorial</w:t>
      </w:r>
      <w:r>
        <w:t>. Mais informativa, e mais exigente tecnicamente.</w:t>
      </w:r>
    </w:p>
    <w:p>
      <w:pPr>
        <w:jc w:val="both"/>
      </w:pPr>
      <w:r>
        <w:t>O projeto está inteiramente do lado da segunda saída: sete variáveis do Censo que se supõe manifestarem um construto único — vulnerabilidade à saúde do território.</w:t>
      </w:r>
    </w:p>
    <w:p>
      <w:pPr>
        <w:pStyle w:val="Heading3"/>
        <w:spacing w:before="200"/>
      </w:pPr>
      <w:r>
        <w:t>1.2 Duas distinções que o artigo faz e que importam aqui</w:t>
      </w:r>
    </w:p>
    <w:p>
      <w:pPr>
        <w:jc w:val="both"/>
      </w:pPr>
      <w:r>
        <w:rPr>
          <w:b/>
        </w:rPr>
        <w:t>Exploratória (AFE) × confirmatória (AFC).</w:t>
      </w:r>
      <w:r>
        <w:t xml:space="preserve"> A AFE explora o padrão de correlação sem hipótese prévia sobre a estrutura; a AFC testa em que medida certas variáveis representam dimensões definidas </w:t>
      </w:r>
      <w:r>
        <w:rPr>
          <w:i/>
        </w:rPr>
        <w:t>a priori</w:t>
      </w:r>
      <w:r>
        <w:t xml:space="preserve"> pela teoria. O artigo se declara confirmatório: fixa duas dimensões vindas de Dahl (1971) e verifica se os indicadores se organizam nelas.</w:t>
      </w:r>
    </w:p>
    <w:p>
      <w:pPr>
        <w:jc w:val="both"/>
      </w:pPr>
      <w:r>
        <w:rPr>
          <w:b/>
        </w:rPr>
        <w:t>ACP × AF propriamente dita.</w:t>
      </w:r>
      <w:r>
        <w:t xml:space="preserve"> Ambas produzem combinações lineares que maximizam variância captada, mas a ACP usa </w:t>
      </w:r>
      <w:r>
        <w:rPr>
          <w:b/>
        </w:rPr>
        <w:t>toda</w:t>
      </w:r>
      <w:r>
        <w:t xml:space="preserve"> a variância e a AF apenas a </w:t>
      </w:r>
      <w:r>
        <w:rPr>
          <w:b/>
        </w:rPr>
        <w:t>compartilhada</w:t>
      </w:r>
      <w:r>
        <w:t>. A citação que o artigo traz de Tabachnick e Fidell resume a escolha: análise fatorial para uma solução teórica não contaminada por erro; componentes principais para um resumo empírico do conjunto de dados. Hair et al. são citados para relativizar: com mais de 30 variáveis, ou comunalidades acima de 0,60 na maioria delas, as duas chegam praticamente ao mesmo lugar. O artigo usa ACP, por ser o método mais difundido.</w:t>
      </w:r>
    </w:p>
    <w:p>
      <w:pPr>
        <w:pStyle w:val="Heading3"/>
        <w:spacing w:before="200"/>
      </w:pPr>
      <w:r>
        <w:t>1.3 Os três estágios do planejamento</w:t>
      </w:r>
    </w:p>
    <w:p>
      <w:pPr>
        <w:jc w:val="both"/>
      </w:pPr>
      <w:r>
        <w:rPr>
          <w:b/>
        </w:rPr>
        <w:t>Estágio 1 — adequabilidade da base.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453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Patamar recomendado no artigo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Nível de mensuração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 xml:space="preserve">Variáveis contínuas ou discretas; categóricas só como </w:t>
            </w:r>
            <w:r>
              <w:rPr>
                <w:i/>
                <w:sz w:val="19"/>
              </w:rPr>
              <w:t>dummies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Tamanho da amostra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Mínimo 50, desejável 100 ou mais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Razão casos/variáveis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Igual ou superior a 5 para 1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Padrão de correlação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A maior parte dos coeficientes acima de 0,30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KMO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Piso de 0,50 (Hair et al.); 0,60 em Pallant. Escala de Friel: 0,90–1 excelente · 0,80–0,89 bom · 0,70–0,79 mediano · 0,60–0,69 medíocre · 0,50–0,59 ruim · abaixo de 0,50 inadequado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Bartlett Test of Sphericity (BTS)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Estatisticamente significante (p &lt; 0,05)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Estágio 2 — extração e número de fatores.</w:t>
      </w:r>
      <w:r>
        <w:t xml:space="preserve"> Escolher a técnica de extração e decidir quantos fatores reter, num </w:t>
      </w:r>
      <w:r>
        <w:rPr>
          <w:i/>
        </w:rPr>
        <w:t>trade-off</w:t>
      </w:r>
      <w:r>
        <w:t xml:space="preserve"> declarado entre parcimônia e variância explicada. Os critérios oferecidos: regra de Kaiser (autovalor &gt; 1, que funciona melhor entre 20 e 50 variáveis), </w:t>
      </w:r>
      <w:r>
        <w:rPr>
          <w:i/>
        </w:rPr>
        <w:t>scree test</w:t>
      </w:r>
      <w:r>
        <w:t xml:space="preserve"> de Cattell, variância acumulada com patamar de 60% em Hair et al., e — em perspectiva confirmatória — a </w:t>
      </w:r>
      <w:r>
        <w:rPr>
          <w:b/>
        </w:rPr>
        <w:t>razão teórica</w:t>
      </w:r>
      <w:r>
        <w:t>, que o artigo trata como critério legítimo ao lado dos estatísticos. Em nota de rodapé o artigo ainda registra a análise paralela de Horn (1965): reter apenas os autovalores maiores que os gerados por dados aleatórios de mesmo tamanho.</w:t>
      </w:r>
    </w:p>
    <w:p>
      <w:pPr>
        <w:jc w:val="both"/>
      </w:pPr>
      <w:r>
        <w:rPr>
          <w:b/>
        </w:rPr>
        <w:t>Estágio 3 — rotação.</w:t>
      </w:r>
      <w:r>
        <w:t xml:space="preserve"> Ortogonal (Varimax, Quartimax, Equamax), que supõe fatores independentes e é mais fácil de reportar; ou oblíqua (Oblimin, Promax), que permite fatores correlacionados e é mais difícil de interpretar. O artigo usa Varimax, por ser a mais comum.</w:t>
      </w:r>
    </w:p>
    <w:p>
      <w:pPr>
        <w:pStyle w:val="Heading3"/>
        <w:spacing w:before="200"/>
      </w:pPr>
      <w:r>
        <w:t>1.4 As estatísticas de leitura dos resultados</w:t>
      </w:r>
    </w:p>
    <w:p>
      <w:pPr>
        <w:jc w:val="both"/>
      </w:pPr>
      <w:r>
        <w:t>Depois de estimar, o artigo percorre — e é aqui que ele vira um checklist utilizável:</w:t>
      </w:r>
    </w:p>
    <w:p>
      <w:pPr>
        <w:pStyle w:val="ListBullet"/>
      </w:pPr>
      <w:r>
        <w:rPr>
          <w:b/>
        </w:rPr>
        <w:t>Comunalidade</w:t>
      </w:r>
      <w:r>
        <w:t xml:space="preserve">: proporção da variância de cada variável explicada pelos fatores retidos. Mínimo usual de 0,50; abaixo disso, "a variável deve ser excluída e a análise fatorial deve ser realizada novamente". O artigo trata a comunalidade como o </w:t>
      </w:r>
      <w:r>
        <w:rPr>
          <w:b/>
        </w:rPr>
        <w:t>teste final de inclusão</w:t>
      </w:r>
      <w:r>
        <w:t xml:space="preserve"> de uma variável.</w:t>
      </w:r>
    </w:p>
    <w:p>
      <w:pPr>
        <w:pStyle w:val="ListBullet"/>
      </w:pPr>
      <w:r>
        <w:rPr>
          <w:b/>
        </w:rPr>
        <w:t>Cargas fatoriais</w:t>
      </w:r>
      <w:r>
        <w:t>: limite de 0,40 para considerar que a variável contribui para o fator.</w:t>
      </w:r>
    </w:p>
    <w:p>
      <w:pPr>
        <w:pStyle w:val="ListBullet"/>
      </w:pPr>
      <w:r>
        <w:rPr>
          <w:b/>
        </w:rPr>
        <w:t>Estrutura simples</w:t>
      </w:r>
      <w:r>
        <w:t>: a mesma variável não deve carregar acima de 0,40 em dois fatores. No exemplo, duas variáveis violam isso, são excluídas, e o modelo é re-estimado — passando de 75,79% para 82,30% de variância acumulada com uma solução mais parcimoniosa.</w:t>
      </w:r>
    </w:p>
    <w:p>
      <w:pPr>
        <w:pStyle w:val="ListBullet"/>
      </w:pPr>
      <w:r>
        <w:rPr>
          <w:b/>
        </w:rPr>
        <w:t>Escores fatoriais</w:t>
      </w:r>
      <w:r>
        <w:t>: os fatores extraídos, padronizados (média zero, distância em desvios-padrão), viram os eixos de um plano em que os casos são classificados por quadrante.</w:t>
      </w:r>
    </w:p>
    <w:p>
      <w:pPr>
        <w:pStyle w:val="Heading3"/>
        <w:spacing w:before="200"/>
      </w:pPr>
      <w:r>
        <w:t>1.5 O exemplo e a conclusão</w:t>
      </w:r>
    </w:p>
    <w:p>
      <w:pPr>
        <w:jc w:val="both"/>
      </w:pPr>
      <w:r>
        <w:t>O exemplo aplica ACP com Varimax a 10 indicadores de democracia, 127 países em 1985, e recupera as duas dimensões da poliarquia de Dahl (1971): contestação e inclusividade. A conclusão é uma tese sobre erro de medida: variáveis mal medidas comprometem a validade das inferências.</w:t>
      </w:r>
    </w:p>
    <w:p>
      <w:pPr>
        <w:spacing w:after="40"/>
      </w:pPr>
    </w:p>
    <w:p>
      <w:pPr>
        <w:pStyle w:val="Heading2"/>
        <w:spacing w:before="280"/>
      </w:pPr>
      <w:r>
        <w:t>2. Por que este artigo importa para este projeto</w:t>
      </w:r>
    </w:p>
    <w:p>
      <w:pPr>
        <w:pStyle w:val="Heading3"/>
        <w:spacing w:before="200"/>
      </w:pPr>
      <w:r>
        <w:t>2.1 Ele é o manual da etapa que falta</w:t>
      </w:r>
    </w:p>
    <w:p>
      <w:pPr>
        <w:jc w:val="both"/>
      </w:pPr>
      <w:r>
        <w:t xml:space="preserve">O estado do projeto, pelo </w:t>
      </w:r>
      <w:r>
        <w:rPr>
          <w:rFonts w:ascii="Consolas" w:hAnsi="Consolas"/>
          <w:sz w:val="19"/>
        </w:rPr>
        <w:t>GUIA_DO_PROJETO.md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Etapa</w:t>
            </w:r>
          </w:p>
        </w:tc>
        <w:tc>
          <w:tcPr>
            <w:tcW w:type="dxa" w:w="453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Status registrado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Notebook 01 — extração e filtro ELSI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✅ concluída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Notebook 02 — EDA completa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✅ concluída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Linha de base nacional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✅ concluída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Normalização de renda por município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🔴 pendente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9"/>
              </w:rPr>
              <w:t>Análise fatorial / pesos / IVS final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pendente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Categorização em 4 faixas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🔴 pendente</w:t>
            </w:r>
          </w:p>
        </w:tc>
      </w:tr>
      <w:tr>
        <w:tc>
          <w:tcPr>
            <w:tcW w:type="dxa" w:w="4533"/>
          </w:tcPr>
          <w:p>
            <w:r>
              <w:rPr>
                <w:sz w:val="19"/>
              </w:rPr>
              <w:t>Mapas temáticos (QGIS)</w:t>
            </w:r>
          </w:p>
        </w:tc>
        <w:tc>
          <w:tcPr>
            <w:tcW w:type="dxa" w:w="4533"/>
          </w:tcPr>
          <w:p>
            <w:r>
              <w:rPr>
                <w:sz w:val="19"/>
              </w:rPr>
              <w:t>🔴 pendente</w:t>
            </w:r>
          </w:p>
        </w:tc>
      </w:tr>
    </w:tbl>
    <w:p>
      <w:pPr>
        <w:spacing w:after="40"/>
      </w:pPr>
    </w:p>
    <w:p>
      <w:pPr>
        <w:jc w:val="both"/>
      </w:pPr>
      <w:r>
        <w:t>O plano do relatório da EDA (§15) descreve o Notebook 04 como "Análise fatorial: KMO, Bartlett, número de fatores, cargas e pesos". É a Tabela 1 do artigo, item por item. O artigo não é uma referência tangencial: é o roteiro da etapa seguinte.</w:t>
      </w:r>
    </w:p>
    <w:p>
      <w:pPr>
        <w:pStyle w:val="Heading3"/>
        <w:spacing w:before="200"/>
      </w:pPr>
      <w:r>
        <w:t>2.2 A correspondência é estrutural, não analógica</w:t>
      </w:r>
    </w:p>
    <w:p>
      <w:pPr>
        <w:jc w:val="both"/>
      </w:pPr>
      <w:r>
        <w:t>O paralelo entre o desenho do artigo e o do projeto é mais forte do que a semelhança de método: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Artigo (Figueiredo &amp; Silva, 2010)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Projeto IVS — Censo 2022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Construto latente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Democracia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Vulnerabilidade à saúde do território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Teoria que define as dimensões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 xml:space="preserve">Dahl (1971), </w:t>
            </w:r>
            <w:r>
              <w:rPr>
                <w:i/>
                <w:sz w:val="19"/>
              </w:rPr>
              <w:t>Poliarquia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IVS-BH 2012 (SMS-BH, 2013)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Dimensões esperadas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Contestação e inclusividade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Saneamento e socioeconômica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Variáveis observadas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10 indicadores de democracia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7 componentes do Censo 2022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Unidade de análise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País-ano (127 casos, 1985)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Setor censitário (104.108 urbanos elegíveis)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Postura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Confirmatória: nº de fatores fixado a priori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Confirmatória: duas dimensões vindas do IVS-BH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Uso do resultado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Escores como eixos de classificação</w:t>
            </w:r>
          </w:p>
        </w:tc>
        <w:tc>
          <w:tcPr>
            <w:tcW w:type="dxa" w:w="3022"/>
          </w:tcPr>
          <w:p>
            <w:r>
              <w:rPr>
                <w:sz w:val="19"/>
              </w:rPr>
              <w:t>Pesos para compor o índice e classificar em 4 faixas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Nos dois casos há uma teoria que </w:t>
      </w:r>
      <w:r>
        <w:rPr>
          <w:b/>
        </w:rPr>
        <w:t>precede</w:t>
      </w:r>
      <w:r>
        <w:t xml:space="preserve"> os dados e diz quantas dimensões esperar. É a diferença entre "vamos ver o que aparece" e "vamos testar se aparece o que a teoria previu" — e ela muda a leitura dos critérios de retenção, como se verá na §4.4.</w:t>
      </w:r>
    </w:p>
    <w:p>
      <w:pPr>
        <w:pStyle w:val="Heading3"/>
        <w:spacing w:before="200"/>
      </w:pPr>
      <w:r>
        <w:t>2.3 Ele responde a uma decisão explicitamente em aberto</w:t>
      </w:r>
    </w:p>
    <w:p>
      <w:pPr>
        <w:jc w:val="both"/>
      </w:pPr>
      <w:r>
        <w:t>A §6.3 do Guia registra quatro decisões travadas. A primeira:</w:t>
      </w:r>
    </w:p>
    <w:p>
      <w:pPr>
        <w:ind w:left="567"/>
      </w:pPr>
      <w:r>
        <w:rPr>
          <w:b/>
          <w:i/>
        </w:rPr>
        <w:t>Critério dos pesos</w:t>
      </w:r>
      <w:r>
        <w:rPr>
          <w:i/>
        </w:rPr>
        <w:t>: empíricos (análise fatorial) ou guiados pela literatura (60% socioeconômica / 40% saneamento, padrão IVS-BH)?</w:t>
      </w:r>
    </w:p>
    <w:p>
      <w:pPr>
        <w:jc w:val="both"/>
      </w:pPr>
      <w:r>
        <w:t>E o argumento já anotado a favor dos pesos empíricos: renda, cor/raça e analfabetismo se correlacionam a −0,81 e −0,76, de modo que pesos iguais dariam "três votos" à posição social sem que isso fosse escolha deliberada. Esse é exatamente o raciocínio do artigo — variáveis que "caminham juntas" medem em boa parte a mesma coisa, e tratá-las como informação independente é erro de medida.</w:t>
      </w:r>
    </w:p>
    <w:p>
      <w:pPr>
        <w:jc w:val="both"/>
      </w:pPr>
      <w:r>
        <w:t xml:space="preserve">O artigo, porém, </w:t>
      </w:r>
      <w:r>
        <w:rPr>
          <w:b/>
        </w:rPr>
        <w:t>não decide</w:t>
      </w:r>
      <w:r>
        <w:t xml:space="preserve"> entre peso empírico e peso teórico: ele mostra como extrair a estrutura. A decisão sobre pesos é do projeto, e a §5 deste documento mostra que, com os números na mesa, ela ficou bem mais fácil.</w:t>
      </w:r>
    </w:p>
    <w:p>
      <w:pPr>
        <w:spacing w:after="40"/>
      </w:pPr>
    </w:p>
    <w:p>
      <w:pPr>
        <w:pStyle w:val="Heading2"/>
        <w:spacing w:before="280"/>
      </w:pPr>
      <w:r>
        <w:t>3. Aplicação: os critérios do artigo rodados nos dados do projeto</w:t>
      </w:r>
    </w:p>
    <w:p>
      <w:pPr>
        <w:pStyle w:val="Heading3"/>
        <w:spacing w:before="200"/>
      </w:pPr>
      <w:r>
        <w:t>3.1 Como foi feito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9"/>
        </w:rPr>
        <w:t>scripts/diagnostico_fatorial.py</w:t>
      </w:r>
      <w:r>
        <w:t xml:space="preserve"> (só pandas e numpy — nenhuma dependência nova).</w:t>
      </w:r>
    </w:p>
    <w:p>
      <w:pPr>
        <w:pStyle w:val="ListBullet"/>
      </w:pPr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9"/>
        </w:rPr>
        <w:t>banco_de_dados/entrega_orientadora/Base_ELSI_70Municipios_Censo2022.csv</w:t>
      </w:r>
      <w:r>
        <w:t>.</w:t>
      </w:r>
    </w:p>
    <w:p>
      <w:pPr>
        <w:pStyle w:val="ListBullet"/>
      </w:pPr>
      <w:r>
        <w:rPr>
          <w:b/>
        </w:rPr>
        <w:t>Recorte:</w:t>
      </w:r>
      <w:r>
        <w:t xml:space="preserve"> </w:t>
      </w:r>
      <w:r>
        <w:rPr>
          <w:rFonts w:ascii="Consolas" w:hAnsi="Consolas"/>
          <w:sz w:val="19"/>
        </w:rPr>
        <w:t>urbano = 1</w:t>
      </w:r>
      <w:r>
        <w:t xml:space="preserve"> e </w:t>
      </w:r>
      <w:r>
        <w:rPr>
          <w:rFonts w:ascii="Consolas" w:hAnsi="Consolas"/>
          <w:sz w:val="19"/>
        </w:rPr>
        <w:t>Dados_sig = OK</w:t>
      </w:r>
      <w:r>
        <w:t xml:space="preserve"> — o mesmo recorte de análise do Notebook 02.</w:t>
      </w:r>
    </w:p>
    <w:p>
      <w:pPr>
        <w:pStyle w:val="ListBullet"/>
      </w:pPr>
      <w:r>
        <w:rPr>
          <w:b/>
        </w:rPr>
        <w:t>Variáveis:</w:t>
      </w:r>
      <w:r>
        <w:t xml:space="preserve"> os 7 componentes do IVS, com a </w:t>
      </w:r>
      <w:r>
        <w:rPr>
          <w:b/>
        </w:rPr>
        <w:t>renda invertida</w:t>
      </w:r>
      <w:r>
        <w:t xml:space="preserve"> (−renda) para que todas apontem no mesmo sentido: valor maior = mais vulnerável. A inversão não altera |r|, autovalores, KMO nem comunalidades; altera apenas o sinal das cargas, e com isso a leitura.</w:t>
      </w:r>
    </w:p>
    <w:p>
      <w:pPr>
        <w:pStyle w:val="ListBullet"/>
      </w:pPr>
      <w:r>
        <w:rPr>
          <w:b/>
        </w:rPr>
        <w:t>Correlação:</w:t>
      </w:r>
      <w:r>
        <w:t xml:space="preserve"> Spearman como referência, seguindo a decisão já tomada na §9 do relatório da EDA ("uso Spearman como referência porque as distribuições estão longe da normalidade"); Pearson calculado em paralelo para comparação.</w:t>
      </w:r>
    </w:p>
    <w:p>
      <w:pPr>
        <w:pStyle w:val="ListBullet"/>
      </w:pPr>
      <w:r>
        <w:rPr>
          <w:b/>
        </w:rPr>
        <w:t>Extração:</w:t>
      </w:r>
      <w:r>
        <w:t xml:space="preserve"> componentes principais sobre a matriz de correlação, com rotação Varimax implementada no próprio script.</w:t>
      </w:r>
    </w:p>
    <w:p>
      <w:pPr>
        <w:pStyle w:val="ListBullet"/>
      </w:pPr>
      <w:r>
        <w:rPr>
          <w:b/>
        </w:rPr>
        <w:t>Cenários:</w:t>
      </w:r>
      <w:r>
        <w:t xml:space="preserve"> as 7 variáveis; sem o lixo; sem o analfabetismo (para medir o efeito do descarte por sigilo); e os dois primeiros repetidos sobre os dados padronizados min-max por município.</w:t>
      </w:r>
    </w:p>
    <w:p>
      <w:pPr>
        <w:pStyle w:val="ListBullet"/>
      </w:pPr>
      <w:r>
        <w:rPr>
          <w:b/>
        </w:rPr>
        <w:t>Casos:</w:t>
      </w:r>
      <w:r>
        <w:t xml:space="preserve"> exclusão por lista (</w:t>
      </w:r>
      <w:r>
        <w:rPr>
          <w:i/>
        </w:rPr>
        <w:t>listwise</w:t>
      </w:r>
      <w:r>
        <w:t>) — 87.545 setores completos nas 7 variáveis, contra 104.108 do recorte. A perda é quase toda do sigilo do analfabetismo, e a §6 trata do viés que ela introduz.</w:t>
      </w:r>
    </w:p>
    <w:p>
      <w:pPr>
        <w:jc w:val="both"/>
      </w:pPr>
      <w:r>
        <w:t xml:space="preserve">Todas as tabelas geradas estão em </w:t>
      </w:r>
      <w:r>
        <w:rPr>
          <w:rFonts w:ascii="Consolas" w:hAnsi="Consolas"/>
          <w:sz w:val="19"/>
        </w:rPr>
        <w:t>banco_de_dados/eda/fatorial/</w:t>
      </w:r>
      <w:r>
        <w:t>.</w:t>
      </w:r>
    </w:p>
    <w:p>
      <w:pPr>
        <w:pStyle w:val="Heading3"/>
        <w:spacing w:before="200"/>
      </w:pPr>
      <w:r>
        <w:t>3.2 Estágio 1 — a base é adequada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Critério do artigo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Patamar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Resultado (7 componentes, Spearman)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Veredito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Nível de mensuração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Contínuas ou discretas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Todas contínuas (proporções, razão, renda em R$)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Tamanho da amostra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100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87.545 setores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Razão casos/variáveis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5:1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12.506:1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Correlações acima de 0,30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"a maior parte"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57,1% dos coeficientes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no limite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KMO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0,50 (Hair) / ≥ 0,60 (Pallant)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  <w:t>0,783</w:t>
            </w:r>
            <w:r>
              <w:rPr>
                <w:sz w:val="19"/>
              </w:rPr>
              <w:t xml:space="preserve"> — "mediano" na escala de Friel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MSA individual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0,50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mínimo de 0,700 (lixo)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BTS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 &lt; 0,05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χ² = 235.084 · 21 g.l. · p &lt; 0,001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(ver ressalva na §6.1)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Com </w:t>
      </w:r>
      <w:r>
        <w:rPr>
          <w:b/>
        </w:rPr>
        <w:t>Pearson</w:t>
      </w:r>
      <w:r>
        <w:t xml:space="preserve"> em vez de Spearman a base passa por menos: KMO cai para 0,732, apenas 33,3% dos coeficientes chegam a 0,30, o MSA mínimo cai para 0,542 e o critério de Kaiser passa a indicar três fatores. A distância entre os dois resultados é a medida do quanto as distribuições fogem da normalidade — assimetria de 3,42 na água e de 3,74 na renda, curtose de 49,5 na renda. A escolha por Spearman, já registrada no relatório da EDA, se confirma; e o custo dessa escolha está discutido na §6.2.</w:t>
      </w:r>
    </w:p>
    <w:p>
      <w:pPr>
        <w:pStyle w:val="Heading3"/>
        <w:spacing w:before="200"/>
      </w:pPr>
      <w:r>
        <w:t>3.3 Estágio 2 — quantos fatores</w:t>
      </w:r>
    </w:p>
    <w:p>
      <w:pPr>
        <w:jc w:val="both"/>
      </w:pPr>
      <w:r>
        <w:t>Autovalores das 7 variáveis (Spearman), com a análise paralela de Horn: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Autovalor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% variância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% acumulado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Autovalor aleatório (Horn)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3,300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47,1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47,1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1,026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1,049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15,0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62,1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1,016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0,958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13,7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75,8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1,008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0,620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8,9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84,7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1,001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0,554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7,9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92,6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0,993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0,348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5,0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97,5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0,985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0,172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2,5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100,0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0,973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Os três critérios convergem para </w:t>
      </w:r>
      <w:r>
        <w:rPr>
          <w:b/>
        </w:rPr>
        <w:t>dois fatores</w:t>
      </w:r>
      <w:r>
        <w:t>: Kaiser (dois autovalores acima de 1), Horn (os mesmos dois superam o aleatório) e variância acumulada (62,1%, acima do patamar de 60% de Hair et al.). Vale notar quanto isso é apertado: o segundo autovalor é 1,049 e o terceiro, 0,958. A regra de Kaiser está decidindo com folga de 0,09 — e o próprio artigo adverte que ela funciona melhor entre 20 e 50 variáveis, não com 7. É mais uma razão para o critério teórico pesar na decisão.</w:t>
      </w:r>
    </w:p>
    <w:p>
      <w:pPr>
        <w:pStyle w:val="Heading3"/>
        <w:spacing w:before="200"/>
      </w:pPr>
      <w:r>
        <w:t>3.4 Estágio 3 — as cargas rotacionadas</w:t>
      </w:r>
    </w:p>
    <w:p>
      <w:pPr>
        <w:jc w:val="both"/>
      </w:pPr>
      <w:r>
        <w:t xml:space="preserve">Solução Varimax com dois fatores, 7 variáveis. </w:t>
      </w:r>
      <w:r>
        <w:rPr>
          <w:b/>
        </w:rPr>
        <w:t>Sinais ajustados para que carga positiva signifique maior vulnerabilidade</w:t>
      </w:r>
      <w:r>
        <w:t xml:space="preserve"> (o sinal do autovetor é arbitrário):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Variável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Fator 1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Fator 2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Comunalidade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MSA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Renda (invertida)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0,858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0,153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0,759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0,724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Cor/raça PPI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0,835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0,169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0,725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0,782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Analfabetismo 15+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0,822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0,071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0,681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0,819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Razão de moradores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0,678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−0,373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0,599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0,857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Esgoto inadequado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0,634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0,261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0,470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0,834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Água inadequada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0,482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0,144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0,253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0,753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Lixo inadequado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0,118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0,919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0,859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0,700</w:t>
            </w:r>
          </w:p>
        </w:tc>
      </w:tr>
    </w:tbl>
    <w:p>
      <w:pPr>
        <w:spacing w:after="40"/>
      </w:pPr>
    </w:p>
    <w:p>
      <w:pPr>
        <w:jc w:val="both"/>
      </w:pPr>
      <w:r>
        <w:t>Variância explicada após a rotação: 46,0% no Fator 1 e 16,1% no Fator 2.</w:t>
      </w:r>
    </w:p>
    <w:p>
      <w:pPr>
        <w:jc w:val="both"/>
      </w:pPr>
      <w:r>
        <w:t xml:space="preserve">O resultado é inequívoco e não é o que a teoria previa. O </w:t>
      </w:r>
      <w:r>
        <w:rPr>
          <w:b/>
        </w:rPr>
        <w:t>Fator 1 não é "socioeconômico"</w:t>
      </w:r>
      <w:r>
        <w:t xml:space="preserve"> — é um fator geral de vulnerabilidade, que puxa junto renda, cor/raça, analfabetismo, densidade, esgoto e até a água. O </w:t>
      </w:r>
      <w:r>
        <w:rPr>
          <w:b/>
        </w:rPr>
        <w:t>Fator 2 não é "saneamento"</w:t>
      </w:r>
      <w:r>
        <w:t xml:space="preserve"> — é o </w:t>
      </w:r>
      <w:r>
        <w:rPr>
          <w:b/>
        </w:rPr>
        <w:t>lixo sozinho</w:t>
      </w:r>
      <w:r>
        <w:t>. A segunda dimensão que o critério de Kaiser encontrou não é uma dimensão do construto: é uma variável que não pertence ao construto.</w:t>
      </w:r>
    </w:p>
    <w:p>
      <w:pPr>
        <w:pStyle w:val="Heading3"/>
        <w:spacing w:before="200"/>
      </w:pPr>
      <w:r>
        <w:t>3.5 O que acontece quando o lixo sai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Variável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Fator 1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Fator 2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Comunalidade</w:t>
            </w:r>
          </w:p>
        </w:tc>
        <w:tc>
          <w:tcPr>
            <w:tcW w:type="dxa" w:w="181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MSA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Renda (invertida)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0,915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0,137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0,856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0,715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Analfabetismo 15+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0,868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0,127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0,770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0,815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Cor/raça PPI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0,833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0,245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0,754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0,780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Razão de moradores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0,532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0,312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0,380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0,913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Água inadequada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0,087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0,903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0,822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0,745</w:t>
            </w:r>
          </w:p>
        </w:tc>
      </w:tr>
      <w:tr>
        <w:tc>
          <w:tcPr>
            <w:tcW w:type="dxa" w:w="1813"/>
          </w:tcPr>
          <w:p>
            <w:r>
              <w:rPr>
                <w:sz w:val="19"/>
              </w:rPr>
              <w:t>Esgoto inadequado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0,392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b/>
                <w:sz w:val="19"/>
              </w:rPr>
              <w:t>0,679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0,615</w:t>
            </w:r>
          </w:p>
        </w:tc>
        <w:tc>
          <w:tcPr>
            <w:tcW w:type="dxa" w:w="1813"/>
          </w:tcPr>
          <w:p>
            <w:pPr>
              <w:jc w:val="right"/>
            </w:pPr>
            <w:r>
              <w:rPr>
                <w:sz w:val="19"/>
              </w:rPr>
              <w:t>0,850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Adequabilidade: KMO = 0,787 · BTS χ² = 225.320 (15 g.l., p &lt; 0,001) · </w:t>
      </w:r>
      <w:r>
        <w:rPr>
          <w:b/>
        </w:rPr>
        <w:t>80,0% dos coeficientes com |r| ≥ 0,30</w:t>
      </w:r>
      <w:r>
        <w:t xml:space="preserve"> · variância acumulada 70,0% com dois fatores.</w:t>
      </w:r>
    </w:p>
    <w:p>
      <w:pPr>
        <w:jc w:val="both"/>
      </w:pPr>
      <w:r>
        <w:t xml:space="preserve">Aqui a estrutura teórica aparece limpa: </w:t>
      </w:r>
      <w:r>
        <w:rPr>
          <w:b/>
        </w:rPr>
        <w:t>Fator 1 socioeconômico</w:t>
      </w:r>
      <w:r>
        <w:t xml:space="preserve"> (renda, analfabetismo, cor/raça, densidade) e </w:t>
      </w:r>
      <w:r>
        <w:rPr>
          <w:b/>
        </w:rPr>
        <w:t>Fator 2 de saneamento</w:t>
      </w:r>
      <w:r>
        <w:t xml:space="preserve"> (água e esgoto). Nenhuma variável viola a estrutura simples do artigo — nenhuma carrega acima de 0,40 nos dois fatores. E a variância acumulada sobe de 62,1% para 70,0% com </w:t>
      </w:r>
      <w:r>
        <w:rPr>
          <w:b/>
        </w:rPr>
        <w:t>menos</w:t>
      </w:r>
      <w:r>
        <w:t xml:space="preserve"> variáveis: é o mesmo movimento que o artigo descreve no seu próprio exemplo, quando exclui duas variáveis e vai de 75,79% para 82,30%.</w:t>
      </w:r>
    </w:p>
    <w:p>
      <w:pPr>
        <w:jc w:val="both"/>
      </w:pPr>
      <w:r>
        <w:t xml:space="preserve">Uma ressalva honesta: nessa solução o </w:t>
      </w:r>
      <w:r>
        <w:rPr>
          <w:b/>
        </w:rPr>
        <w:t>critério de Kaiser retém apenas um fator</w:t>
      </w:r>
      <w:r>
        <w:t xml:space="preserve"> — o segundo autovalor é 0,9585, logo abaixo de 1, e Horn concorda. A retenção do segundo fator passa a se apoiar na razão teórica, que o artigo admite explicitamente como critério na postura confirmatória (e ele mesmo faz isso: fixa dois fatores a priori e afrouxa o critério de variância acumulada). Isto tem de ser reportado como escolha, não escondido atrás de um número.</w:t>
      </w:r>
    </w:p>
    <w:p>
      <w:pPr>
        <w:spacing w:after="40"/>
      </w:pPr>
    </w:p>
    <w:p>
      <w:pPr>
        <w:pStyle w:val="Heading2"/>
        <w:spacing w:before="280"/>
      </w:pPr>
      <w:r>
        <w:t>4. O que os resultados decidem</w:t>
      </w:r>
    </w:p>
    <w:p>
      <w:pPr>
        <w:pStyle w:val="Heading3"/>
        <w:spacing w:before="200"/>
      </w:pPr>
      <w:r>
        <w:t>4.1 Decisão 2 do Guia — o indicador de lixo</w:t>
      </w:r>
    </w:p>
    <w:p>
      <w:pPr>
        <w:jc w:val="both"/>
      </w:pPr>
      <w:r>
        <w:t>A §6.2.10 do Guia mantém a caçamba de lixo (</w:t>
      </w:r>
      <w:r>
        <w:rPr>
          <w:rFonts w:ascii="Consolas" w:hAnsi="Consolas"/>
          <w:sz w:val="19"/>
        </w:rPr>
        <w:t>V00398</w:t>
      </w:r>
      <w:r>
        <w:t xml:space="preserve">) como destino inadequado por fidelidade ao </w:t>
      </w:r>
      <w:r>
        <w:rPr>
          <w:rFonts w:ascii="Consolas" w:hAnsi="Consolas"/>
          <w:sz w:val="19"/>
        </w:rPr>
        <w:t>Cálculo IVS2012.docx</w:t>
      </w:r>
      <w:r>
        <w:t>, registrando a ressalva de que o lixo é "a variável menos correlacionada com todas as demais" e a hipótese de que esteja capturando porte urbano.</w:t>
      </w:r>
    </w:p>
    <w:p>
      <w:pPr>
        <w:jc w:val="both"/>
      </w:pPr>
      <w:r>
        <w:t xml:space="preserve">A análise fatorial converte a ressalva em medida. O lixo não é apenas fraco: ele é </w:t>
      </w:r>
      <w:r>
        <w:rPr>
          <w:b/>
        </w:rPr>
        <w:t>ortogonal ao construto</w:t>
      </w:r>
      <w:r>
        <w:t>. Fica com 0,118 de carga no fator geral de vulnerabilidade e 0,919 num fator que é só dele. Nos termos do artigo: "como a análise fatorial depende do padrão de correlação entre as variáveis observadas, espera-se que variáveis estatisticamente independentes não contribuam para a construção de um fator comum".</w:t>
      </w:r>
    </w:p>
    <w:p>
      <w:pPr>
        <w:jc w:val="both"/>
      </w:pPr>
      <w:r>
        <w:t xml:space="preserve">Mantê-lo no índice com peso empírico significa dar peso a uma dimensão que não é vulnerabilidade. </w:t>
      </w:r>
      <w:r>
        <w:rPr>
          <w:b/>
        </w:rPr>
        <w:t>Recomendação:</w:t>
      </w:r>
      <w:r>
        <w:t xml:space="preserve"> retirar o lixo do índice e reportá-lo como indicador descritivo, com a §6.2.10 reescrita para registrar que a fidelidade à metodologia-fonte foi mantida na </w:t>
      </w:r>
      <w:r>
        <w:rPr>
          <w:i/>
        </w:rPr>
        <w:t>definição</w:t>
      </w:r>
      <w:r>
        <w:t xml:space="preserve"> do indicador, e que a exclusão do </w:t>
      </w:r>
      <w:r>
        <w:rPr>
          <w:i/>
        </w:rPr>
        <w:t>índice</w:t>
      </w:r>
      <w:r>
        <w:t xml:space="preserve"> é resultado empírico documentado — não redesenho arbitrário.</w:t>
      </w:r>
    </w:p>
    <w:p>
      <w:pPr>
        <w:pStyle w:val="Heading3"/>
        <w:spacing w:before="200"/>
      </w:pPr>
      <w:r>
        <w:t>4.2 A regra de comunalidade do artigo teria excluído a variável errada</w:t>
      </w:r>
    </w:p>
    <w:p>
      <w:pPr>
        <w:jc w:val="both"/>
      </w:pPr>
      <w:r>
        <w:t>Este é o achado metodologicamente mais interessante do exercício, e vale para a discussão do artigo na dissertação.</w:t>
      </w:r>
    </w:p>
    <w:p>
      <w:pPr>
        <w:jc w:val="both"/>
      </w:pPr>
      <w:r>
        <w:t xml:space="preserve">Na solução com 7 variáveis, a </w:t>
      </w:r>
      <w:r>
        <w:rPr>
          <w:b/>
        </w:rPr>
        <w:t>água</w:t>
      </w:r>
      <w:r>
        <w:t xml:space="preserve"> aparece com comunalidade 0,253 — muito abaixo do piso de 0,50. A regra do artigo é direta: excluir e re-rodar. Se ela fosse aplicada mecanicamente, o índice perderia um dos dois componentes centrais do bloco de saneamento.</w:t>
      </w:r>
    </w:p>
    <w:p>
      <w:pPr>
        <w:jc w:val="both"/>
      </w:pPr>
      <w:r>
        <w:t xml:space="preserve">Mas a comunalidade da água é baixa por uma razão estrutural: com dois fatores retidos e o lixo monopolizando o segundo, </w:t>
      </w:r>
      <w:r>
        <w:rPr>
          <w:b/>
        </w:rPr>
        <w:t>não sobra fator para a água carregar</w:t>
      </w:r>
      <w:r>
        <w:t xml:space="preserve">. Retirado o lixo, a água salta de 0,253 para </w:t>
      </w:r>
      <w:r>
        <w:rPr>
          <w:b/>
        </w:rPr>
        <w:t>0,822</w:t>
      </w:r>
      <w:r>
        <w:t xml:space="preserve"> e passa a ser a variável de maior carga do fator de saneamento.</w:t>
      </w:r>
    </w:p>
    <w:p>
      <w:pPr>
        <w:jc w:val="both"/>
      </w:pPr>
      <w:r>
        <w:t xml:space="preserve">A lição, e é uma crítica ao artigo: a comunalidade </w:t>
      </w:r>
      <w:r>
        <w:rPr>
          <w:b/>
        </w:rPr>
        <w:t>não é uma propriedade da variável</w:t>
      </w:r>
      <w:r>
        <w:t xml:space="preserve">, é uma propriedade da variável </w:t>
      </w:r>
      <w:r>
        <w:rPr>
          <w:i/>
        </w:rPr>
        <w:t>dada a solução</w:t>
      </w:r>
      <w:r>
        <w:t>. Aplicar o corte de 0,50 variável a variável, sem antes verificar se a solução está distorcida por outra variável, leva a excluir a vítima em vez do problema. A ordem correta é: diagnosticar a estrutura → remover o que é externo ao construto → só então avaliar comunalidades.</w:t>
      </w:r>
    </w:p>
    <w:p>
      <w:pPr>
        <w:jc w:val="both"/>
      </w:pPr>
      <w:r>
        <w:t xml:space="preserve">Feito isso, resta um caso legítimo: a </w:t>
      </w:r>
      <w:r>
        <w:rPr>
          <w:b/>
        </w:rPr>
        <w:t>razão de moradores</w:t>
      </w:r>
      <w:r>
        <w:t xml:space="preserve"> cai para 0,380 na solução de 6 variáveis. Ela é a variável-ponte descrita na §9.1 do relatório da EDA e a única sobrevivente do bloco de densidade habitacional. Fica como decisão aberta — manter por razão teórica e reportar a comunalidade baixa, ou excluir e reduzir o índice a 5 componentes.</w:t>
      </w:r>
    </w:p>
    <w:p>
      <w:pPr>
        <w:pStyle w:val="Heading3"/>
        <w:spacing w:before="200"/>
      </w:pPr>
      <w:r>
        <w:t>4.3 Decisão 1 do Guia — os pesos</w:t>
      </w:r>
    </w:p>
    <w:p>
      <w:pPr>
        <w:jc w:val="both"/>
      </w:pPr>
      <w:r>
        <w:t>Repartição do peso entre os dois fatores rotacionados, por soma dos quadrados das cargas: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Solução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Dimensão socioeconômica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Dimensão saneamento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6 componentes, sem lixo, indicadores brutos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b/>
                <w:sz w:val="19"/>
              </w:rPr>
              <w:t>65,0%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b/>
                <w:sz w:val="19"/>
              </w:rPr>
              <w:t>35,0%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7 componentes, brutos (Fator 2 = lixo)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74,0%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26,0%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6 componentes, sem lixo, min-max por município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55,7%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44,3%</w:t>
            </w:r>
          </w:p>
        </w:tc>
      </w:tr>
      <w:tr>
        <w:tc>
          <w:tcPr>
            <w:tcW w:type="dxa" w:w="3022"/>
          </w:tcPr>
          <w:p>
            <w:r>
              <w:rPr>
                <w:b/>
                <w:sz w:val="19"/>
              </w:rPr>
              <w:t>Referência IVS-BH 2012 (literatura)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b/>
                <w:sz w:val="19"/>
              </w:rPr>
              <w:t>~60%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b/>
                <w:sz w:val="19"/>
              </w:rPr>
              <w:t>~40%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 solução recomendada — 6 componentes, sem lixo — devolve </w:t>
      </w:r>
      <w:r>
        <w:rPr>
          <w:b/>
        </w:rPr>
        <w:t>65/35</w:t>
      </w:r>
      <w:r>
        <w:t xml:space="preserve"> contra os </w:t>
      </w:r>
      <w:r>
        <w:rPr>
          <w:b/>
        </w:rPr>
        <w:t>60/40</w:t>
      </w:r>
      <w:r>
        <w:t xml:space="preserve"> da literatura. Cinco pontos percentuais de diferença. Isso desarma a decisão nº 1 do Guia: não há escolha dramática entre peso empírico e peso teórico, porque os dois convergem. O caminho mais defensável é </w:t>
      </w:r>
      <w:r>
        <w:rPr>
          <w:b/>
        </w:rPr>
        <w:t>usar os pesos empíricos e reportar a convergência com o IVS-BH como validação externa da estrutura</w:t>
      </w:r>
      <w:r>
        <w:t xml:space="preserve"> — é o argumento mais forte que o projeto pode fazer, e ele só existe porque os dois números foram calculados separadamente.</w:t>
      </w:r>
    </w:p>
    <w:p>
      <w:pPr>
        <w:pStyle w:val="Heading3"/>
        <w:spacing w:before="200"/>
      </w:pPr>
      <w:r>
        <w:t>4.4 Uma decisão nova: a ordem entre o Notebook 03 e o Notebook 04</w:t>
      </w:r>
    </w:p>
    <w:p>
      <w:pPr>
        <w:jc w:val="both"/>
      </w:pPr>
      <w:r>
        <w:t xml:space="preserve">O plano prevê NB03 (normalização min-max por município) → NB04 (fatorial). A padronização min-max por município é uma transformação afim com </w:t>
      </w:r>
      <w:r>
        <w:rPr>
          <w:b/>
        </w:rPr>
        <w:t>escala diferente para cada grupo</w:t>
      </w:r>
      <w:r>
        <w:t xml:space="preserve"> — logo, ela muda a matriz de correlação global. Não é uma questão de opinião; é medível: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Indicadores brutos</w:t>
            </w:r>
          </w:p>
        </w:tc>
        <w:tc>
          <w:tcPr>
            <w:tcW w:type="dxa" w:w="302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Min-max por município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KMO (7 componentes)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0,783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0,720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Coeficientes com |r| ≥ 0,30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57,1%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42,9%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Fatores por Kaiser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Variância acumulada (2 fatores)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62,1%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56,5%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Comunalidade mínima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0,253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0,091</w:t>
            </w:r>
          </w:p>
        </w:tc>
      </w:tr>
      <w:tr>
        <w:tc>
          <w:tcPr>
            <w:tcW w:type="dxa" w:w="3022"/>
          </w:tcPr>
          <w:p>
            <w:r>
              <w:rPr>
                <w:sz w:val="19"/>
              </w:rPr>
              <w:t>Peso socioeconômico / saneamento (sem lixo)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65 / 35</w:t>
            </w:r>
          </w:p>
        </w:tc>
        <w:tc>
          <w:tcPr>
            <w:tcW w:type="dxa" w:w="3022"/>
          </w:tcPr>
          <w:p>
            <w:pPr>
              <w:jc w:val="right"/>
            </w:pPr>
            <w:r>
              <w:rPr>
                <w:sz w:val="19"/>
              </w:rPr>
              <w:t>56 / 44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Nos mesmos 87 mil setores, normalizar antes de fatorar piora todos os indicadores de adequabilidade e muda os pesos em nove pontos percentuais. A razão é conceitual: a normalização municipal </w:t>
      </w:r>
      <w:r>
        <w:rPr>
          <w:b/>
        </w:rPr>
        <w:t>remove deliberadamente a variação entre municípios</w:t>
      </w:r>
      <w:r>
        <w:t xml:space="preserve">, que é parte substancial da covariação que sustenta o fator geral. Isso é coerente com o objetivo intraurbano do projeto — mas significa que a fatorial passa a estimar a estrutura da vulnerabilidade </w:t>
      </w:r>
      <w:r>
        <w:rPr>
          <w:i/>
        </w:rPr>
        <w:t>dentro</w:t>
      </w:r>
      <w:r>
        <w:t xml:space="preserve"> dos municípios, não a estrutura geral.</w:t>
      </w:r>
    </w:p>
    <w:p>
      <w:pPr>
        <w:jc w:val="both"/>
      </w:pPr>
      <w:r>
        <w:t xml:space="preserve">As duas opções são defensáveis; o que não é defensável é escolher sem saber que se está escolhendo. </w:t>
      </w:r>
      <w:r>
        <w:rPr>
          <w:b/>
        </w:rPr>
        <w:t>Recomendação:</w:t>
      </w:r>
      <w:r>
        <w:t xml:space="preserve"> estimar a estrutura fatorial sobre os indicadores brutos (a covariação completa é o que identifica o construto), aplicar a normalização municipal na composição do índice, e registrar o teste acima como decisão na §6.2 do Guia.</w:t>
      </w:r>
    </w:p>
    <w:p>
      <w:pPr>
        <w:pStyle w:val="Heading3"/>
        <w:spacing w:before="200"/>
      </w:pPr>
      <w:r>
        <w:t>4.5 Decisão 3 do Guia — o sigilo do analfabetismo</w:t>
      </w:r>
    </w:p>
    <w:p>
      <w:pPr>
        <w:jc w:val="both"/>
      </w:pPr>
      <w:r>
        <w:t xml:space="preserve">A exclusão por lista custa 16.563 setores (15,9% do recorte), e a §6.2.6 do Guia já documenta que esse sigilo </w:t>
      </w:r>
      <w:r>
        <w:rPr>
          <w:b/>
        </w:rPr>
        <w:t>não é aleatório</w:t>
      </w:r>
      <w:r>
        <w:t>: incide nos setores de melhor situação. A amostra de 87.545 casos é, portanto, enviesada para os setores mais vulneráveis.</w:t>
      </w:r>
    </w:p>
    <w:p>
      <w:pPr>
        <w:jc w:val="both"/>
      </w:pPr>
      <w:r>
        <w:t xml:space="preserve">O cenário sem o analfabetismo mede o tamanho do problema: com 104.093 setores e 6 variáveis, KMO = 0,707, dois fatores, 63,8% de variância acumulada, e o lixo de novo isolado (carga 0,935, comunalidade 0,880). </w:t>
      </w:r>
      <w:r>
        <w:rPr>
          <w:b/>
        </w:rPr>
        <w:t>A estrutura não muda.</w:t>
      </w:r>
      <w:r>
        <w:t xml:space="preserve"> O viés de seleção afeta as magnitudes, não as conclusões — o que é um argumento útil para a seção de limitações do artigo científico.</w:t>
      </w:r>
    </w:p>
    <w:p>
      <w:pPr>
        <w:spacing w:after="40"/>
      </w:pPr>
    </w:p>
    <w:p>
      <w:pPr>
        <w:pStyle w:val="Heading2"/>
        <w:spacing w:before="280"/>
      </w:pPr>
      <w:r>
        <w:t>5. Onde o artigo não alcança este projeto</w:t>
      </w:r>
    </w:p>
    <w:p>
      <w:pPr>
        <w:jc w:val="both"/>
      </w:pPr>
      <w:r>
        <w:t>O artigo é de 2010, foi escrito para ciência política e para amostras de dezenas ou centenas de casos. Três descompassos precisam ser declarados.</w:t>
      </w:r>
    </w:p>
    <w:p>
      <w:pPr>
        <w:pStyle w:val="Heading3"/>
        <w:spacing w:before="200"/>
      </w:pPr>
      <w:r>
        <w:t>5.1 O Bartlett é vazio nesta escala</w:t>
      </w:r>
    </w:p>
    <w:p>
      <w:pPr>
        <w:jc w:val="both"/>
      </w:pPr>
      <w:r>
        <w:t xml:space="preserve">O BTS testa se a matriz de correlação é a identidade. Com 87.545 casos, qualquer correlação diferente de zero por uma fração desprezível produz significância. O χ² = 235.084 com 21 graus de liberdade não é evidência de estrutura forte: é evidência de amostra grande. O artigo apresenta o BTS como um dos dois testes de adequabilidade sem qualquer ressalva sobre sensibilidade ao </w:t>
      </w:r>
      <w:r>
        <w:rPr>
          <w:i/>
        </w:rPr>
        <w:t>n</w:t>
      </w:r>
      <w:r>
        <w:t xml:space="preserve"> — porque na amostra dele, de 127 casos, o teste de fato informa.</w:t>
      </w:r>
    </w:p>
    <w:p>
      <w:pPr>
        <w:jc w:val="both"/>
      </w:pPr>
      <w:r>
        <w:rPr>
          <w:b/>
        </w:rPr>
        <w:t>Como reportar:</w:t>
      </w:r>
      <w:r>
        <w:t xml:space="preserve"> citar o BTS por convenção, mas apoiar a conclusão de adequabilidade no </w:t>
      </w:r>
      <w:r>
        <w:rPr>
          <w:b/>
        </w:rPr>
        <w:t>KMO e nos MSA individuais</w:t>
      </w:r>
      <w:r>
        <w:t xml:space="preserve">, que não crescem com o </w:t>
      </w:r>
      <w:r>
        <w:rPr>
          <w:i/>
        </w:rPr>
        <w:t>n</w:t>
      </w:r>
      <w:r>
        <w:t>.</w:t>
      </w:r>
    </w:p>
    <w:p>
      <w:pPr>
        <w:pStyle w:val="Heading3"/>
        <w:spacing w:before="200"/>
      </w:pPr>
      <w:r>
        <w:t>5.2 ACP sobre matriz de Spearman é ACP de postos</w:t>
      </w:r>
    </w:p>
    <w:p>
      <w:pPr>
        <w:jc w:val="both"/>
      </w:pPr>
      <w:r>
        <w:t xml:space="preserve">Toda a análise aqui usa Spearman, seguindo o relatório da EDA e a evidência de não-normalidade. É defensável, e a comparação com Pearson na §3.2 mostra o que se ganha. Mas é preciso ser exato sobre o que se está fazendo: decompor uma matriz de Spearman equivale a rodar a ACP sobre os </w:t>
      </w:r>
      <w:r>
        <w:rPr>
          <w:b/>
        </w:rPr>
        <w:t>postos</w:t>
      </w:r>
      <w:r>
        <w:t xml:space="preserve"> das variáveis, não sobre elas. As cargas se referem a posições relativas, não a magnitudes; e os escores fatoriais dela derivados herdam essa natureza ordinal. O artigo trabalha só com Pearson e não discute a alternativa.</w:t>
      </w:r>
    </w:p>
    <w:p>
      <w:pPr>
        <w:jc w:val="both"/>
      </w:pPr>
      <w:r>
        <w:rPr>
          <w:b/>
        </w:rPr>
        <w:t>Como reportar:</w:t>
      </w:r>
      <w:r>
        <w:t xml:space="preserve"> declarar a ACP como sendo sobre a matriz de Spearman, justificar pela assimetria documentada (3,42 na água, 3,74 na renda, curtose 49,5) e apresentar a solução de Pearson como análise de sensibilidade — as tabelas já estão geradas.</w:t>
      </w:r>
    </w:p>
    <w:p>
      <w:pPr>
        <w:pStyle w:val="Heading3"/>
        <w:spacing w:before="200"/>
      </w:pPr>
      <w:r>
        <w:t>5.3 O artigo mede um construto; o projeto precisa compor um índice</w:t>
      </w:r>
    </w:p>
    <w:p>
      <w:pPr>
        <w:jc w:val="both"/>
      </w:pPr>
      <w:r>
        <w:t xml:space="preserve">Este é o limite mais importante. O artigo termina nos escores fatoriais usados como </w:t>
      </w:r>
      <w:r>
        <w:rPr>
          <w:b/>
        </w:rPr>
        <w:t>eixos de classificação</w:t>
      </w:r>
      <w:r>
        <w:t xml:space="preserve"> — o gráfico de quadrantes de contestação × inclusividade. O projeto precisa de outra coisa: um </w:t>
      </w:r>
      <w:r>
        <w:rPr>
          <w:b/>
        </w:rPr>
        <w:t>índice composto</w:t>
      </w:r>
      <w:r>
        <w:t>, numa escala 0–1, com pesos explícitos, categorizado em quatro faixas de risco e mapeável.</w:t>
      </w:r>
    </w:p>
    <w:p>
      <w:pPr>
        <w:jc w:val="both"/>
      </w:pPr>
      <w:r>
        <w:t>A análise fatorial entrega o insumo — a estrutura e a repartição do peso entre dimensões — mas não cobre as decisões que vêm depois: normalização (min-max, z-score, posto), forma de agregação (média aritmética ponderada, geométrica), tratamento de dados faltantes na composição e análise de sensibilidade dos pesos. Para isso a referência natural é o manual da OCDE/JRC de indicadores compostos (Nardo et al., 2008), somado ao que o próprio IVS-BH 2012 e o ISU de Passarelli-Araujo (2023) já resolveram nesse terreno.</w:t>
      </w:r>
    </w:p>
    <w:p>
      <w:pPr>
        <w:pStyle w:val="Heading3"/>
        <w:spacing w:before="200"/>
      </w:pPr>
      <w:r>
        <w:t>5.4 Duas imprecisões do artigo que convém não reproduzir</w:t>
      </w:r>
    </w:p>
    <w:p>
      <w:pPr>
        <w:jc w:val="both"/>
      </w:pPr>
      <w:r>
        <w:rPr>
          <w:b/>
        </w:rPr>
        <w:t>"Análise fatorial confirmatória" ali não é AFC.</w:t>
      </w:r>
      <w:r>
        <w:t xml:space="preserve"> O artigo chama de AFC o procedimento de fixar o número de fatores </w:t>
      </w:r>
      <w:r>
        <w:rPr>
          <w:i/>
        </w:rPr>
        <w:t>a priori</w:t>
      </w:r>
      <w:r>
        <w:t xml:space="preserve"> e rodar ACP com Varimax. AFC no sentido técnico é um modelo de equações estruturais, com estrutura de cargas especificada e índices de ajuste (χ²/gl, CFI, RMSEA) — o próprio artigo remete a SEM numa nota de rodapé, sem estabelecer a distinção. Ao citar, o projeto deve dizer "ACP com número de fatores definido pela teoria", não "AFC".</w:t>
      </w:r>
    </w:p>
    <w:p>
      <w:pPr>
        <w:jc w:val="both"/>
      </w:pPr>
      <w:r>
        <w:rPr>
          <w:b/>
        </w:rPr>
        <w:t>Unidade de análise.</w:t>
      </w:r>
      <w:r>
        <w:t xml:space="preserve"> As unidades aqui são setores censitários, não pessoas. Toda carga fatorial descreve a covariação </w:t>
      </w:r>
      <w:r>
        <w:rPr>
          <w:b/>
        </w:rPr>
        <w:t>entre territórios</w:t>
      </w:r>
      <w:r>
        <w:t>, e nada afirma sobre indivíduos. É a falácia ecológica que o Guia já se comprometeu a discutir com Lima-Costa &amp; Barreto (2003), e ela se aplica integralmente à leitura das cargas.</w:t>
      </w:r>
    </w:p>
    <w:p>
      <w:pPr>
        <w:spacing w:after="40"/>
      </w:pPr>
    </w:p>
    <w:p>
      <w:pPr>
        <w:pStyle w:val="Heading2"/>
        <w:spacing w:before="280"/>
      </w:pPr>
      <w:r>
        <w:t>6. Checklist operacional para o Notebook 04</w:t>
      </w:r>
    </w:p>
    <w:p>
      <w:pPr>
        <w:jc w:val="both"/>
      </w:pPr>
      <w:r>
        <w:t>Derivado do artigo, com o estado atual de cada item.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Passo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226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Definir o recorte e a exclusão de casos</w:t>
            </w:r>
          </w:p>
        </w:tc>
        <w:tc>
          <w:tcPr>
            <w:tcW w:type="dxa" w:w="2266"/>
          </w:tcPr>
          <w:p>
            <w:r>
              <w:rPr>
                <w:i/>
                <w:sz w:val="19"/>
              </w:rPr>
              <w:t>listwise</w:t>
            </w:r>
            <w:r>
              <w:rPr>
                <w:sz w:val="19"/>
              </w:rPr>
              <w:t>, com o viés do sigilo declarado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testado (§4.5)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Escolher e justificar a matriz de correlação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Spearman, com Pearson como sensibilidade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decidido e medido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Verificar razão casos/variáveis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5:1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12.506:1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Proporção de |r| ≥ 0,30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"a maior parte"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57,1% / 80,0% sem lixo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KMO e MSA por variável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0,50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0,783 e mínimo 0,700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BTS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p &lt; 0,05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com a ressalva da §5.1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Autovalores, Kaiser, scree, Horn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convergência entre critérios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2 fatores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Variância acumulada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60%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62,1% / 70,0% sem lixo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Diagnosticar variável externa ao construto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fator próprio, correlações baixas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lixo identificado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Re-estimar sem ela e reavaliar comunalidades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≥ 0,50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⚠️ pendente decidir a razão de moradores (0,380)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Rotação Varimax e estrutura simples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nenhuma carga &gt; 0,40 em dois fatores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atendida sem o lixo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Definir os pesos e confrontar com a literatura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comparar com 60/40 do IVS-BH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✅ 65/35 — convergem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Decidir a ordem NB03 → NB04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registrar como decisão na §6.2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🔴 pendente (§4.4)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Gerar escores e compor o índice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fora do escopo do artigo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🔴 pendente — ver §5.3</w:t>
            </w:r>
          </w:p>
        </w:tc>
      </w:tr>
      <w:tr>
        <w:tc>
          <w:tcPr>
            <w:tcW w:type="dxa" w:w="2266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Categorizar em 4 faixas e validar contra os setores de FCU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validação externa</w:t>
            </w:r>
          </w:p>
        </w:tc>
        <w:tc>
          <w:tcPr>
            <w:tcW w:type="dxa" w:w="2266"/>
          </w:tcPr>
          <w:p>
            <w:r>
              <w:rPr>
                <w:sz w:val="19"/>
              </w:rPr>
              <w:t>🔴 pendente (NB05)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O item 15 merece uma nota: o projeto tem uma oportunidade de validação que o artigo não tinha. Os 19.452 setores de Favela e Comunidade Urbana identificados por </w:t>
      </w:r>
      <w:r>
        <w:rPr>
          <w:rFonts w:ascii="Consolas" w:hAnsi="Consolas"/>
          <w:sz w:val="19"/>
        </w:rPr>
        <w:t>CD_TIPO = 1</w:t>
      </w:r>
      <w:r>
        <w:t xml:space="preserve"> são um marcador </w:t>
      </w:r>
      <w:r>
        <w:rPr>
          <w:b/>
        </w:rPr>
        <w:t>externo</w:t>
      </w:r>
      <w:r>
        <w:t xml:space="preserve"> de vulnerabilidade, validado setor a setor contra a lista oficial do IBGE com 100% de concordância (§6.2.8 do Guia). Um IVS bem construído deve separar esses setores dos demais — e isso é um teste de validade de critério, mais forte do que qualquer estatística interna à fatorial.</w:t>
      </w:r>
    </w:p>
    <w:p>
      <w:pPr>
        <w:spacing w:after="40"/>
      </w:pPr>
    </w:p>
    <w:p>
      <w:pPr>
        <w:pStyle w:val="Heading2"/>
        <w:spacing w:before="280"/>
      </w:pPr>
      <w:r>
        <w:t>7. Reprodutibilidade</w:t>
      </w:r>
    </w:p>
    <w:p>
      <w:pPr>
        <w:jc w:val="both"/>
      </w:pPr>
      <w:r>
        <w:t>Tudo que este documento afirma sobre os dados vem de um script versionado, pela mesma exigência que o projeto se impôs ao resolver o problema dos "CSVs órfãos" (item 12 da §9 do Guia).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scripts/diagnostico_fatorial.py           gera todas as tabelas abaixo</w:t>
        <w:br/>
        <w:t>banco_de_dados/eda/fatorial/</w:t>
        <w:br/>
        <w:t xml:space="preserve">  resumo_adequabilidade.csv               um cenário por linha: n, KMO, BTS, fatores, variância</w:t>
        <w:br/>
        <w:t xml:space="preserve">  ivs7_spearman_{correlacao,autovalores,cargas}.csv</w:t>
        <w:br/>
        <w:t xml:space="preserve">  ivs7_pearson_{correlacao,autovalores,cargas}.csv</w:t>
        <w:br/>
        <w:t xml:space="preserve">  ivs6_sem_lixo_spearman_{...}.csv</w:t>
        <w:br/>
        <w:t xml:space="preserve">  ivs6_sem_analfab_spearman_{...}.csv</w:t>
        <w:br/>
        <w:t xml:space="preserve">  ivs7_minmax_municipal_spearman_{...}.csv</w:t>
        <w:br/>
        <w:t xml:space="preserve">  ivs6_sem_lixo_minmax_municipal_spearman_{...}.csv</w:t>
      </w:r>
    </w:p>
    <w:p>
      <w:pPr>
        <w:jc w:val="both"/>
      </w:pPr>
      <w:r>
        <w:t xml:space="preserve">Rodar com: </w:t>
      </w:r>
      <w:r>
        <w:rPr>
          <w:rFonts w:ascii="Consolas" w:hAnsi="Consolas"/>
          <w:sz w:val="19"/>
        </w:rPr>
        <w:t>python scripts/diagnostico_fatorial.py</w:t>
      </w:r>
    </w:p>
    <w:p>
      <w:pPr>
        <w:jc w:val="both"/>
      </w:pPr>
      <w:r>
        <w:t xml:space="preserve">O script é </w:t>
      </w:r>
      <w:r>
        <w:rPr>
          <w:b/>
        </w:rPr>
        <w:t>diagnóstico</w:t>
      </w:r>
      <w:r>
        <w:t>, não o cálculo do IVS: ele opera sobre os indicadores brutos, antes da padronização do Notebook 03 e da definição de pesos do Notebook 04. O que ele produz alimenta essas duas etapas.</w:t>
      </w:r>
    </w:p>
    <w:p>
      <w:pPr>
        <w:spacing w:after="40"/>
      </w:pPr>
    </w:p>
    <w:p>
      <w:pPr>
        <w:pStyle w:val="Heading2"/>
        <w:spacing w:before="280"/>
      </w:pPr>
      <w:r>
        <w:t>Referências</w:t>
      </w:r>
    </w:p>
    <w:p>
      <w:pPr>
        <w:jc w:val="both"/>
      </w:pPr>
      <w:r>
        <w:t xml:space="preserve">FIGUEIREDO FILHO, D. B.; SILVA JÚNIOR, J. A. Visão além do alcance: uma introdução à análise fatorial. </w:t>
      </w:r>
      <w:r>
        <w:rPr>
          <w:b/>
        </w:rPr>
        <w:t>Opinião Pública</w:t>
      </w:r>
      <w:r>
        <w:t>, Campinas, v. 16, n. 1, p. 160–185, jun. 2010.</w:t>
      </w:r>
    </w:p>
    <w:p>
      <w:pPr>
        <w:jc w:val="both"/>
      </w:pPr>
      <w:r>
        <w:t xml:space="preserve">DAHL, R. </w:t>
      </w:r>
      <w:r>
        <w:rPr>
          <w:b/>
        </w:rPr>
        <w:t>Poliarquia</w:t>
      </w:r>
      <w:r>
        <w:t>: participação e oposição. São Paulo: Edusp, 1971.</w:t>
      </w:r>
    </w:p>
    <w:p>
      <w:pPr>
        <w:jc w:val="both"/>
      </w:pPr>
      <w:r>
        <w:t xml:space="preserve">HAIR, J. F. et al. </w:t>
      </w:r>
      <w:r>
        <w:rPr>
          <w:b/>
        </w:rPr>
        <w:t>Multivariate Data Analysis</w:t>
      </w:r>
      <w:r>
        <w:t>. 6. ed. Upper Saddle River: Pearson Prentice Hall, 2006.</w:t>
      </w:r>
    </w:p>
    <w:p>
      <w:pPr>
        <w:jc w:val="both"/>
      </w:pPr>
      <w:r>
        <w:t xml:space="preserve">TABACHNICK, B. G.; FIDELL, L. S. </w:t>
      </w:r>
      <w:r>
        <w:rPr>
          <w:b/>
        </w:rPr>
        <w:t>Using Multivariate Statistics</w:t>
      </w:r>
      <w:r>
        <w:t>. 5. ed. Boston: Allyn &amp; Bacon, 2007.</w:t>
      </w:r>
    </w:p>
    <w:p>
      <w:pPr>
        <w:jc w:val="both"/>
      </w:pPr>
      <w:r>
        <w:t xml:space="preserve">HORN, J. L. A rationale and test for the number of factors in factor analysis. </w:t>
      </w:r>
      <w:r>
        <w:rPr>
          <w:b/>
        </w:rPr>
        <w:t>Psychometrika</w:t>
      </w:r>
      <w:r>
        <w:t>, v. 30, p. 179–185, 1965.</w:t>
      </w:r>
    </w:p>
    <w:p>
      <w:pPr>
        <w:jc w:val="both"/>
      </w:pPr>
      <w:r>
        <w:t xml:space="preserve">NARDO, M. et al. </w:t>
      </w:r>
      <w:r>
        <w:rPr>
          <w:b/>
        </w:rPr>
        <w:t>Handbook on Constructing Composite Indicators</w:t>
      </w:r>
      <w:r>
        <w:t>: methodology and user guide. Paris: OECD/JRC, 2008.</w:t>
      </w:r>
    </w:p>
    <w:p>
      <w:pPr>
        <w:jc w:val="both"/>
      </w:pPr>
      <w:r>
        <w:t xml:space="preserve">SECRETARIA MUNICIPAL DE SAÚDE DE BELO HORIZONTE. </w:t>
      </w:r>
      <w:r>
        <w:rPr>
          <w:b/>
        </w:rPr>
        <w:t>Índice de Vulnerabilidade à Saúde 2012</w:t>
      </w:r>
      <w:r>
        <w:t>. Belo Horizonte: SMS-BH, 2013.</w:t>
      </w:r>
    </w:p>
    <w:p>
      <w:pPr>
        <w:jc w:val="both"/>
      </w:pPr>
      <w:r>
        <w:t xml:space="preserve">PASSARELLI-ARAUJO, H. Índice de Saúde Urbana aplicado a capitais brasileiras, 2023. </w:t>
      </w:r>
      <w:r>
        <w:rPr>
          <w:i/>
        </w:rPr>
        <w:t>(referência citada na §3 do `GUIA_DO_PROJETO.md`; conferir os dados bibliográficos completos antes de citar no artigo.)</w:t>
      </w:r>
    </w:p>
    <w:p>
      <w:pPr>
        <w:jc w:val="both"/>
      </w:pPr>
      <w:r>
        <w:t xml:space="preserve">LIMA-COSTA, M. F.; BARRETO, S. M. Tipos de estudos epidemiológicos: conceitos básicos e aplicações na área do envelhecimento. </w:t>
      </w:r>
      <w:r>
        <w:rPr>
          <w:b/>
        </w:rPr>
        <w:t>Epidemiologia e Serviços de Saúde</w:t>
      </w:r>
      <w:r>
        <w:t>, v. 12, n. 4, p. 189–201, 2003.</w:t>
      </w:r>
    </w:p>
    <w:p>
      <w:pPr>
        <w:jc w:val="both"/>
      </w:pPr>
      <w:r>
        <w:t xml:space="preserve">IBGE. </w:t>
      </w:r>
      <w:r>
        <w:rPr>
          <w:b/>
        </w:rPr>
        <w:t>Censo Demográfico 2022</w:t>
      </w:r>
      <w:r>
        <w:t>: Favelas e Comunidades Urbanas — resultados do universo. Rio de Janeiro: IBGE, 2024.</w:t>
      </w:r>
    </w:p>
    <w:p>
      <w:pPr>
        <w:spacing w:after="40"/>
      </w:pPr>
    </w:p>
    <w:p>
      <w:pPr>
        <w:jc w:val="both"/>
      </w:pPr>
      <w:r>
        <w:rPr>
          <w:i/>
        </w:rPr>
        <w:t>Documentos do projeto citados: `GUIA_DO_PROJETO.md` (§6.2.6, §6.2.8, §6.2.10, §6.3, §8) · `docs/Relatorio_EDA_Fase3_IVS_ELSI.md` (§9, §13, §15) · `src/ivs_censo/indicadores.py`.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55C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