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CDA6" w14:textId="77777777" w:rsidR="00275F0E" w:rsidRDefault="00000000">
      <w:pPr>
        <w:pStyle w:val="Ttulo1"/>
        <w:spacing w:after="200"/>
      </w:pPr>
      <w:r>
        <w:rPr>
          <w:rFonts w:ascii="Cambria" w:eastAsia="Cambria" w:hAnsi="Cambria" w:cs="Cambria"/>
          <w:b/>
          <w:bCs/>
          <w:color w:val="0C2724"/>
          <w:sz w:val="34"/>
          <w:szCs w:val="34"/>
        </w:rPr>
        <w:t>Relatório de Análise Exploratória de Dados (EDA)</w:t>
      </w:r>
    </w:p>
    <w:p w14:paraId="09CF0032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IVS intraurbano — Censo Demográfico 2022 / ELSI-Brasil</w:t>
      </w:r>
    </w:p>
    <w:p w14:paraId="65473C0E" w14:textId="77777777" w:rsidR="00275F0E" w:rsidRDefault="00000000">
      <w:pPr>
        <w:pBdr>
          <w:left w:val="single" w:sz="12" w:space="12" w:color="0E6B62"/>
        </w:pBdr>
        <w:spacing w:before="120" w:after="160"/>
        <w:ind w:left="280"/>
      </w:pPr>
      <w:r>
        <w:rPr>
          <w:rFonts w:ascii="Calibri" w:eastAsia="Calibri" w:hAnsi="Calibri" w:cs="Calibri"/>
          <w:b/>
          <w:bCs/>
          <w:color w:val="14201E"/>
        </w:rPr>
        <w:t>Documento:</w:t>
      </w:r>
      <w:r>
        <w:rPr>
          <w:rFonts w:ascii="Calibri" w:eastAsia="Calibri" w:hAnsi="Calibri" w:cs="Calibri"/>
          <w:color w:val="14201E"/>
        </w:rPr>
        <w:t xml:space="preserve"> relatório técnico-interpretativo da análise exploratória da Fase 3. </w:t>
      </w:r>
      <w:r>
        <w:rPr>
          <w:rFonts w:ascii="Calibri" w:eastAsia="Calibri" w:hAnsi="Calibri" w:cs="Calibri"/>
          <w:b/>
          <w:bCs/>
          <w:color w:val="14201E"/>
        </w:rPr>
        <w:t>Pipeline:</w:t>
      </w:r>
      <w:r>
        <w:rPr>
          <w:rFonts w:ascii="Calibri" w:eastAsia="Calibri" w:hAnsi="Calibri" w:cs="Calibri"/>
          <w:color w:val="14201E"/>
        </w:rPr>
        <w:t xml:space="preserve"> </w:t>
      </w:r>
      <w:r>
        <w:rPr>
          <w:rFonts w:ascii="Consolas" w:eastAsia="Consolas" w:hAnsi="Consolas" w:cs="Consolas"/>
          <w:color w:val="0E6B62"/>
          <w:sz w:val="19"/>
          <w:szCs w:val="19"/>
        </w:rPr>
        <w:t>notebooks/Fase3_EDA_ELSI/02_Analises_Descritivas.ipynb</w:t>
      </w:r>
      <w:r>
        <w:rPr>
          <w:rFonts w:ascii="Calibri" w:eastAsia="Calibri" w:hAnsi="Calibri" w:cs="Calibri"/>
          <w:color w:val="14201E"/>
        </w:rPr>
        <w:t xml:space="preserve"> </w:t>
      </w:r>
      <w:r>
        <w:rPr>
          <w:rFonts w:ascii="Calibri" w:eastAsia="Calibri" w:hAnsi="Calibri" w:cs="Calibri"/>
          <w:b/>
          <w:bCs/>
          <w:color w:val="14201E"/>
        </w:rPr>
        <w:t>Insumos:</w:t>
      </w:r>
      <w:r>
        <w:rPr>
          <w:rFonts w:ascii="Calibri" w:eastAsia="Calibri" w:hAnsi="Calibri" w:cs="Calibri"/>
          <w:color w:val="14201E"/>
        </w:rPr>
        <w:t xml:space="preserve"> </w:t>
      </w:r>
      <w:proofErr w:type="spellStart"/>
      <w:r>
        <w:rPr>
          <w:rFonts w:ascii="Calibri" w:eastAsia="Calibri" w:hAnsi="Calibri" w:cs="Calibri"/>
          <w:color w:val="14201E"/>
        </w:rPr>
        <w:t>CSVs</w:t>
      </w:r>
      <w:proofErr w:type="spellEnd"/>
      <w:r>
        <w:rPr>
          <w:rFonts w:ascii="Calibri" w:eastAsia="Calibri" w:hAnsi="Calibri" w:cs="Calibri"/>
          <w:color w:val="14201E"/>
        </w:rPr>
        <w:t xml:space="preserve"> e figuras em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banco_de_dados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eda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r>
        <w:rPr>
          <w:rFonts w:ascii="Calibri" w:eastAsia="Calibri" w:hAnsi="Calibri" w:cs="Calibri"/>
          <w:color w:val="14201E"/>
        </w:rPr>
        <w:t xml:space="preserve"> </w:t>
      </w:r>
      <w:r>
        <w:rPr>
          <w:rFonts w:ascii="Calibri" w:eastAsia="Calibri" w:hAnsi="Calibri" w:cs="Calibri"/>
          <w:b/>
          <w:bCs/>
          <w:color w:val="14201E"/>
        </w:rPr>
        <w:t>Data:</w:t>
      </w:r>
      <w:r>
        <w:rPr>
          <w:rFonts w:ascii="Calibri" w:eastAsia="Calibri" w:hAnsi="Calibri" w:cs="Calibri"/>
          <w:color w:val="14201E"/>
        </w:rPr>
        <w:t xml:space="preserve"> 9 de agosto de 2026 (reescrito sobre o recorte urbano) </w:t>
      </w:r>
      <w:r>
        <w:rPr>
          <w:rFonts w:ascii="Calibri" w:eastAsia="Calibri" w:hAnsi="Calibri" w:cs="Calibri"/>
          <w:b/>
          <w:bCs/>
          <w:color w:val="14201E"/>
        </w:rPr>
        <w:t>Pesquisador:</w:t>
      </w:r>
      <w:r>
        <w:rPr>
          <w:rFonts w:ascii="Calibri" w:eastAsia="Calibri" w:hAnsi="Calibri" w:cs="Calibri"/>
          <w:color w:val="14201E"/>
        </w:rPr>
        <w:t xml:space="preserve"> Pedro Dias Soares — IC Fiocruz Minas / IRR</w:t>
      </w:r>
    </w:p>
    <w:p w14:paraId="78D7C045" w14:textId="3EF48285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mudou nesta versão.</w:t>
      </w:r>
      <w:r>
        <w:rPr>
          <w:rFonts w:ascii="Calibri" w:eastAsia="Calibri" w:hAnsi="Calibri" w:cs="Calibri"/>
          <w:sz w:val="21"/>
          <w:szCs w:val="21"/>
        </w:rPr>
        <w:t xml:space="preserve"> A anterior, de 12/06/2026, descrevia 106.281 setores elegíveis 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>com os rurais incluídos.</w:t>
      </w:r>
      <w:r>
        <w:rPr>
          <w:rFonts w:ascii="Calibri" w:eastAsia="Calibri" w:hAnsi="Calibri" w:cs="Calibri"/>
          <w:sz w:val="21"/>
          <w:szCs w:val="21"/>
        </w:rPr>
        <w:t xml:space="preserve"> Esta descreve o </w:t>
      </w:r>
      <w:r>
        <w:rPr>
          <w:rFonts w:ascii="Calibri" w:eastAsia="Calibri" w:hAnsi="Calibri" w:cs="Calibri"/>
          <w:b/>
          <w:bCs/>
          <w:sz w:val="21"/>
          <w:szCs w:val="21"/>
        </w:rPr>
        <w:t>recorte urbano de 104.108 setores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>incorpora a correção da regra de elegibilidade e acrescenta os blocos descritivos criados para atender às demandas de julho: envelhecimento populacional, tipo de domicílio e setores de favela.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07F81972" w14:textId="53BC15DF" w:rsidR="00275F0E" w:rsidRDefault="00000000">
      <w:pPr>
        <w:spacing w:after="140" w:line="276" w:lineRule="auto"/>
        <w:jc w:val="both"/>
      </w:pPr>
      <w:r w:rsidRPr="00FF1825">
        <w:rPr>
          <w:rFonts w:ascii="Calibri" w:eastAsia="Calibri" w:hAnsi="Calibri" w:cs="Calibri"/>
          <w:b/>
          <w:bCs/>
          <w:sz w:val="21"/>
          <w:szCs w:val="21"/>
          <w:highlight w:val="magenta"/>
        </w:rPr>
        <w:t>A seção 12 é nova e tem propósito distinto do resto.</w:t>
      </w:r>
      <w:r w:rsidRPr="00FF1825">
        <w:rPr>
          <w:rFonts w:ascii="Calibri" w:eastAsia="Calibri" w:hAnsi="Calibri" w:cs="Calibri"/>
          <w:sz w:val="21"/>
          <w:szCs w:val="21"/>
          <w:highlight w:val="magenta"/>
        </w:rPr>
        <w:t xml:space="preserve"> Enquanto as demais seções apresentam </w:t>
      </w:r>
      <w:r w:rsidRPr="00FF1825">
        <w:rPr>
          <w:rFonts w:ascii="Calibri" w:eastAsia="Calibri" w:hAnsi="Calibri" w:cs="Calibri"/>
          <w:i/>
          <w:iCs/>
          <w:sz w:val="21"/>
          <w:szCs w:val="21"/>
          <w:highlight w:val="magenta"/>
        </w:rPr>
        <w:t>resultados</w:t>
      </w:r>
      <w:r w:rsidRPr="00FF1825">
        <w:rPr>
          <w:rFonts w:ascii="Calibri" w:eastAsia="Calibri" w:hAnsi="Calibri" w:cs="Calibri"/>
          <w:sz w:val="21"/>
          <w:szCs w:val="21"/>
          <w:highlight w:val="magenta"/>
        </w:rPr>
        <w:t xml:space="preserve">, ela documenta o </w:t>
      </w:r>
      <w:r w:rsidRPr="00FF1825">
        <w:rPr>
          <w:rFonts w:ascii="Calibri" w:eastAsia="Calibri" w:hAnsi="Calibri" w:cs="Calibri"/>
          <w:i/>
          <w:iCs/>
          <w:sz w:val="21"/>
          <w:szCs w:val="21"/>
          <w:highlight w:val="magenta"/>
        </w:rPr>
        <w:t>caminho</w:t>
      </w:r>
      <w:r w:rsidRPr="00FF1825">
        <w:rPr>
          <w:rFonts w:ascii="Calibri" w:eastAsia="Calibri" w:hAnsi="Calibri" w:cs="Calibri"/>
          <w:sz w:val="21"/>
          <w:szCs w:val="21"/>
          <w:highlight w:val="magenta"/>
        </w:rPr>
        <w:t>: para cada demanda de julho, o que foi pedido, por que decidi como decidi incluindo as alternativas descartadas, o passo a passo da execução e o que verifiquei antes de aceitar cada número. Serve para que qualquer decisão possa ser auditada ou revertida sem depender da minha memória, e alimenta diretamente a seção de métodos do artigo.</w:t>
      </w:r>
    </w:p>
    <w:p w14:paraId="53F4DFFD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7441C1E0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Sumário Executivo</w:t>
      </w:r>
    </w:p>
    <w:p w14:paraId="19B7ADD5" w14:textId="56512FFA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 base analisada reúne </w:t>
      </w:r>
      <w:r>
        <w:rPr>
          <w:rFonts w:ascii="Calibri" w:eastAsia="Calibri" w:hAnsi="Calibri" w:cs="Calibri"/>
          <w:b/>
          <w:bCs/>
          <w:sz w:val="21"/>
          <w:szCs w:val="21"/>
        </w:rPr>
        <w:t>104.108 setores censitários urbanos</w:t>
      </w:r>
      <w:r>
        <w:rPr>
          <w:rFonts w:ascii="Calibri" w:eastAsia="Calibri" w:hAnsi="Calibri" w:cs="Calibri"/>
          <w:sz w:val="21"/>
          <w:szCs w:val="21"/>
        </w:rPr>
        <w:t xml:space="preserve"> dos 70 municípios da amostra do ELSI-Brasil, com 52,1 milhões de residentes. Sobre eles calculei </w:t>
      </w:r>
      <w:r w:rsidR="00732003">
        <w:rPr>
          <w:rFonts w:ascii="Calibri" w:eastAsia="Calibri" w:hAnsi="Calibri" w:cs="Calibri"/>
          <w:sz w:val="21"/>
          <w:szCs w:val="21"/>
        </w:rPr>
        <w:t>as sete variáveis-componentes</w:t>
      </w:r>
      <w:r>
        <w:rPr>
          <w:rFonts w:ascii="Calibri" w:eastAsia="Calibri" w:hAnsi="Calibri" w:cs="Calibri"/>
          <w:sz w:val="21"/>
          <w:szCs w:val="21"/>
        </w:rPr>
        <w:t xml:space="preserve"> do IVS e mais dezesseis indicadores descritivos.</w:t>
      </w:r>
    </w:p>
    <w:p w14:paraId="369476C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Cinco conclusões que orientam a próxima etapa:</w:t>
      </w:r>
    </w:p>
    <w:p w14:paraId="789EA00A" w14:textId="77777777" w:rsidR="00275F0E" w:rsidRPr="00FF1825" w:rsidRDefault="00000000">
      <w:pPr>
        <w:pStyle w:val="PargrafodaLista"/>
        <w:numPr>
          <w:ilvl w:val="0"/>
          <w:numId w:val="2"/>
        </w:numPr>
        <w:spacing w:after="70"/>
        <w:rPr>
          <w:highlight w:val="yellow"/>
        </w:rPr>
      </w:pPr>
      <w:r w:rsidRPr="00FF1825">
        <w:rPr>
          <w:rFonts w:ascii="Calibri" w:eastAsia="Calibri" w:hAnsi="Calibri" w:cs="Calibri"/>
          <w:b/>
          <w:bCs/>
          <w:sz w:val="21"/>
          <w:szCs w:val="21"/>
          <w:highlight w:val="yellow"/>
        </w:rPr>
        <w:t>As três variáveis de saneamento têm mediana zero.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Em mais da metade dos setores urbanos, água, esgoto e lixo estão integralmente adequados. As distribuições são infladas de zeros, com coeficientes de variação entre 218% e 284%. Isso invalida a regra do IQR para detectar outliers nessas variáveis e condiciona a escolha do método de normalização.</w:t>
      </w:r>
    </w:p>
    <w:p w14:paraId="786E8C5A" w14:textId="77777777" w:rsidR="00275F0E" w:rsidRPr="00FF1825" w:rsidRDefault="00000000">
      <w:pPr>
        <w:pStyle w:val="PargrafodaLista"/>
        <w:numPr>
          <w:ilvl w:val="0"/>
          <w:numId w:val="2"/>
        </w:numPr>
        <w:spacing w:after="70"/>
        <w:rPr>
          <w:highlight w:val="yellow"/>
        </w:rPr>
      </w:pPr>
      <w:r w:rsidRPr="00FF1825">
        <w:rPr>
          <w:rFonts w:ascii="Calibri" w:eastAsia="Calibri" w:hAnsi="Calibri" w:cs="Calibri"/>
          <w:b/>
          <w:bCs/>
          <w:sz w:val="21"/>
          <w:szCs w:val="21"/>
          <w:highlight w:val="yellow"/>
        </w:rPr>
        <w:t>A renda é fortemente assimétrica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(média R$ 4.187, mediana R$ 2.572, máximo R$ 170.418; assimetria 3,74 e curtose 49,5). A normalização min-</w:t>
      </w:r>
      <w:proofErr w:type="spellStart"/>
      <w:r w:rsidRPr="00FF1825">
        <w:rPr>
          <w:rFonts w:ascii="Calibri" w:eastAsia="Calibri" w:hAnsi="Calibri" w:cs="Calibri"/>
          <w:sz w:val="21"/>
          <w:szCs w:val="21"/>
          <w:highlight w:val="yellow"/>
        </w:rPr>
        <w:t>max</w:t>
      </w:r>
      <w:proofErr w:type="spellEnd"/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global comprime quase todos os setores num canto da escala e </w:t>
      </w:r>
      <w:r w:rsidRPr="00FF1825">
        <w:rPr>
          <w:rFonts w:ascii="Calibri" w:eastAsia="Calibri" w:hAnsi="Calibri" w:cs="Calibri"/>
          <w:b/>
          <w:bCs/>
          <w:sz w:val="21"/>
          <w:szCs w:val="21"/>
          <w:highlight w:val="yellow"/>
        </w:rPr>
        <w:t>precisa ser substituída por normalização por município.</w:t>
      </w:r>
    </w:p>
    <w:p w14:paraId="440B481D" w14:textId="77777777" w:rsidR="00275F0E" w:rsidRPr="00FF1825" w:rsidRDefault="00000000">
      <w:pPr>
        <w:pStyle w:val="PargrafodaLista"/>
        <w:numPr>
          <w:ilvl w:val="0"/>
          <w:numId w:val="2"/>
        </w:numPr>
        <w:spacing w:after="70"/>
        <w:rPr>
          <w:highlight w:val="yellow"/>
        </w:rPr>
      </w:pPr>
      <w:r w:rsidRPr="00FF1825">
        <w:rPr>
          <w:rFonts w:ascii="Calibri" w:eastAsia="Calibri" w:hAnsi="Calibri" w:cs="Calibri"/>
          <w:b/>
          <w:bCs/>
          <w:sz w:val="21"/>
          <w:szCs w:val="21"/>
          <w:highlight w:val="yellow"/>
        </w:rPr>
        <w:t>O analfabetismo tem 15,9% de dados faltantes, de forma não aleatória.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O sigilo do IBGE incide justamente onde a contagem absoluta de analfabetos é pequena, ou seja, nos setores de menor vulnerabilidade educacional. Imputar zero enviesaria o índice.</w:t>
      </w:r>
    </w:p>
    <w:p w14:paraId="7FDA5E44" w14:textId="77777777" w:rsidR="00275F0E" w:rsidRPr="00FF1825" w:rsidRDefault="00000000">
      <w:pPr>
        <w:pStyle w:val="PargrafodaLista"/>
        <w:numPr>
          <w:ilvl w:val="0"/>
          <w:numId w:val="2"/>
        </w:numPr>
        <w:spacing w:after="70"/>
        <w:rPr>
          <w:highlight w:val="yellow"/>
        </w:rPr>
      </w:pPr>
      <w:r w:rsidRPr="00FF1825">
        <w:rPr>
          <w:rFonts w:ascii="Calibri" w:eastAsia="Calibri" w:hAnsi="Calibri" w:cs="Calibri"/>
          <w:b/>
          <w:bCs/>
          <w:sz w:val="21"/>
          <w:szCs w:val="21"/>
          <w:highlight w:val="yellow"/>
        </w:rPr>
        <w:t>Renda, cor/raça e analfabetismo são fortemente colineares</w:t>
      </w:r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(</w:t>
      </w:r>
      <w:proofErr w:type="spellStart"/>
      <w:r w:rsidRPr="00FF1825">
        <w:rPr>
          <w:rFonts w:ascii="Calibri" w:eastAsia="Calibri" w:hAnsi="Calibri" w:cs="Calibri"/>
          <w:sz w:val="21"/>
          <w:szCs w:val="21"/>
          <w:highlight w:val="yellow"/>
        </w:rPr>
        <w:t>Spearman</w:t>
      </w:r>
      <w:proofErr w:type="spellEnd"/>
      <w:r w:rsidRPr="00FF1825">
        <w:rPr>
          <w:rFonts w:ascii="Calibri" w:eastAsia="Calibri" w:hAnsi="Calibri" w:cs="Calibri"/>
          <w:sz w:val="21"/>
          <w:szCs w:val="21"/>
          <w:highlight w:val="yellow"/>
        </w:rPr>
        <w:t xml:space="preserve"> de −0,81 e −0,76 com a renda). A análise fatorial provavelmente extrairá um fator socioeconômico dominante carregado por essas três variáveis.</w:t>
      </w:r>
    </w:p>
    <w:p w14:paraId="775F5FD2" w14:textId="77777777" w:rsidR="00275F0E" w:rsidRPr="00946BA3" w:rsidRDefault="00000000">
      <w:pPr>
        <w:pStyle w:val="PargrafodaLista"/>
        <w:numPr>
          <w:ilvl w:val="0"/>
          <w:numId w:val="2"/>
        </w:numPr>
        <w:spacing w:after="70"/>
        <w:rPr>
          <w:highlight w:val="yellow"/>
        </w:rPr>
      </w:pP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O lixo inadequado se comporta de forma independente das demais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(correlações de 0,10 a 0,20, e −0,06 com a razão de moradores) e é a única variável em que o recorte ELSI está pior que o Brasil urbano. Há indício de que ele esteja capturando porte urbano em vez de vulnerabilidade.</w:t>
      </w:r>
    </w:p>
    <w:p w14:paraId="20EBE4B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Validação externa da pipeline.</w:t>
      </w:r>
      <w:r>
        <w:rPr>
          <w:rFonts w:ascii="Calibri" w:eastAsia="Calibri" w:hAnsi="Calibri" w:cs="Calibri"/>
          <w:sz w:val="21"/>
          <w:szCs w:val="21"/>
        </w:rPr>
        <w:t xml:space="preserve"> Aplicando as mesmas fórmulas aos 468.099 setores do país, o índice de envelhecimento agregado resultou em </w:t>
      </w:r>
      <w:r>
        <w:rPr>
          <w:rFonts w:ascii="Calibri" w:eastAsia="Calibri" w:hAnsi="Calibri" w:cs="Calibri"/>
          <w:b/>
          <w:bCs/>
          <w:sz w:val="21"/>
          <w:szCs w:val="21"/>
        </w:rPr>
        <w:t>79,99</w:t>
      </w:r>
      <w:r>
        <w:rPr>
          <w:rFonts w:ascii="Calibri" w:eastAsia="Calibri" w:hAnsi="Calibri" w:cs="Calibri"/>
          <w:sz w:val="21"/>
          <w:szCs w:val="21"/>
        </w:rPr>
        <w:t xml:space="preserve"> contra os </w:t>
      </w:r>
      <w:r>
        <w:rPr>
          <w:rFonts w:ascii="Calibri" w:eastAsia="Calibri" w:hAnsi="Calibri" w:cs="Calibri"/>
          <w:b/>
          <w:bCs/>
          <w:sz w:val="21"/>
          <w:szCs w:val="21"/>
        </w:rPr>
        <w:t>80,0</w:t>
      </w:r>
      <w:r>
        <w:rPr>
          <w:rFonts w:ascii="Calibri" w:eastAsia="Calibri" w:hAnsi="Calibri" w:cs="Calibri"/>
          <w:sz w:val="21"/>
          <w:szCs w:val="21"/>
        </w:rPr>
        <w:t xml:space="preserve"> publicados pelo IBGE, e a população somou </w:t>
      </w:r>
      <w:r>
        <w:rPr>
          <w:rFonts w:ascii="Calibri" w:eastAsia="Calibri" w:hAnsi="Calibri" w:cs="Calibri"/>
          <w:b/>
          <w:bCs/>
          <w:sz w:val="21"/>
          <w:szCs w:val="21"/>
        </w:rPr>
        <w:t>203.080.756</w:t>
      </w:r>
      <w:r>
        <w:rPr>
          <w:rFonts w:ascii="Calibri" w:eastAsia="Calibri" w:hAnsi="Calibri" w:cs="Calibri"/>
          <w:sz w:val="21"/>
          <w:szCs w:val="21"/>
        </w:rPr>
        <w:t>, o número oficial do Censo 2022.</w:t>
      </w:r>
    </w:p>
    <w:p w14:paraId="14B209D7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63037F42" w14:textId="77777777" w:rsidR="00946BA3" w:rsidRDefault="00946BA3">
      <w:pPr>
        <w:pBdr>
          <w:bottom w:val="single" w:sz="6" w:space="0" w:color="D5DEDB"/>
        </w:pBdr>
        <w:spacing w:before="200" w:after="200"/>
      </w:pPr>
    </w:p>
    <w:p w14:paraId="68E1425C" w14:textId="77777777" w:rsidR="00946BA3" w:rsidRDefault="00946BA3">
      <w:pPr>
        <w:pBdr>
          <w:bottom w:val="single" w:sz="6" w:space="0" w:color="D5DEDB"/>
        </w:pBdr>
        <w:spacing w:before="200" w:after="200"/>
      </w:pPr>
    </w:p>
    <w:p w14:paraId="4EBD6BCB" w14:textId="77777777" w:rsidR="00946BA3" w:rsidRDefault="00946BA3">
      <w:pPr>
        <w:pBdr>
          <w:bottom w:val="single" w:sz="6" w:space="0" w:color="D5DEDB"/>
        </w:pBdr>
        <w:spacing w:before="200" w:after="200"/>
      </w:pPr>
    </w:p>
    <w:p w14:paraId="0D3029EB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1. Introdução</w:t>
      </w:r>
    </w:p>
    <w:p w14:paraId="0BC4C150" w14:textId="77777777" w:rsidR="00275F0E" w:rsidRDefault="00000000">
      <w:pPr>
        <w:spacing w:after="140" w:line="276" w:lineRule="auto"/>
        <w:jc w:val="both"/>
      </w:pPr>
      <w:r w:rsidRPr="00946BA3">
        <w:rPr>
          <w:rFonts w:ascii="Calibri" w:eastAsia="Calibri" w:hAnsi="Calibri" w:cs="Calibri"/>
          <w:b/>
          <w:bCs/>
          <w:sz w:val="21"/>
          <w:szCs w:val="21"/>
        </w:rPr>
        <w:t xml:space="preserve">Esta EDA antecede a construção do índice. 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Seu objetivo não é medir vulnerabilidade, e sim responder a três perguntas que determinam como o índice poderá ser construído:</w:t>
      </w:r>
    </w:p>
    <w:p w14:paraId="1638E299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Qual a forma das distribuições?</w:t>
      </w:r>
      <w:r>
        <w:rPr>
          <w:rFonts w:ascii="Calibri" w:eastAsia="Calibri" w:hAnsi="Calibri" w:cs="Calibri"/>
          <w:sz w:val="21"/>
          <w:szCs w:val="21"/>
        </w:rPr>
        <w:t xml:space="preserve"> Define se a padronização min-</w:t>
      </w:r>
      <w:proofErr w:type="spellStart"/>
      <w:r>
        <w:rPr>
          <w:rFonts w:ascii="Calibri" w:eastAsia="Calibri" w:hAnsi="Calibri" w:cs="Calibri"/>
          <w:sz w:val="21"/>
          <w:szCs w:val="21"/>
        </w:rPr>
        <w:t>max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adequada e se as variáveis precisam de transformação.</w:t>
      </w:r>
    </w:p>
    <w:p w14:paraId="1F59B477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Onde faltam dados, e o padrão de ausência é aleatório?</w:t>
      </w:r>
      <w:r>
        <w:rPr>
          <w:rFonts w:ascii="Calibri" w:eastAsia="Calibri" w:hAnsi="Calibri" w:cs="Calibri"/>
          <w:sz w:val="21"/>
          <w:szCs w:val="21"/>
        </w:rPr>
        <w:t xml:space="preserve"> Define a política de tratamento do sigilo no cálculo final.</w:t>
      </w:r>
    </w:p>
    <w:p w14:paraId="4F6D0B8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As sete variáveis medem construtos distintos?</w:t>
      </w:r>
      <w:r>
        <w:rPr>
          <w:rFonts w:ascii="Calibri" w:eastAsia="Calibri" w:hAnsi="Calibri" w:cs="Calibri"/>
          <w:sz w:val="21"/>
          <w:szCs w:val="21"/>
        </w:rPr>
        <w:t xml:space="preserve"> Define se a ponderação pode ser empírica (análise fatorial) e quantos fatores esperar.</w:t>
      </w:r>
    </w:p>
    <w:p w14:paraId="255F184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referencial de organização é o framework de EDA da FIOCRUZ (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/guia_analises.docx</w:t>
      </w:r>
      <w:r>
        <w:rPr>
          <w:rFonts w:ascii="Calibri" w:eastAsia="Calibri" w:hAnsi="Calibri" w:cs="Calibri"/>
          <w:sz w:val="21"/>
          <w:szCs w:val="21"/>
        </w:rPr>
        <w:t>): medidas de tendência central e dispersão, gráficos de distribuição, análise de outliers, análise de dados faltantes e estrutura de correlação.</w:t>
      </w:r>
    </w:p>
    <w:p w14:paraId="4C33090D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5CEF0679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2. Universo Amostral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1205"/>
        <w:gridCol w:w="1807"/>
        <w:gridCol w:w="1084"/>
        <w:gridCol w:w="1084"/>
        <w:gridCol w:w="3012"/>
      </w:tblGrid>
      <w:tr w:rsidR="00275F0E" w14:paraId="32E81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2620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Região</w:t>
            </w:r>
          </w:p>
        </w:tc>
        <w:tc>
          <w:tcPr>
            <w:tcW w:w="120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6F1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Municípios</w:t>
            </w:r>
          </w:p>
        </w:tc>
        <w:tc>
          <w:tcPr>
            <w:tcW w:w="180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B56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Setores na base</w:t>
            </w:r>
          </w:p>
        </w:tc>
        <w:tc>
          <w:tcPr>
            <w:tcW w:w="108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12A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Rurais</w:t>
            </w:r>
          </w:p>
        </w:tc>
        <w:tc>
          <w:tcPr>
            <w:tcW w:w="108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492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 rural</w:t>
            </w:r>
          </w:p>
        </w:tc>
        <w:tc>
          <w:tcPr>
            <w:tcW w:w="301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A87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Setores urbanos elegíveis</w:t>
            </w:r>
          </w:p>
        </w:tc>
      </w:tr>
      <w:tr w:rsidR="00275F0E" w14:paraId="659116BE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175E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Sudeste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531A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</w:t>
            </w:r>
          </w:p>
        </w:tc>
        <w:tc>
          <w:tcPr>
            <w:tcW w:w="18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DB9F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64.291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50A3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859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5714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1,34%</w:t>
            </w:r>
          </w:p>
        </w:tc>
        <w:tc>
          <w:tcPr>
            <w:tcW w:w="30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7FC2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61.989</w:t>
            </w:r>
          </w:p>
        </w:tc>
      </w:tr>
      <w:tr w:rsidR="00275F0E" w14:paraId="2FE6EDDD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2682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Nordeste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2F7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80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6D76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20.548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1E6F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577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6E1E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2,81%</w:t>
            </w:r>
          </w:p>
        </w:tc>
        <w:tc>
          <w:tcPr>
            <w:tcW w:w="301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4658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19.497</w:t>
            </w:r>
          </w:p>
        </w:tc>
      </w:tr>
      <w:tr w:rsidR="00275F0E" w14:paraId="1F7BBDCA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0159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Centro-Oeste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A428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18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7707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10.186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15D6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544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8A3F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5,34%</w:t>
            </w:r>
          </w:p>
        </w:tc>
        <w:tc>
          <w:tcPr>
            <w:tcW w:w="30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6FE0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9.490</w:t>
            </w:r>
          </w:p>
        </w:tc>
      </w:tr>
      <w:tr w:rsidR="00275F0E" w14:paraId="5BD21D4D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CBC3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Sul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E191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80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4A82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7.486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28C5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167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EF91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2,23%</w:t>
            </w:r>
          </w:p>
        </w:tc>
        <w:tc>
          <w:tcPr>
            <w:tcW w:w="301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5C6A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7.217</w:t>
            </w:r>
          </w:p>
        </w:tc>
      </w:tr>
      <w:tr w:rsidR="00275F0E" w14:paraId="1676C8E1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AF4C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Norte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C6B8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8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5E49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6.521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F913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460</w:t>
            </w:r>
          </w:p>
        </w:tc>
        <w:tc>
          <w:tcPr>
            <w:tcW w:w="10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3617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7,05%</w:t>
            </w:r>
          </w:p>
        </w:tc>
        <w:tc>
          <w:tcPr>
            <w:tcW w:w="30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00FB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5.915</w:t>
            </w:r>
          </w:p>
        </w:tc>
      </w:tr>
      <w:tr w:rsidR="00275F0E" w14:paraId="0AC0611A" w14:textId="77777777">
        <w:tblPrEx>
          <w:tblCellMar>
            <w:top w:w="0" w:type="dxa"/>
            <w:bottom w:w="0" w:type="dxa"/>
          </w:tblCellMar>
        </w:tblPrEx>
        <w:tc>
          <w:tcPr>
            <w:tcW w:w="144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50F77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F3D1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70</w:t>
            </w:r>
          </w:p>
        </w:tc>
        <w:tc>
          <w:tcPr>
            <w:tcW w:w="180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88F8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109.032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6E99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2.607</w:t>
            </w:r>
          </w:p>
        </w:tc>
        <w:tc>
          <w:tcPr>
            <w:tcW w:w="108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CEF0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2,39%</w:t>
            </w:r>
          </w:p>
        </w:tc>
        <w:tc>
          <w:tcPr>
            <w:tcW w:w="301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A7B7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104.108</w:t>
            </w:r>
          </w:p>
        </w:tc>
      </w:tr>
    </w:tbl>
    <w:p w14:paraId="1159CB22" w14:textId="77777777" w:rsidR="00275F0E" w:rsidRDefault="00275F0E">
      <w:pPr>
        <w:spacing w:after="160"/>
      </w:pPr>
    </w:p>
    <w:p w14:paraId="3CD2A308" w14:textId="77777777" w:rsidR="00275F0E" w:rsidRDefault="00000000">
      <w:pPr>
        <w:spacing w:after="140" w:line="276" w:lineRule="auto"/>
        <w:jc w:val="both"/>
      </w:pP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O </w:t>
      </w: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Sudeste concentra 59% dos setores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da amostra. São Paulo sozinho responde por 27.301 setores e o Rio de Janeiro por 13.782. Qualquer média simples entre setores é, na prática, dominada pelas grandes capitais do Sudeste — o que precisa ser considerado ao interpretar os agregados do recorte.</w:t>
      </w:r>
    </w:p>
    <w:p w14:paraId="77C52EEA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62A5AC02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3. Tratamento e Elegibilidade</w:t>
      </w:r>
    </w:p>
    <w:p w14:paraId="08C4C33D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3.1 Sigilo do IBGE</w:t>
      </w:r>
    </w:p>
    <w:p w14:paraId="7F82ADF5" w14:textId="77777777" w:rsidR="00275F0E" w:rsidRDefault="00000000">
      <w:pPr>
        <w:spacing w:after="140" w:line="276" w:lineRule="auto"/>
        <w:jc w:val="both"/>
      </w:pPr>
      <w:r w:rsidRPr="00946BA3">
        <w:rPr>
          <w:rFonts w:ascii="Calibri" w:eastAsia="Calibri" w:hAnsi="Calibri" w:cs="Calibri"/>
          <w:b/>
          <w:bCs/>
          <w:sz w:val="21"/>
          <w:szCs w:val="21"/>
        </w:rPr>
        <w:t xml:space="preserve">O IBGE substitui contagens muito pequenas pela letra </w:t>
      </w:r>
      <w:r w:rsidRPr="00946BA3">
        <w:rPr>
          <w:rFonts w:ascii="Consolas" w:eastAsia="Consolas" w:hAnsi="Consolas" w:cs="Consolas"/>
          <w:b/>
          <w:bCs/>
          <w:color w:val="0E6B62"/>
          <w:sz w:val="19"/>
          <w:szCs w:val="19"/>
        </w:rPr>
        <w:t>X</w:t>
      </w:r>
      <w:r w:rsidRPr="00946BA3">
        <w:rPr>
          <w:rFonts w:ascii="Calibri" w:eastAsia="Calibri" w:hAnsi="Calibri" w:cs="Calibri"/>
          <w:b/>
          <w:bCs/>
          <w:sz w:val="21"/>
          <w:szCs w:val="21"/>
        </w:rPr>
        <w:t xml:space="preserve">. 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A base bruta preserva o marcador; a conversão para </w:t>
      </w:r>
      <w:proofErr w:type="spellStart"/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NaN</w:t>
      </w:r>
      <w:proofErr w:type="spellEnd"/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ocorre no início do notebook de análise.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Pr="00946BA3">
        <w:rPr>
          <w:rFonts w:ascii="Calibri" w:eastAsia="Calibri" w:hAnsi="Calibri" w:cs="Calibri"/>
          <w:b/>
          <w:bCs/>
          <w:sz w:val="21"/>
          <w:szCs w:val="21"/>
        </w:rPr>
        <w:t xml:space="preserve">Nas somas de numerador uso </w:t>
      </w:r>
      <w:proofErr w:type="spellStart"/>
      <w:r w:rsidRPr="00946BA3">
        <w:rPr>
          <w:rFonts w:ascii="Consolas" w:eastAsia="Consolas" w:hAnsi="Consolas" w:cs="Consolas"/>
          <w:b/>
          <w:bCs/>
          <w:color w:val="0E6B62"/>
          <w:sz w:val="19"/>
          <w:szCs w:val="19"/>
        </w:rPr>
        <w:t>min_count</w:t>
      </w:r>
      <w:proofErr w:type="spellEnd"/>
      <w:r w:rsidRPr="00946BA3">
        <w:rPr>
          <w:rFonts w:ascii="Consolas" w:eastAsia="Consolas" w:hAnsi="Consolas" w:cs="Consolas"/>
          <w:b/>
          <w:bCs/>
          <w:color w:val="0E6B62"/>
          <w:sz w:val="19"/>
          <w:szCs w:val="19"/>
        </w:rPr>
        <w:t>=1</w:t>
      </w:r>
      <w:r w:rsidRPr="00946BA3">
        <w:rPr>
          <w:rFonts w:ascii="Calibri" w:eastAsia="Calibri" w:hAnsi="Calibri" w:cs="Calibri"/>
          <w:b/>
          <w:bCs/>
          <w:sz w:val="21"/>
          <w:szCs w:val="21"/>
        </w:rPr>
        <w:t>: o indicador só resulta ausente quando todas as parcelas estão sigilosas, nunca zero silencioso.</w:t>
      </w:r>
    </w:p>
    <w:p w14:paraId="5358960D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3.2 Separador decimal</w:t>
      </w:r>
    </w:p>
    <w:p w14:paraId="088148EB" w14:textId="77777777" w:rsidR="00275F0E" w:rsidRDefault="00000000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  <w:r w:rsidRPr="00946BA3">
        <w:rPr>
          <w:rFonts w:ascii="Calibri" w:eastAsia="Calibri" w:hAnsi="Calibri" w:cs="Calibri"/>
          <w:sz w:val="21"/>
          <w:szCs w:val="21"/>
          <w:highlight w:val="yellow"/>
        </w:rPr>
        <w:t>O rendimento médio (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V06004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) vem com vírgula decimal (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2453,03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). Sem a substituição por ponto antes da conversão numérica, a coluna inteira se tornaria nula. O tratamento está na célula 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step2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.</w:t>
      </w:r>
    </w:p>
    <w:p w14:paraId="660DBD72" w14:textId="77777777" w:rsidR="00946BA3" w:rsidRDefault="00946BA3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32F8B6CA" w14:textId="77777777" w:rsidR="00946BA3" w:rsidRDefault="00946BA3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4C4C78E8" w14:textId="77777777" w:rsidR="00946BA3" w:rsidRDefault="00946BA3">
      <w:pPr>
        <w:spacing w:after="140" w:line="276" w:lineRule="auto"/>
        <w:jc w:val="both"/>
      </w:pPr>
    </w:p>
    <w:p w14:paraId="62D70AD4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lastRenderedPageBreak/>
        <w:t>3.3 Classificação `</w:t>
      </w:r>
      <w:proofErr w:type="spellStart"/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Dados_sig</w:t>
      </w:r>
      <w:proofErr w:type="spellEnd"/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`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5756"/>
        <w:gridCol w:w="1472"/>
        <w:gridCol w:w="1339"/>
      </w:tblGrid>
      <w:tr w:rsidR="00275F0E" w14:paraId="529F8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1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4E57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575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4BF3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47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9C4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Setores</w:t>
            </w:r>
          </w:p>
        </w:tc>
        <w:tc>
          <w:tcPr>
            <w:tcW w:w="1339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BC3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275F0E" w14:paraId="0C53E730" w14:textId="77777777">
        <w:tblPrEx>
          <w:tblCellMar>
            <w:top w:w="0" w:type="dxa"/>
            <w:bottom w:w="0" w:type="dxa"/>
          </w:tblCellMar>
        </w:tblPrEx>
        <w:tc>
          <w:tcPr>
            <w:tcW w:w="107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3E93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ZERADO</w:t>
            </w:r>
          </w:p>
        </w:tc>
        <w:tc>
          <w:tcPr>
            <w:tcW w:w="57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66860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v0001 = 0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— setor sem população residente</w:t>
            </w:r>
          </w:p>
        </w:tc>
        <w:tc>
          <w:tcPr>
            <w:tcW w:w="14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F07B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1.736</w:t>
            </w:r>
          </w:p>
        </w:tc>
        <w:tc>
          <w:tcPr>
            <w:tcW w:w="13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7ACF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1,59%</w:t>
            </w:r>
          </w:p>
        </w:tc>
      </w:tr>
      <w:tr w:rsidR="00275F0E" w14:paraId="72830E57" w14:textId="77777777">
        <w:tblPrEx>
          <w:tblCellMar>
            <w:top w:w="0" w:type="dxa"/>
            <w:bottom w:w="0" w:type="dxa"/>
          </w:tblCellMar>
        </w:tblPrEx>
        <w:tc>
          <w:tcPr>
            <w:tcW w:w="1071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8D34A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SIGILOSO</w:t>
            </w:r>
          </w:p>
        </w:tc>
        <w:tc>
          <w:tcPr>
            <w:tcW w:w="575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E6FDC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v0001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ou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V00001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suprimidos pelo IBGE</w:t>
            </w:r>
          </w:p>
        </w:tc>
        <w:tc>
          <w:tcPr>
            <w:tcW w:w="147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62AA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1.015</w:t>
            </w:r>
          </w:p>
        </w:tc>
        <w:tc>
          <w:tcPr>
            <w:tcW w:w="13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0344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0,93%</w:t>
            </w:r>
          </w:p>
        </w:tc>
      </w:tr>
      <w:tr w:rsidR="00275F0E" w14:paraId="01EC0B89" w14:textId="77777777">
        <w:tblPrEx>
          <w:tblCellMar>
            <w:top w:w="0" w:type="dxa"/>
            <w:bottom w:w="0" w:type="dxa"/>
          </w:tblCellMar>
        </w:tblPrEx>
        <w:tc>
          <w:tcPr>
            <w:tcW w:w="107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A0B6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COLETIVO</w:t>
            </w:r>
          </w:p>
        </w:tc>
        <w:tc>
          <w:tcPr>
            <w:tcW w:w="57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53D1F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V00001 = 0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 população &gt; 0</w:t>
            </w:r>
          </w:p>
        </w:tc>
        <w:tc>
          <w:tcPr>
            <w:tcW w:w="14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6B70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  <w:tc>
          <w:tcPr>
            <w:tcW w:w="13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7C56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—</w:t>
            </w:r>
          </w:p>
        </w:tc>
      </w:tr>
      <w:tr w:rsidR="00275F0E" w14:paraId="291C65AC" w14:textId="77777777">
        <w:tblPrEx>
          <w:tblCellMar>
            <w:top w:w="0" w:type="dxa"/>
            <w:bottom w:w="0" w:type="dxa"/>
          </w:tblCellMar>
        </w:tblPrEx>
        <w:tc>
          <w:tcPr>
            <w:tcW w:w="1071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32C75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OK</w:t>
            </w:r>
          </w:p>
        </w:tc>
        <w:tc>
          <w:tcPr>
            <w:tcW w:w="575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D6C5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participa da análise</w:t>
            </w:r>
          </w:p>
        </w:tc>
        <w:tc>
          <w:tcPr>
            <w:tcW w:w="147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2C67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106.281</w:t>
            </w:r>
          </w:p>
        </w:tc>
        <w:tc>
          <w:tcPr>
            <w:tcW w:w="13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469D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97,48%</w:t>
            </w:r>
          </w:p>
        </w:tc>
      </w:tr>
    </w:tbl>
    <w:p w14:paraId="41753CCB" w14:textId="77777777" w:rsidR="00275F0E" w:rsidRDefault="00275F0E">
      <w:pPr>
        <w:spacing w:after="160"/>
      </w:pPr>
    </w:p>
    <w:p w14:paraId="49AA1242" w14:textId="77777777" w:rsidR="00275F0E" w:rsidRDefault="00000000">
      <w:pPr>
        <w:spacing w:after="140" w:line="276" w:lineRule="auto"/>
        <w:jc w:val="both"/>
      </w:pP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Correção aplicada em 09/08/2026.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A condição de sigilo estava sendo avaliada antes da condição de população zero. Com isso, 1.736 setores sem população — entre eles os 78 de massa d'água (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CD_SIT = 9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) — eram rotulados 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SIGILOSO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, isto é, contados como dado suprimido pelo IBGE. Invertida a ordem, o sigilo real caiu de 2.751 para 1.015 setores. Nenhum setor 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OK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mudou de classe: a correção não altera o conjunto analisado, apenas deixa de superestimar a supressão nos relatórios.</w:t>
      </w:r>
    </w:p>
    <w:p w14:paraId="1C8B5801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3.4 Recorte urbano</w:t>
      </w:r>
    </w:p>
    <w:p w14:paraId="28BBD2AA" w14:textId="72A7A718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IVS é um índice intraurbano. Setores rurais entram na base porque o recorte é municipal, mas não pertencem ao objeto de análise. 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O filtro (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SITUACAO = 'Urbana'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, equivalente a 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CD_SIT ∈ {1, 2, 3}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) é aplicado no notebook de análise, e não na extração</w:t>
      </w:r>
      <w:r>
        <w:rPr>
          <w:rFonts w:ascii="Calibri" w:eastAsia="Calibri" w:hAnsi="Calibri" w:cs="Calibri"/>
          <w:sz w:val="21"/>
          <w:szCs w:val="21"/>
        </w:rPr>
        <w:t xml:space="preserve"> a base bruta preserva os 109.032 setores, 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o que torna a exclusão auditável e reversível.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278"/>
      </w:tblGrid>
      <w:tr w:rsidR="00275F0E" w14:paraId="0A44BF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955B" w14:textId="77777777" w:rsidR="00275F0E" w:rsidRDefault="00275F0E"/>
        </w:tc>
        <w:tc>
          <w:tcPr>
            <w:tcW w:w="227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967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Setores</w:t>
            </w:r>
          </w:p>
        </w:tc>
      </w:tr>
      <w:tr w:rsidR="00275F0E" w14:paraId="5186E1D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1615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Base bruta dos 70 municípios</w:t>
            </w:r>
          </w:p>
        </w:tc>
        <w:tc>
          <w:tcPr>
            <w:tcW w:w="22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DCE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109.032</w:t>
            </w:r>
          </w:p>
        </w:tc>
      </w:tr>
      <w:tr w:rsidR="00275F0E" w14:paraId="2DC07EC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27B6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Elegíveis (</w:t>
            </w:r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Dados_sig</w:t>
            </w:r>
            <w:proofErr w:type="spellEnd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 xml:space="preserve"> = OK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227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4DBC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106.281</w:t>
            </w:r>
          </w:p>
        </w:tc>
      </w:tr>
      <w:tr w:rsidR="00275F0E" w14:paraId="6055DA5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D043E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Urbanos elegíveis — recorte de análise</w:t>
            </w:r>
          </w:p>
        </w:tc>
        <w:tc>
          <w:tcPr>
            <w:tcW w:w="22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897D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104.108</w:t>
            </w:r>
          </w:p>
        </w:tc>
      </w:tr>
      <w:tr w:rsidR="00275F0E" w14:paraId="38C6A3E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6F1B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Excluídos pelo filtro rural</w:t>
            </w:r>
          </w:p>
        </w:tc>
        <w:tc>
          <w:tcPr>
            <w:tcW w:w="227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48BD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2.173 (2,04%)</w:t>
            </w:r>
          </w:p>
        </w:tc>
      </w:tr>
    </w:tbl>
    <w:p w14:paraId="378BCAF6" w14:textId="77777777" w:rsidR="00275F0E" w:rsidRDefault="00275F0E">
      <w:pPr>
        <w:spacing w:after="160"/>
      </w:pPr>
    </w:p>
    <w:p w14:paraId="08F60F9E" w14:textId="77777777" w:rsidR="00275F0E" w:rsidRDefault="00000000">
      <w:pPr>
        <w:spacing w:after="140" w:line="276" w:lineRule="auto"/>
        <w:jc w:val="both"/>
      </w:pP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A exclusão é desigual entre municípios.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Nove municípios não perdem nenhum setor, mas </w:t>
      </w: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29 dos 70 perdem mais de 10%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e </w:t>
      </w:r>
      <w:r w:rsidRPr="00946BA3">
        <w:rPr>
          <w:rFonts w:ascii="Calibri" w:eastAsia="Calibri" w:hAnsi="Calibri" w:cs="Calibri"/>
          <w:b/>
          <w:bCs/>
          <w:sz w:val="21"/>
          <w:szCs w:val="21"/>
          <w:highlight w:val="yellow"/>
        </w:rPr>
        <w:t>14 perdem mais da metade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. Os casos extremos são </w:t>
      </w:r>
      <w:proofErr w:type="spellStart"/>
      <w:r w:rsidRPr="00946BA3">
        <w:rPr>
          <w:rFonts w:ascii="Calibri" w:eastAsia="Calibri" w:hAnsi="Calibri" w:cs="Calibri"/>
          <w:sz w:val="21"/>
          <w:szCs w:val="21"/>
          <w:highlight w:val="yellow"/>
        </w:rPr>
        <w:t>São</w:t>
      </w:r>
      <w:proofErr w:type="spellEnd"/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Raimundo do Doca Bezerra (19 setores elegíveis, 3 urbanos), </w:t>
      </w:r>
      <w:proofErr w:type="spellStart"/>
      <w:r w:rsidRPr="00946BA3">
        <w:rPr>
          <w:rFonts w:ascii="Calibri" w:eastAsia="Calibri" w:hAnsi="Calibri" w:cs="Calibri"/>
          <w:sz w:val="21"/>
          <w:szCs w:val="21"/>
          <w:highlight w:val="yellow"/>
        </w:rPr>
        <w:t>Orizânia</w:t>
      </w:r>
      <w:proofErr w:type="spellEnd"/>
      <w:r w:rsidRPr="00946BA3">
        <w:rPr>
          <w:rFonts w:ascii="Calibri" w:eastAsia="Calibri" w:hAnsi="Calibri" w:cs="Calibri"/>
          <w:sz w:val="21"/>
          <w:szCs w:val="21"/>
          <w:highlight w:val="yellow"/>
        </w:rPr>
        <w:t xml:space="preserve"> (21 → 5) e São Paulo das Missões (18 → 6). Descritivas municipais nesses casos são instáveis, e a adoção de um piso mínimo de setores para análises por município precisa ser decidida. Conferência completa em </w:t>
      </w:r>
      <w:r w:rsidRPr="00946BA3">
        <w:rPr>
          <w:rFonts w:ascii="Consolas" w:eastAsia="Consolas" w:hAnsi="Consolas" w:cs="Consolas"/>
          <w:color w:val="0E6B62"/>
          <w:sz w:val="19"/>
          <w:szCs w:val="19"/>
          <w:highlight w:val="yellow"/>
        </w:rPr>
        <w:t>exclusao_rural_conferencia.csv</w:t>
      </w:r>
      <w:r w:rsidRPr="00946BA3">
        <w:rPr>
          <w:rFonts w:ascii="Calibri" w:eastAsia="Calibri" w:hAnsi="Calibri" w:cs="Calibri"/>
          <w:sz w:val="21"/>
          <w:szCs w:val="21"/>
          <w:highlight w:val="yellow"/>
        </w:rPr>
        <w:t>.</w:t>
      </w:r>
    </w:p>
    <w:p w14:paraId="62C1E87A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4400867B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4. Análise por Variável</w:t>
      </w:r>
    </w:p>
    <w:p w14:paraId="633407A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Descritivas globais dos sete componentes, sobre os 104.108 setores urbanos elegíveis: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826"/>
        <w:gridCol w:w="884"/>
        <w:gridCol w:w="884"/>
        <w:gridCol w:w="900"/>
        <w:gridCol w:w="884"/>
        <w:gridCol w:w="1102"/>
        <w:gridCol w:w="641"/>
        <w:gridCol w:w="1099"/>
      </w:tblGrid>
      <w:tr w:rsidR="00275F0E" w14:paraId="1A733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86BC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77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C30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88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7AA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88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239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DP</w:t>
            </w:r>
          </w:p>
        </w:tc>
        <w:tc>
          <w:tcPr>
            <w:tcW w:w="88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70A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88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DEB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P75</w:t>
            </w:r>
          </w:p>
        </w:tc>
        <w:tc>
          <w:tcPr>
            <w:tcW w:w="110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6FC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Máximo</w:t>
            </w:r>
          </w:p>
        </w:tc>
        <w:tc>
          <w:tcPr>
            <w:tcW w:w="66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6E6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CV %</w:t>
            </w:r>
          </w:p>
        </w:tc>
        <w:tc>
          <w:tcPr>
            <w:tcW w:w="1109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2CF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Assimetria</w:t>
            </w:r>
          </w:p>
        </w:tc>
      </w:tr>
      <w:tr w:rsidR="00275F0E" w14:paraId="2D4DFC4B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0045F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pct_agua_inad</w:t>
            </w:r>
            <w:proofErr w:type="spellEnd"/>
          </w:p>
        </w:tc>
        <w:tc>
          <w:tcPr>
            <w:tcW w:w="7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4966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B3B8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0,0696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837E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0,1974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6B00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0,0000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AEA9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0,0118</w:t>
            </w:r>
          </w:p>
        </w:tc>
        <w:tc>
          <w:tcPr>
            <w:tcW w:w="11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6364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1,0000</w:t>
            </w:r>
          </w:p>
        </w:tc>
        <w:tc>
          <w:tcPr>
            <w:tcW w:w="6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C83E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284</w:t>
            </w:r>
          </w:p>
        </w:tc>
        <w:tc>
          <w:tcPr>
            <w:tcW w:w="11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D0D8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3,42</w:t>
            </w:r>
          </w:p>
        </w:tc>
      </w:tr>
      <w:tr w:rsidR="00275F0E" w14:paraId="1EE291D1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49ED1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pct_esgoto_inad</w:t>
            </w:r>
            <w:proofErr w:type="spellEnd"/>
          </w:p>
        </w:tc>
        <w:tc>
          <w:tcPr>
            <w:tcW w:w="77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D7C0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104.107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C436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0,0820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1BF7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0,2143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59A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0,0000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A49B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0,0182</w:t>
            </w:r>
          </w:p>
        </w:tc>
        <w:tc>
          <w:tcPr>
            <w:tcW w:w="110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A84E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1,0000</w:t>
            </w:r>
          </w:p>
        </w:tc>
        <w:tc>
          <w:tcPr>
            <w:tcW w:w="66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8D40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261</w:t>
            </w:r>
          </w:p>
        </w:tc>
        <w:tc>
          <w:tcPr>
            <w:tcW w:w="110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AF47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2,98</w:t>
            </w:r>
          </w:p>
        </w:tc>
      </w:tr>
      <w:tr w:rsidR="00275F0E" w14:paraId="069BD64E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0D085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pct_lixo_inad</w:t>
            </w:r>
            <w:proofErr w:type="spellEnd"/>
          </w:p>
        </w:tc>
        <w:tc>
          <w:tcPr>
            <w:tcW w:w="7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C771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1F2C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0,1158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C212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0,2524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F984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0,0000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1927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0,0594</w:t>
            </w:r>
          </w:p>
        </w:tc>
        <w:tc>
          <w:tcPr>
            <w:tcW w:w="11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DB65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1,0000</w:t>
            </w:r>
          </w:p>
        </w:tc>
        <w:tc>
          <w:tcPr>
            <w:tcW w:w="6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8841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218</w:t>
            </w:r>
          </w:p>
        </w:tc>
        <w:tc>
          <w:tcPr>
            <w:tcW w:w="11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03C7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2,38</w:t>
            </w:r>
          </w:p>
        </w:tc>
      </w:tr>
      <w:tr w:rsidR="00275F0E" w14:paraId="29E3E2A7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92F9A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razao_moradores</w:t>
            </w:r>
            <w:proofErr w:type="spellEnd"/>
          </w:p>
        </w:tc>
        <w:tc>
          <w:tcPr>
            <w:tcW w:w="77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3E26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2C51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2,6909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F0A0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0,3899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1454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2,7126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B833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2,9261</w:t>
            </w:r>
          </w:p>
        </w:tc>
        <w:tc>
          <w:tcPr>
            <w:tcW w:w="110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6C22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6,9135</w:t>
            </w:r>
          </w:p>
        </w:tc>
        <w:tc>
          <w:tcPr>
            <w:tcW w:w="66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444D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14</w:t>
            </w:r>
          </w:p>
        </w:tc>
        <w:tc>
          <w:tcPr>
            <w:tcW w:w="110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1B5B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−0,22</w:t>
            </w:r>
          </w:p>
        </w:tc>
      </w:tr>
      <w:tr w:rsidR="00275F0E" w14:paraId="4E14276C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ADF9C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pct_analfab</w:t>
            </w:r>
            <w:proofErr w:type="spellEnd"/>
          </w:p>
        </w:tc>
        <w:tc>
          <w:tcPr>
            <w:tcW w:w="7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12D5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87.556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4B83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0,0364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B375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0,0352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71B5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0,0271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183F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0,0499</w:t>
            </w:r>
          </w:p>
        </w:tc>
        <w:tc>
          <w:tcPr>
            <w:tcW w:w="11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FA79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0,7255</w:t>
            </w:r>
          </w:p>
        </w:tc>
        <w:tc>
          <w:tcPr>
            <w:tcW w:w="6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C388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</w:t>
            </w:r>
          </w:p>
        </w:tc>
        <w:tc>
          <w:tcPr>
            <w:tcW w:w="11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228C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2,34</w:t>
            </w:r>
          </w:p>
        </w:tc>
      </w:tr>
      <w:tr w:rsidR="00275F0E" w14:paraId="77EDA7E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94A40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renda_media</w:t>
            </w:r>
            <w:proofErr w:type="spellEnd"/>
          </w:p>
        </w:tc>
        <w:tc>
          <w:tcPr>
            <w:tcW w:w="77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2684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104.096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7E69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4.187,41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593B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4.150,66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1503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2.572,39</w:t>
            </w:r>
          </w:p>
        </w:tc>
        <w:tc>
          <w:tcPr>
            <w:tcW w:w="88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F1B6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4.835,89</w:t>
            </w:r>
          </w:p>
        </w:tc>
        <w:tc>
          <w:tcPr>
            <w:tcW w:w="110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A4A6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170.418,06</w:t>
            </w:r>
          </w:p>
        </w:tc>
        <w:tc>
          <w:tcPr>
            <w:tcW w:w="66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630E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99</w:t>
            </w:r>
          </w:p>
        </w:tc>
        <w:tc>
          <w:tcPr>
            <w:tcW w:w="110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F110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3,74</w:t>
            </w:r>
          </w:p>
        </w:tc>
      </w:tr>
      <w:tr w:rsidR="00275F0E" w14:paraId="404E8D86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EA7F2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pct_raca_pretpardind</w:t>
            </w:r>
            <w:proofErr w:type="spellEnd"/>
          </w:p>
        </w:tc>
        <w:tc>
          <w:tcPr>
            <w:tcW w:w="7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DF21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104.106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E1E7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0,5267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3DCE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0,2283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F495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0,5719</w:t>
            </w:r>
          </w:p>
        </w:tc>
        <w:tc>
          <w:tcPr>
            <w:tcW w:w="8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D4EE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0,7044</w:t>
            </w:r>
          </w:p>
        </w:tc>
        <w:tc>
          <w:tcPr>
            <w:tcW w:w="11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87B3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1,0000</w:t>
            </w:r>
          </w:p>
        </w:tc>
        <w:tc>
          <w:tcPr>
            <w:tcW w:w="6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AC2A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43</w:t>
            </w:r>
          </w:p>
        </w:tc>
        <w:tc>
          <w:tcPr>
            <w:tcW w:w="11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AF8F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−0,39</w:t>
            </w:r>
          </w:p>
        </w:tc>
      </w:tr>
    </w:tbl>
    <w:p w14:paraId="20982D71" w14:textId="77777777" w:rsidR="00275F0E" w:rsidRDefault="00275F0E">
      <w:pPr>
        <w:spacing w:after="160"/>
      </w:pPr>
    </w:p>
    <w:p w14:paraId="091400C6" w14:textId="77777777" w:rsidR="00275F0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992BD9" wp14:editId="7633DA9A">
            <wp:extent cx="5905500" cy="3905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2A9" w14:textId="77777777" w:rsidR="00275F0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F716D"/>
          <w:sz w:val="16"/>
          <w:szCs w:val="16"/>
        </w:rPr>
        <w:t>Figura — figuras/histogramas.png</w:t>
      </w:r>
    </w:p>
    <w:p w14:paraId="2B31A938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4.1 Saneamento</w:t>
      </w:r>
    </w:p>
    <w:p w14:paraId="2B358B6F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Água inadequada</w:t>
      </w:r>
      <w:r>
        <w:rPr>
          <w:rFonts w:ascii="Calibri" w:eastAsia="Calibri" w:hAnsi="Calibri" w:cs="Calibri"/>
          <w:sz w:val="21"/>
          <w:szCs w:val="21"/>
        </w:rPr>
        <w:t xml:space="preserve"> (soma de </w:t>
      </w:r>
      <w:r>
        <w:rPr>
          <w:rFonts w:ascii="Consolas" w:eastAsia="Consolas" w:hAnsi="Consolas" w:cs="Consolas"/>
          <w:color w:val="0E6B62"/>
          <w:sz w:val="19"/>
          <w:szCs w:val="19"/>
        </w:rPr>
        <w:t>V00112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V00118</w:t>
      </w:r>
      <w:r>
        <w:rPr>
          <w:rFonts w:ascii="Calibri" w:eastAsia="Calibri" w:hAnsi="Calibri" w:cs="Calibri"/>
          <w:sz w:val="21"/>
          <w:szCs w:val="21"/>
        </w:rPr>
        <w:t xml:space="preserve"> ÷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>). Média de 6,96% dos domicílios, mediana zero, P75 de 1,18%. Um quarto dos setores tem alguma inadequação; a concentração está no Norte, cuja média regional (0,323) é dezesseis vezes a do Sul (0,020). As piores medianas municipais são Portel (0,919), Placas (0,832) e Ananindeua (0,825).</w:t>
      </w:r>
    </w:p>
    <w:p w14:paraId="4032DCB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Esgoto inadequado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0E6B62"/>
          <w:sz w:val="19"/>
          <w:szCs w:val="19"/>
        </w:rPr>
        <w:t>V00312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V00316</w:t>
      </w:r>
      <w:r>
        <w:rPr>
          <w:rFonts w:ascii="Calibri" w:eastAsia="Calibri" w:hAnsi="Calibri" w:cs="Calibri"/>
          <w:sz w:val="21"/>
          <w:szCs w:val="21"/>
        </w:rPr>
        <w:t xml:space="preserve"> ÷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). Média de 8,20%, mediana zero. Piores medianas municipais: Portel (0,980), </w:t>
      </w:r>
      <w:proofErr w:type="spellStart"/>
      <w:r>
        <w:rPr>
          <w:rFonts w:ascii="Calibri" w:eastAsia="Calibri" w:hAnsi="Calibri" w:cs="Calibri"/>
          <w:sz w:val="21"/>
          <w:szCs w:val="21"/>
        </w:rPr>
        <w:t>Vicentinópolis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(0,979), São Raimundo do Doca Bezerra (0,971). A faixa de variáveis foi confirmada no dicionário oficial do IBGE — </w:t>
      </w:r>
      <w:r>
        <w:rPr>
          <w:rFonts w:ascii="Consolas" w:eastAsia="Consolas" w:hAnsi="Consolas" w:cs="Consolas"/>
          <w:color w:val="0E6B62"/>
          <w:sz w:val="19"/>
          <w:szCs w:val="19"/>
        </w:rPr>
        <w:t>V00309</w:t>
      </w:r>
      <w:r>
        <w:rPr>
          <w:rFonts w:ascii="Calibri" w:eastAsia="Calibri" w:hAnsi="Calibri" w:cs="Calibri"/>
          <w:sz w:val="21"/>
          <w:szCs w:val="21"/>
        </w:rPr>
        <w:t xml:space="preserve"> a </w:t>
      </w:r>
      <w:r>
        <w:rPr>
          <w:rFonts w:ascii="Consolas" w:eastAsia="Consolas" w:hAnsi="Consolas" w:cs="Consolas"/>
          <w:color w:val="0E6B62"/>
          <w:sz w:val="19"/>
          <w:szCs w:val="19"/>
        </w:rPr>
        <w:t>V00311</w:t>
      </w:r>
      <w:r>
        <w:rPr>
          <w:rFonts w:ascii="Calibri" w:eastAsia="Calibri" w:hAnsi="Calibri" w:cs="Calibri"/>
          <w:sz w:val="21"/>
          <w:szCs w:val="21"/>
        </w:rPr>
        <w:t xml:space="preserve"> (rede geral e fossa séptica) são adequadas e ficam fora do numerador. O diagnóstico empírico que compara esta faixa com a alternativa </w:t>
      </w:r>
      <w:r>
        <w:rPr>
          <w:rFonts w:ascii="Consolas" w:eastAsia="Consolas" w:hAnsi="Consolas" w:cs="Consolas"/>
          <w:color w:val="0E6B62"/>
          <w:sz w:val="19"/>
          <w:szCs w:val="19"/>
        </w:rPr>
        <w:t>V00249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V00253</w:t>
      </w:r>
      <w:r>
        <w:rPr>
          <w:rFonts w:ascii="Calibri" w:eastAsia="Calibri" w:hAnsi="Calibri" w:cs="Calibri"/>
          <w:sz w:val="21"/>
          <w:szCs w:val="21"/>
        </w:rPr>
        <w:t xml:space="preserve"> está na célula </w:t>
      </w:r>
      <w:r>
        <w:rPr>
          <w:rFonts w:ascii="Consolas" w:eastAsia="Consolas" w:hAnsi="Consolas" w:cs="Consolas"/>
          <w:color w:val="0E6B62"/>
          <w:sz w:val="19"/>
          <w:szCs w:val="19"/>
        </w:rPr>
        <w:t>step4b</w:t>
      </w:r>
      <w:r>
        <w:rPr>
          <w:rFonts w:ascii="Calibri" w:eastAsia="Calibri" w:hAnsi="Calibri" w:cs="Calibri"/>
          <w:sz w:val="21"/>
          <w:szCs w:val="21"/>
        </w:rPr>
        <w:t xml:space="preserve"> e em </w:t>
      </w:r>
      <w:r>
        <w:rPr>
          <w:rFonts w:ascii="Consolas" w:eastAsia="Consolas" w:hAnsi="Consolas" w:cs="Consolas"/>
          <w:color w:val="0E6B62"/>
          <w:sz w:val="19"/>
          <w:szCs w:val="19"/>
        </w:rPr>
        <w:t>diagnostico_esgoto_312_vs_249.csv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A4B406F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Lixo inadequado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0E6B62"/>
          <w:sz w:val="19"/>
          <w:szCs w:val="19"/>
        </w:rPr>
        <w:t>V00398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V00402</w:t>
      </w:r>
      <w:r>
        <w:rPr>
          <w:rFonts w:ascii="Calibri" w:eastAsia="Calibri" w:hAnsi="Calibri" w:cs="Calibri"/>
          <w:sz w:val="21"/>
          <w:szCs w:val="21"/>
        </w:rPr>
        <w:t xml:space="preserve"> ÷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>). Média de 11,58%, a maior das três, e com o menor coeficiente de variação. É a única variável de saneamento cujo perfil regional é praticamente plano: varia apenas de 0,091 (Centro-Oeste) a 0,154 (Nordeste). A pior mediana municipal é Salto (0,964), seguida de Groaíras (0,720) e Salvador (0,340).</w:t>
      </w:r>
    </w:p>
    <w:p w14:paraId="33F3D33E" w14:textId="77777777" w:rsidR="00275F0E" w:rsidRDefault="00000000">
      <w:pPr>
        <w:pBdr>
          <w:left w:val="single" w:sz="12" w:space="12" w:color="0E6B62"/>
        </w:pBdr>
        <w:spacing w:before="120" w:after="160"/>
        <w:ind w:left="280"/>
      </w:pPr>
      <w:r>
        <w:rPr>
          <w:rFonts w:ascii="Calibri" w:eastAsia="Calibri" w:hAnsi="Calibri" w:cs="Calibri"/>
          <w:b/>
          <w:bCs/>
          <w:color w:val="14201E"/>
        </w:rPr>
        <w:t>Sobre a caçamba.</w:t>
      </w:r>
      <w:r>
        <w:rPr>
          <w:rFonts w:ascii="Calibri" w:eastAsia="Calibri" w:hAnsi="Calibri" w:cs="Calibri"/>
          <w:color w:val="14201E"/>
        </w:rPr>
        <w:t xml:space="preserve"> A </w:t>
      </w:r>
      <w:r>
        <w:rPr>
          <w:rFonts w:ascii="Consolas" w:eastAsia="Consolas" w:hAnsi="Consolas" w:cs="Consolas"/>
          <w:color w:val="0E6B62"/>
          <w:sz w:val="19"/>
          <w:szCs w:val="19"/>
        </w:rPr>
        <w:t>V00398</w:t>
      </w:r>
      <w:r>
        <w:rPr>
          <w:rFonts w:ascii="Calibri" w:eastAsia="Calibri" w:hAnsi="Calibri" w:cs="Calibri"/>
          <w:color w:val="14201E"/>
        </w:rPr>
        <w:t xml:space="preserve"> (lixo depositado em caçamba de serviço de limpeza) conta como destino </w:t>
      </w:r>
      <w:r>
        <w:rPr>
          <w:rFonts w:ascii="Calibri" w:eastAsia="Calibri" w:hAnsi="Calibri" w:cs="Calibri"/>
          <w:b/>
          <w:bCs/>
          <w:color w:val="14201E"/>
        </w:rPr>
        <w:t>inadequado</w:t>
      </w:r>
      <w:r>
        <w:rPr>
          <w:rFonts w:ascii="Calibri" w:eastAsia="Calibri" w:hAnsi="Calibri" w:cs="Calibri"/>
          <w:color w:val="14201E"/>
        </w:rPr>
        <w:t xml:space="preserve">, seguindo o </w:t>
      </w:r>
      <w:r>
        <w:rPr>
          <w:rFonts w:ascii="Consolas" w:eastAsia="Consolas" w:hAnsi="Consolas" w:cs="Consolas"/>
          <w:color w:val="0E6B62"/>
          <w:sz w:val="19"/>
          <w:szCs w:val="19"/>
        </w:rPr>
        <w:t>Cálculo IVS2012.docx</w:t>
      </w:r>
      <w:r>
        <w:rPr>
          <w:rFonts w:ascii="Calibri" w:eastAsia="Calibri" w:hAnsi="Calibri" w:cs="Calibri"/>
          <w:color w:val="14201E"/>
        </w:rPr>
        <w:t>, em que apenas a coleta porta a porta (</w:t>
      </w:r>
      <w:r>
        <w:rPr>
          <w:rFonts w:ascii="Consolas" w:eastAsia="Consolas" w:hAnsi="Consolas" w:cs="Consolas"/>
          <w:color w:val="0E6B62"/>
          <w:sz w:val="19"/>
          <w:szCs w:val="19"/>
        </w:rPr>
        <w:t>V00397</w:t>
      </w:r>
      <w:r>
        <w:rPr>
          <w:rFonts w:ascii="Calibri" w:eastAsia="Calibri" w:hAnsi="Calibri" w:cs="Calibri"/>
          <w:color w:val="14201E"/>
        </w:rPr>
        <w:t>) é adequada. A decisão é herdada da metodologia-fonte, mas tem consequência empírica discutida na seção 11.</w:t>
      </w:r>
    </w:p>
    <w:p w14:paraId="2BFBC12C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4.2 Razão de moradores por domicílio</w:t>
      </w:r>
    </w:p>
    <w:p w14:paraId="742E920B" w14:textId="77777777" w:rsidR="00275F0E" w:rsidRDefault="00000000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onsolas" w:eastAsia="Consolas" w:hAnsi="Consolas" w:cs="Consolas"/>
          <w:color w:val="0E6B62"/>
          <w:sz w:val="19"/>
          <w:szCs w:val="19"/>
        </w:rPr>
        <w:t>(V00005 + V00006) ÷ (V00001 + V00002)</w:t>
      </w:r>
      <w:r>
        <w:rPr>
          <w:rFonts w:ascii="Calibri" w:eastAsia="Calibri" w:hAnsi="Calibri" w:cs="Calibri"/>
          <w:sz w:val="21"/>
          <w:szCs w:val="21"/>
        </w:rPr>
        <w:t xml:space="preserve">, fórmula que reproduz o </w:t>
      </w:r>
      <w:r>
        <w:rPr>
          <w:rFonts w:ascii="Consolas" w:eastAsia="Consolas" w:hAnsi="Consolas" w:cs="Consolas"/>
          <w:color w:val="0E6B62"/>
          <w:sz w:val="19"/>
          <w:szCs w:val="19"/>
        </w:rPr>
        <w:t>V0005</w:t>
      </w:r>
      <w:r>
        <w:rPr>
          <w:rFonts w:ascii="Calibri" w:eastAsia="Calibri" w:hAnsi="Calibri" w:cs="Calibri"/>
          <w:sz w:val="21"/>
          <w:szCs w:val="21"/>
        </w:rPr>
        <w:t xml:space="preserve"> publicado pelo IBGE. É a variável mais bem comportada do conjunto: CV de 14%, distribuição aproximadamente simétrica (assimetria −0,22), mínimo exatamente 1,00 e máximo 6,91. Média regional de 3,19 no Norte contra 2,53 no Sul. Maiores medianas municipais: Portel (4,23), Autazes (3,64) e Coroaci (3,38). Os extremos foram auditados em </w:t>
      </w:r>
      <w:r>
        <w:rPr>
          <w:rFonts w:ascii="Consolas" w:eastAsia="Consolas" w:hAnsi="Consolas" w:cs="Consolas"/>
          <w:color w:val="0E6B62"/>
          <w:sz w:val="19"/>
          <w:szCs w:val="19"/>
        </w:rPr>
        <w:t>extremos_razao_moradores.csv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5121EAE8" w14:textId="77777777" w:rsidR="006F23D7" w:rsidRDefault="006F23D7">
      <w:pPr>
        <w:spacing w:after="140" w:line="276" w:lineRule="auto"/>
        <w:jc w:val="both"/>
      </w:pPr>
    </w:p>
    <w:p w14:paraId="39A5A0C4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lastRenderedPageBreak/>
        <w:t>4.3 Analfabetismo de 15 anos ou mais</w:t>
      </w:r>
    </w:p>
    <w:p w14:paraId="221540EB" w14:textId="77777777" w:rsidR="00275F0E" w:rsidRDefault="00000000">
      <w:pPr>
        <w:spacing w:after="140" w:line="276" w:lineRule="auto"/>
        <w:jc w:val="both"/>
      </w:pPr>
      <w:r>
        <w:rPr>
          <w:rFonts w:ascii="Consolas" w:eastAsia="Consolas" w:hAnsi="Consolas" w:cs="Consolas"/>
          <w:color w:val="0E6B62"/>
          <w:sz w:val="19"/>
          <w:szCs w:val="19"/>
        </w:rPr>
        <w:t>V00901 ÷ (V00900 + V00901)</w:t>
      </w:r>
      <w:r>
        <w:rPr>
          <w:rFonts w:ascii="Calibri" w:eastAsia="Calibri" w:hAnsi="Calibri" w:cs="Calibri"/>
          <w:sz w:val="21"/>
          <w:szCs w:val="21"/>
        </w:rPr>
        <w:t xml:space="preserve">. Média de 3,64% e mediana de 2,71%, com máximo de 72,55%. É a variável com maior perda de casos: </w:t>
      </w:r>
      <w:r>
        <w:rPr>
          <w:rFonts w:ascii="Calibri" w:eastAsia="Calibri" w:hAnsi="Calibri" w:cs="Calibri"/>
          <w:b/>
          <w:bCs/>
          <w:sz w:val="21"/>
          <w:szCs w:val="21"/>
        </w:rPr>
        <w:t>87.556 setores calculáveis de 104.108 (84,1%)</w:t>
      </w:r>
      <w:r>
        <w:rPr>
          <w:rFonts w:ascii="Calibri" w:eastAsia="Calibri" w:hAnsi="Calibri" w:cs="Calibri"/>
          <w:sz w:val="21"/>
          <w:szCs w:val="21"/>
        </w:rPr>
        <w:t>. O padrão regional foge do gradiente Norte-Sul das demais: o pico é o Nordeste (0,062) e não o Norte (0,033). Maiores medianas municipais: Arara (0,231), Água Preta (0,213) e Jaqueira (0,191). O tratamento do sigilo está detalhado na seção 8.</w:t>
      </w:r>
    </w:p>
    <w:p w14:paraId="24683650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4.4 Rendimento médio do responsável</w:t>
      </w:r>
    </w:p>
    <w:p w14:paraId="4CF864B7" w14:textId="77777777" w:rsidR="00275F0E" w:rsidRDefault="00000000">
      <w:pPr>
        <w:spacing w:after="140" w:line="276" w:lineRule="auto"/>
        <w:jc w:val="both"/>
      </w:pPr>
      <w:r>
        <w:rPr>
          <w:rFonts w:ascii="Consolas" w:eastAsia="Consolas" w:hAnsi="Consolas" w:cs="Consolas"/>
          <w:color w:val="0E6B62"/>
          <w:sz w:val="19"/>
          <w:szCs w:val="19"/>
        </w:rPr>
        <w:t>V06004</w:t>
      </w:r>
      <w:r>
        <w:rPr>
          <w:rFonts w:ascii="Calibri" w:eastAsia="Calibri" w:hAnsi="Calibri" w:cs="Calibri"/>
          <w:sz w:val="21"/>
          <w:szCs w:val="21"/>
        </w:rPr>
        <w:t>, usado diretamente. Média de R$ 4.187,41 e mediana de R$ 2.572,39 — a diferença entre as duas já indica a assimetria. O máximo, R$ 170.418,06 num único setor, NÃO é renda alta: o setor é o 310620005650366, no bairro Senhor dos Passos em Belo Horizonte, com CD_TIPO = 1 — é setor de favela, com 186 domicílios e 518 pessoas. A auditoria da seção 4.4.1 do relatório em Markdown trata dele e dos demais extremos. Extremos municipais: São Caetano do Sul (mediana R$ 5.292), Curitiba (R$ 4.115) e Porto Alegre (R$ 3.987) no topo; Jaqueira (R$ 1.062), Água Preta (R$ 1.240) e Rosário (R$ 1.272) na base — uma razão de cinco vezes entre os extremos.</w:t>
      </w:r>
    </w:p>
    <w:p w14:paraId="703CAF86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4.5 Cor ou raça preta, parda e indígena</w:t>
      </w:r>
    </w:p>
    <w:p w14:paraId="632688DC" w14:textId="77777777" w:rsidR="00275F0E" w:rsidRDefault="00000000">
      <w:pPr>
        <w:spacing w:after="140" w:line="276" w:lineRule="auto"/>
        <w:jc w:val="both"/>
      </w:pPr>
      <w:r>
        <w:rPr>
          <w:rFonts w:ascii="Consolas" w:eastAsia="Consolas" w:hAnsi="Consolas" w:cs="Consolas"/>
          <w:color w:val="0E6B62"/>
          <w:sz w:val="19"/>
          <w:szCs w:val="19"/>
        </w:rPr>
        <w:t>(V01318 + V01320 + V01321) ÷ v0001</w:t>
      </w:r>
      <w:r>
        <w:rPr>
          <w:rFonts w:ascii="Calibri" w:eastAsia="Calibri" w:hAnsi="Calibri" w:cs="Calibri"/>
          <w:sz w:val="21"/>
          <w:szCs w:val="21"/>
        </w:rPr>
        <w:t>. Média de 52,67% e mediana de 57,19%, com a distribuição mais espalhada do conjunto (é a única com assimetria negativa e nenhum outlier pela regra do IQR). Extremos municipais: Salvador (0,889), Autazes (0,846) e Rosário (0,838) no topo; Taió (0,160), Charqueadas (0,167) e São Caetano do Sul (0,172) na base.</w:t>
      </w:r>
    </w:p>
    <w:p w14:paraId="585D5063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0EE1D875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5. Análise Regional</w:t>
      </w:r>
    </w:p>
    <w:p w14:paraId="0939C8F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Médias entre setores, por região: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918"/>
        <w:gridCol w:w="918"/>
        <w:gridCol w:w="918"/>
        <w:gridCol w:w="1377"/>
        <w:gridCol w:w="1224"/>
        <w:gridCol w:w="1530"/>
        <w:gridCol w:w="917"/>
      </w:tblGrid>
      <w:tr w:rsidR="00275F0E" w14:paraId="4598E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51A6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Região</w:t>
            </w:r>
          </w:p>
        </w:tc>
        <w:tc>
          <w:tcPr>
            <w:tcW w:w="91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FD5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Água</w:t>
            </w:r>
          </w:p>
        </w:tc>
        <w:tc>
          <w:tcPr>
            <w:tcW w:w="91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904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Esgoto</w:t>
            </w:r>
          </w:p>
        </w:tc>
        <w:tc>
          <w:tcPr>
            <w:tcW w:w="91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CAF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Lixo</w:t>
            </w:r>
          </w:p>
        </w:tc>
        <w:tc>
          <w:tcPr>
            <w:tcW w:w="137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162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Moradores</w:t>
            </w:r>
          </w:p>
        </w:tc>
        <w:tc>
          <w:tcPr>
            <w:tcW w:w="122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B702" w14:textId="77777777" w:rsidR="00275F0E" w:rsidRDefault="00000000">
            <w:pPr>
              <w:jc w:val="right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Analfab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53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887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Renda (R$)</w:t>
            </w:r>
          </w:p>
        </w:tc>
        <w:tc>
          <w:tcPr>
            <w:tcW w:w="91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14A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PPI</w:t>
            </w:r>
          </w:p>
        </w:tc>
      </w:tr>
      <w:tr w:rsidR="00275F0E" w14:paraId="27FEB706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6B78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Norte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AB87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0,323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3769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0,238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92BA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0,098</w:t>
            </w:r>
          </w:p>
        </w:tc>
        <w:tc>
          <w:tcPr>
            <w:tcW w:w="13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CE41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3,194</w:t>
            </w:r>
          </w:p>
        </w:tc>
        <w:tc>
          <w:tcPr>
            <w:tcW w:w="12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6025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0,033</w:t>
            </w:r>
          </w:p>
        </w:tc>
        <w:tc>
          <w:tcPr>
            <w:tcW w:w="153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4BD3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2.881</w:t>
            </w:r>
          </w:p>
        </w:tc>
        <w:tc>
          <w:tcPr>
            <w:tcW w:w="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BB94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0,748</w:t>
            </w:r>
          </w:p>
        </w:tc>
      </w:tr>
      <w:tr w:rsidR="00275F0E" w14:paraId="0A034790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034C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Nordeste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66B3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0,118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C3FF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0,162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E29D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0,154</w:t>
            </w:r>
          </w:p>
        </w:tc>
        <w:tc>
          <w:tcPr>
            <w:tcW w:w="137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6F6F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2,771</w:t>
            </w:r>
          </w:p>
        </w:tc>
        <w:tc>
          <w:tcPr>
            <w:tcW w:w="12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E2D5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0,062</w:t>
            </w:r>
          </w:p>
        </w:tc>
        <w:tc>
          <w:tcPr>
            <w:tcW w:w="153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F208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3.008</w:t>
            </w:r>
          </w:p>
        </w:tc>
        <w:tc>
          <w:tcPr>
            <w:tcW w:w="91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FA96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0,713</w:t>
            </w:r>
          </w:p>
        </w:tc>
      </w:tr>
      <w:tr w:rsidR="00275F0E" w14:paraId="0E2D397C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D230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Centro-Oeste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664F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0,055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D31C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0,075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A658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0,091</w:t>
            </w:r>
          </w:p>
        </w:tc>
        <w:tc>
          <w:tcPr>
            <w:tcW w:w="13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67AA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2,762</w:t>
            </w:r>
          </w:p>
        </w:tc>
        <w:tc>
          <w:tcPr>
            <w:tcW w:w="12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D68B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0,031</w:t>
            </w:r>
          </w:p>
        </w:tc>
        <w:tc>
          <w:tcPr>
            <w:tcW w:w="153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6DF9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4.945</w:t>
            </w:r>
          </w:p>
        </w:tc>
        <w:tc>
          <w:tcPr>
            <w:tcW w:w="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B822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0,565</w:t>
            </w:r>
          </w:p>
        </w:tc>
      </w:tr>
      <w:tr w:rsidR="00275F0E" w14:paraId="2EA1656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314A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Sudeste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D076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0,038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1596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0,049</w:t>
            </w:r>
          </w:p>
        </w:tc>
        <w:tc>
          <w:tcPr>
            <w:tcW w:w="9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E8DB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0,111</w:t>
            </w:r>
          </w:p>
        </w:tc>
        <w:tc>
          <w:tcPr>
            <w:tcW w:w="137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0920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2,626</w:t>
            </w:r>
          </w:p>
        </w:tc>
        <w:tc>
          <w:tcPr>
            <w:tcW w:w="12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E245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0,030</w:t>
            </w:r>
          </w:p>
        </w:tc>
        <w:tc>
          <w:tcPr>
            <w:tcW w:w="153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5716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4.491</w:t>
            </w:r>
          </w:p>
        </w:tc>
        <w:tc>
          <w:tcPr>
            <w:tcW w:w="91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D4F8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0,474</w:t>
            </w:r>
          </w:p>
        </w:tc>
      </w:tr>
      <w:tr w:rsidR="00275F0E" w14:paraId="16E6972B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B2AE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Sul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ACD7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0,020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A3D3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0,029</w:t>
            </w:r>
          </w:p>
        </w:tc>
        <w:tc>
          <w:tcPr>
            <w:tcW w:w="9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BD95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0,102</w:t>
            </w:r>
          </w:p>
        </w:tc>
        <w:tc>
          <w:tcPr>
            <w:tcW w:w="13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D92C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2,529</w:t>
            </w:r>
          </w:p>
        </w:tc>
        <w:tc>
          <w:tcPr>
            <w:tcW w:w="12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3E02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0,021</w:t>
            </w:r>
          </w:p>
        </w:tc>
        <w:tc>
          <w:tcPr>
            <w:tcW w:w="153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A796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4.842</w:t>
            </w:r>
          </w:p>
        </w:tc>
        <w:tc>
          <w:tcPr>
            <w:tcW w:w="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F4FD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0,246</w:t>
            </w:r>
          </w:p>
        </w:tc>
      </w:tr>
    </w:tbl>
    <w:p w14:paraId="2741F89B" w14:textId="77777777" w:rsidR="00275F0E" w:rsidRDefault="00275F0E">
      <w:pPr>
        <w:spacing w:after="160"/>
      </w:pPr>
    </w:p>
    <w:p w14:paraId="28EB1DB0" w14:textId="77777777" w:rsidR="00275F0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563DAE" wp14:editId="0D89203E">
            <wp:extent cx="5905500" cy="4314825"/>
            <wp:effectExtent l="0" t="0" r="0" b="0"/>
            <wp:docPr id="249826343" name="Imagem 24982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86F" w14:textId="77777777" w:rsidR="00275F0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F716D"/>
          <w:sz w:val="16"/>
          <w:szCs w:val="16"/>
        </w:rPr>
        <w:t>Figura — figuras/boxplots_por_regiao.png</w:t>
      </w:r>
    </w:p>
    <w:p w14:paraId="21566FD0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Interpretação.</w:t>
      </w:r>
      <w:r>
        <w:rPr>
          <w:rFonts w:ascii="Calibri" w:eastAsia="Calibri" w:hAnsi="Calibri" w:cs="Calibri"/>
          <w:sz w:val="21"/>
          <w:szCs w:val="21"/>
        </w:rPr>
        <w:t xml:space="preserve"> O gradiente Norte-Sul é consistente em cinco das sete variáveis: água (16×), esgoto (8×), razão de moradores, renda e proporção PPI (3×). Duas variáveis fogem do padrão, e as duas exceções são informativas:</w:t>
      </w:r>
    </w:p>
    <w:p w14:paraId="0C0C5136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 analfabetismo tem pico no Nordeste</w:t>
      </w:r>
      <w:r>
        <w:rPr>
          <w:rFonts w:ascii="Calibri" w:eastAsia="Calibri" w:hAnsi="Calibri" w:cs="Calibri"/>
          <w:sz w:val="21"/>
          <w:szCs w:val="21"/>
        </w:rPr>
        <w:t>, não no Norte. Reflete a história educacional das duas regiões e mostra que vulnerabilidade educacional e sanitária não são a mesma dimensão territorial.</w:t>
      </w:r>
    </w:p>
    <w:p w14:paraId="4F944581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 lixo é plano entre regiões.</w:t>
      </w:r>
      <w:r>
        <w:rPr>
          <w:rFonts w:ascii="Calibri" w:eastAsia="Calibri" w:hAnsi="Calibri" w:cs="Calibri"/>
          <w:sz w:val="21"/>
          <w:szCs w:val="21"/>
        </w:rPr>
        <w:t xml:space="preserve"> Como a coleta porta a porta é quase universal nas áreas urbanas de todas as regiões, o que sobra no indicador é sobretudo a caçamba, que não segue o gradiente de desenvolvimento.</w:t>
      </w:r>
    </w:p>
    <w:p w14:paraId="063B4B3F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Centro-Oeste apresentar a maior renda média (R$ 4.945) reflete o peso de Brasília na composição regional da amostra, com 5.418 setores em sete municípios.</w:t>
      </w:r>
    </w:p>
    <w:p w14:paraId="2BC25A26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5A09285D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6. Heterogeneidade Municipal</w:t>
      </w:r>
    </w:p>
    <w:p w14:paraId="2C5E5958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 descritivas por município estão em </w:t>
      </w:r>
      <w:r>
        <w:rPr>
          <w:rFonts w:ascii="Consolas" w:eastAsia="Consolas" w:hAnsi="Consolas" w:cs="Consolas"/>
          <w:color w:val="0E6B62"/>
          <w:sz w:val="19"/>
          <w:szCs w:val="19"/>
        </w:rPr>
        <w:t>descritivas_por_municipio.csv</w:t>
      </w:r>
      <w:r>
        <w:rPr>
          <w:rFonts w:ascii="Calibri" w:eastAsia="Calibri" w:hAnsi="Calibri" w:cs="Calibri"/>
          <w:sz w:val="21"/>
          <w:szCs w:val="21"/>
        </w:rPr>
        <w:t xml:space="preserve"> (70 municípios × 7 variáveis = 490 linhas). Três padrões se destacam:</w:t>
      </w:r>
    </w:p>
    <w:p w14:paraId="3A964B7A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Os mesmos municípios lideram várias dimensões.</w:t>
      </w:r>
      <w:r>
        <w:rPr>
          <w:rFonts w:ascii="Calibri" w:eastAsia="Calibri" w:hAnsi="Calibri" w:cs="Calibri"/>
          <w:sz w:val="21"/>
          <w:szCs w:val="21"/>
        </w:rPr>
        <w:t xml:space="preserve"> Portel aparece como pior mediana em água e esgoto e maior razão de moradores; Arara e Água Preta lideram analfabetismo e estão entre as menores rendas. Há um pequeno conjunto de municípios de alta vulnerabilidade em várias dimensões ao mesmo tempo, o que é um bom sinal para a construção de um índice composto.</w:t>
      </w:r>
    </w:p>
    <w:p w14:paraId="32DA5E3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amplitude intermunicipal é grande.</w:t>
      </w:r>
      <w:r>
        <w:rPr>
          <w:rFonts w:ascii="Calibri" w:eastAsia="Calibri" w:hAnsi="Calibri" w:cs="Calibri"/>
          <w:sz w:val="21"/>
          <w:szCs w:val="21"/>
        </w:rPr>
        <w:t xml:space="preserve"> A renda mediana varia cinco vezes entre o maior e o menor município; a mediana de esgoto inadequado varia de praticamente zero a 0,98.</w:t>
      </w:r>
    </w:p>
    <w:p w14:paraId="7E5E189B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Os municípios pequenos são instáveis após o recorte urbano.</w:t>
      </w:r>
      <w:r>
        <w:rPr>
          <w:rFonts w:ascii="Calibri" w:eastAsia="Calibri" w:hAnsi="Calibri" w:cs="Calibri"/>
          <w:sz w:val="21"/>
          <w:szCs w:val="21"/>
        </w:rPr>
        <w:t xml:space="preserve"> Os casos com menos de dez setores urbanos (São Raimundo do Doca Bezerra, </w:t>
      </w:r>
      <w:proofErr w:type="spellStart"/>
      <w:r>
        <w:rPr>
          <w:rFonts w:ascii="Calibri" w:eastAsia="Calibri" w:hAnsi="Calibri" w:cs="Calibri"/>
          <w:sz w:val="21"/>
          <w:szCs w:val="21"/>
        </w:rPr>
        <w:t>Orizânia</w:t>
      </w:r>
      <w:proofErr w:type="spellEnd"/>
      <w:r>
        <w:rPr>
          <w:rFonts w:ascii="Calibri" w:eastAsia="Calibri" w:hAnsi="Calibri" w:cs="Calibri"/>
          <w:sz w:val="21"/>
          <w:szCs w:val="21"/>
        </w:rPr>
        <w:t>, São Paulo das Missões) produzem medianas que oscilam muito com poucos setores. Nas tabelas por município, esses valores devem ser lidos com reserva.</w:t>
      </w:r>
    </w:p>
    <w:p w14:paraId="7AE2F953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7083F1A4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7. Análise de Outliers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656"/>
        <w:gridCol w:w="656"/>
        <w:gridCol w:w="1620"/>
        <w:gridCol w:w="1832"/>
        <w:gridCol w:w="730"/>
        <w:gridCol w:w="1737"/>
      </w:tblGrid>
      <w:tr w:rsidR="00275F0E" w14:paraId="2119B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1099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5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865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P25</w:t>
            </w:r>
          </w:p>
        </w:tc>
        <w:tc>
          <w:tcPr>
            <w:tcW w:w="65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796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P75</w:t>
            </w:r>
          </w:p>
        </w:tc>
        <w:tc>
          <w:tcPr>
            <w:tcW w:w="1643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DD9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Limite superior</w:t>
            </w:r>
          </w:p>
        </w:tc>
        <w:tc>
          <w:tcPr>
            <w:tcW w:w="186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228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Outliers pelo IQR</w:t>
            </w:r>
          </w:p>
        </w:tc>
        <w:tc>
          <w:tcPr>
            <w:tcW w:w="65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719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P95</w:t>
            </w:r>
          </w:p>
        </w:tc>
        <w:tc>
          <w:tcPr>
            <w:tcW w:w="175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4736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IQR informativo?</w:t>
            </w:r>
          </w:p>
        </w:tc>
      </w:tr>
      <w:tr w:rsidR="00275F0E" w14:paraId="1929D5B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8C22A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pct_agua_inad</w:t>
            </w:r>
            <w:proofErr w:type="spellEnd"/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DB85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6082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0,012</w:t>
            </w:r>
          </w:p>
        </w:tc>
        <w:tc>
          <w:tcPr>
            <w:tcW w:w="16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451A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0,030</w:t>
            </w:r>
          </w:p>
        </w:tc>
        <w:tc>
          <w:tcPr>
            <w:tcW w:w="186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D736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21.532 (20,7%)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1C47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0,558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AAE9F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não</w:t>
            </w:r>
          </w:p>
        </w:tc>
      </w:tr>
      <w:tr w:rsidR="00275F0E" w14:paraId="39B3D1F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9948A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pct_esgoto_inad</w:t>
            </w:r>
            <w:proofErr w:type="spellEnd"/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46D0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7081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0,018</w:t>
            </w:r>
          </w:p>
        </w:tc>
        <w:tc>
          <w:tcPr>
            <w:tcW w:w="16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E722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0,045</w:t>
            </w:r>
          </w:p>
        </w:tc>
        <w:tc>
          <w:tcPr>
            <w:tcW w:w="186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E690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20.901 (20,1%)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0458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0,693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81BEA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não</w:t>
            </w:r>
          </w:p>
        </w:tc>
      </w:tr>
      <w:tr w:rsidR="00275F0E" w14:paraId="36DC4D1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B21F0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pct_lixo_inad</w:t>
            </w:r>
            <w:proofErr w:type="spellEnd"/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1BDE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FB00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0,059</w:t>
            </w:r>
          </w:p>
        </w:tc>
        <w:tc>
          <w:tcPr>
            <w:tcW w:w="16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08CF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0,149</w:t>
            </w:r>
          </w:p>
        </w:tc>
        <w:tc>
          <w:tcPr>
            <w:tcW w:w="186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C3E0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19.124 (18,4%)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3DCF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0,846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0F4CE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não</w:t>
            </w:r>
          </w:p>
        </w:tc>
      </w:tr>
      <w:tr w:rsidR="00275F0E" w14:paraId="3C7D4F4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6456B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razao_moradores</w:t>
            </w:r>
            <w:proofErr w:type="spellEnd"/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2007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2,479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808C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2,926</w:t>
            </w:r>
          </w:p>
        </w:tc>
        <w:tc>
          <w:tcPr>
            <w:tcW w:w="16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6962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3,597</w:t>
            </w:r>
          </w:p>
        </w:tc>
        <w:tc>
          <w:tcPr>
            <w:tcW w:w="186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C70A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3.632 (3,5%)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9850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3,286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0AA9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</w:tr>
      <w:tr w:rsidR="00275F0E" w14:paraId="577A584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72A44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pct_analfab</w:t>
            </w:r>
            <w:proofErr w:type="spellEnd"/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D338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0,013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E2D5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0,050</w:t>
            </w:r>
          </w:p>
        </w:tc>
        <w:tc>
          <w:tcPr>
            <w:tcW w:w="16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F1D8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0,106</w:t>
            </w:r>
          </w:p>
        </w:tc>
        <w:tc>
          <w:tcPr>
            <w:tcW w:w="186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CAEA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4.114 (4,7%)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59BE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0,103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9E4C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</w:tr>
      <w:tr w:rsidR="00275F0E" w14:paraId="22062A4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92EE7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renda_media</w:t>
            </w:r>
            <w:proofErr w:type="spellEnd"/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9139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1.752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20A4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4.836</w:t>
            </w:r>
          </w:p>
        </w:tc>
        <w:tc>
          <w:tcPr>
            <w:tcW w:w="16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1585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9.461</w:t>
            </w:r>
          </w:p>
        </w:tc>
        <w:tc>
          <w:tcPr>
            <w:tcW w:w="186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759A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10.469 (10,1%)</w:t>
            </w:r>
          </w:p>
        </w:tc>
        <w:tc>
          <w:tcPr>
            <w:tcW w:w="65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61C4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12.896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8934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</w:tr>
      <w:tr w:rsidR="00275F0E" w14:paraId="111ECB1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10E28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pct_raca_pretpardind</w:t>
            </w:r>
            <w:proofErr w:type="spellEnd"/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8F3F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0,353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51A7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0,704</w:t>
            </w:r>
          </w:p>
        </w:tc>
        <w:tc>
          <w:tcPr>
            <w:tcW w:w="16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5DE4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1,232</w:t>
            </w:r>
          </w:p>
        </w:tc>
        <w:tc>
          <w:tcPr>
            <w:tcW w:w="186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C9AA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 (0,0%)</w:t>
            </w:r>
          </w:p>
        </w:tc>
        <w:tc>
          <w:tcPr>
            <w:tcW w:w="6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63BE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0,846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600F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</w:tr>
    </w:tbl>
    <w:p w14:paraId="6562B56E" w14:textId="77777777" w:rsidR="00275F0E" w:rsidRDefault="00275F0E">
      <w:pPr>
        <w:spacing w:after="160"/>
      </w:pPr>
    </w:p>
    <w:p w14:paraId="16D7290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regra do IQR não é aplicável às três variáveis de saneamento.</w:t>
      </w:r>
      <w:r>
        <w:rPr>
          <w:rFonts w:ascii="Calibri" w:eastAsia="Calibri" w:hAnsi="Calibri" w:cs="Calibri"/>
          <w:sz w:val="21"/>
          <w:szCs w:val="21"/>
        </w:rPr>
        <w:t xml:space="preserve"> Quando o primeiro quartil e a mediana são ambos zero, o intervalo interquartil fica minúsculo e qualquer valor positivo acima de um limiar de 3 a 15 pontos percentuais é classificado como outlier. Os 18% a 21% de setores flagrados não são erros de medição nem casos extremos: são os setores que simplesmente têm alguma inadequação, num universo em que a maioria não tem nenhuma.</w:t>
      </w:r>
    </w:p>
    <w:p w14:paraId="574D08B8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Por isso a tabela </w:t>
      </w:r>
      <w:r>
        <w:rPr>
          <w:rFonts w:ascii="Consolas" w:eastAsia="Consolas" w:hAnsi="Consolas" w:cs="Consolas"/>
          <w:color w:val="0E6B62"/>
          <w:sz w:val="19"/>
          <w:szCs w:val="19"/>
        </w:rPr>
        <w:t>outliers.csv</w:t>
      </w:r>
      <w:r>
        <w:rPr>
          <w:rFonts w:ascii="Calibri" w:eastAsia="Calibri" w:hAnsi="Calibri" w:cs="Calibri"/>
          <w:sz w:val="21"/>
          <w:szCs w:val="21"/>
        </w:rPr>
        <w:t xml:space="preserve"> traz também as colunas </w:t>
      </w:r>
      <w:r>
        <w:rPr>
          <w:rFonts w:ascii="Consolas" w:eastAsia="Consolas" w:hAnsi="Consolas" w:cs="Consolas"/>
          <w:color w:val="0E6B62"/>
          <w:sz w:val="19"/>
          <w:szCs w:val="19"/>
        </w:rPr>
        <w:t>p95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n_acima_p95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pct_acima_p95</w:t>
      </w:r>
      <w:r>
        <w:rPr>
          <w:rFonts w:ascii="Calibri" w:eastAsia="Calibri" w:hAnsi="Calibri" w:cs="Calibri"/>
          <w:sz w:val="21"/>
          <w:szCs w:val="21"/>
        </w:rPr>
        <w:t xml:space="preserve"> e a sinalização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iqr_nao_informativo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r>
        <w:rPr>
          <w:rFonts w:ascii="Calibri" w:eastAsia="Calibri" w:hAnsi="Calibri" w:cs="Calibri"/>
          <w:b/>
          <w:bCs/>
          <w:sz w:val="21"/>
          <w:szCs w:val="21"/>
        </w:rPr>
        <w:t>Para essas três variáveis, o percentil 95 é o critério apropriado de cauda alta.</w:t>
      </w:r>
    </w:p>
    <w:p w14:paraId="4154504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Nos demais indicadores o IQR funciona. A leitura da renda mudou depois da auditoria de agosto: os 10,1% de outliers pela regra global do IQR não são todos reais. Com o corte de Tukey em k=3 por município, 3.292 setores são extremos coerentes com o entorno e 66 são internamente contraditórios. A proporção PPI não tem nenhum outlier, consequência de ser limitada em [0, 1] e ter distribuição espalhada.</w:t>
      </w:r>
    </w:p>
    <w:p w14:paraId="5A97F6E0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12E6D5BB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8. Análise de Dados Faltantes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7"/>
        <w:gridCol w:w="3344"/>
        <w:gridCol w:w="1967"/>
      </w:tblGrid>
      <w:tr w:rsidR="00275F0E" w14:paraId="27003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1F0E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334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37C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Setores com valor</w:t>
            </w:r>
          </w:p>
        </w:tc>
        <w:tc>
          <w:tcPr>
            <w:tcW w:w="196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738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</w:tr>
      <w:tr w:rsidR="00275F0E" w14:paraId="0CAEA041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0464C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pct_agua_inad</w:t>
            </w:r>
            <w:proofErr w:type="spellEnd"/>
          </w:p>
        </w:tc>
        <w:tc>
          <w:tcPr>
            <w:tcW w:w="33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5B86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19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0761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100,00%</w:t>
            </w:r>
          </w:p>
        </w:tc>
      </w:tr>
      <w:tr w:rsidR="00275F0E" w14:paraId="791B8F69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69FEE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pct_lixo_inad</w:t>
            </w:r>
            <w:proofErr w:type="spellEnd"/>
          </w:p>
        </w:tc>
        <w:tc>
          <w:tcPr>
            <w:tcW w:w="33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222E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196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2956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100,00%</w:t>
            </w:r>
          </w:p>
        </w:tc>
      </w:tr>
      <w:tr w:rsidR="00275F0E" w14:paraId="446AFBAD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9ADA0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razao_moradores</w:t>
            </w:r>
            <w:proofErr w:type="spellEnd"/>
          </w:p>
        </w:tc>
        <w:tc>
          <w:tcPr>
            <w:tcW w:w="33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69DF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19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76B4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100,00%</w:t>
            </w:r>
          </w:p>
        </w:tc>
      </w:tr>
      <w:tr w:rsidR="00275F0E" w14:paraId="45CBCDAE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5EBF2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pct_esgoto_inad</w:t>
            </w:r>
            <w:proofErr w:type="spellEnd"/>
          </w:p>
        </w:tc>
        <w:tc>
          <w:tcPr>
            <w:tcW w:w="33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9836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104.107</w:t>
            </w:r>
          </w:p>
        </w:tc>
        <w:tc>
          <w:tcPr>
            <w:tcW w:w="196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39E4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100,00%</w:t>
            </w:r>
          </w:p>
        </w:tc>
      </w:tr>
      <w:tr w:rsidR="00275F0E" w14:paraId="0388D4EB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E556B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pct_raca_pretpardind</w:t>
            </w:r>
            <w:proofErr w:type="spellEnd"/>
          </w:p>
        </w:tc>
        <w:tc>
          <w:tcPr>
            <w:tcW w:w="33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AF1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104.106</w:t>
            </w:r>
          </w:p>
        </w:tc>
        <w:tc>
          <w:tcPr>
            <w:tcW w:w="19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D725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100,00%</w:t>
            </w:r>
          </w:p>
        </w:tc>
      </w:tr>
      <w:tr w:rsidR="00275F0E" w14:paraId="4441C21D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CF657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renda_media</w:t>
            </w:r>
            <w:proofErr w:type="spellEnd"/>
          </w:p>
        </w:tc>
        <w:tc>
          <w:tcPr>
            <w:tcW w:w="33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33F9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104.096</w:t>
            </w:r>
          </w:p>
        </w:tc>
        <w:tc>
          <w:tcPr>
            <w:tcW w:w="196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AA75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99,99%</w:t>
            </w:r>
          </w:p>
        </w:tc>
      </w:tr>
      <w:tr w:rsidR="00275F0E" w14:paraId="3DE44884" w14:textId="77777777">
        <w:tblPrEx>
          <w:tblCellMar>
            <w:top w:w="0" w:type="dxa"/>
            <w:bottom w:w="0" w:type="dxa"/>
          </w:tblCellMar>
        </w:tblPrEx>
        <w:tc>
          <w:tcPr>
            <w:tcW w:w="43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0BDC2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`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pct_analfab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`</w:t>
            </w:r>
          </w:p>
        </w:tc>
        <w:tc>
          <w:tcPr>
            <w:tcW w:w="33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C928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87.556</w:t>
            </w:r>
          </w:p>
        </w:tc>
        <w:tc>
          <w:tcPr>
            <w:tcW w:w="19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EBAE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84,10%</w:t>
            </w:r>
          </w:p>
        </w:tc>
      </w:tr>
    </w:tbl>
    <w:p w14:paraId="79BED6AD" w14:textId="77777777" w:rsidR="00275F0E" w:rsidRDefault="00275F0E">
      <w:pPr>
        <w:spacing w:after="160"/>
      </w:pPr>
    </w:p>
    <w:p w14:paraId="293EAC2D" w14:textId="77777777" w:rsidR="00275F0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A6B0CE" wp14:editId="75D9B735">
            <wp:extent cx="4038600" cy="5334000"/>
            <wp:effectExtent l="0" t="0" r="0" b="0"/>
            <wp:docPr id="897438710" name="Imagem 89743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019A" w14:textId="77777777" w:rsidR="00275F0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F716D"/>
          <w:sz w:val="16"/>
          <w:szCs w:val="16"/>
        </w:rPr>
        <w:t>Figura — figuras/missing_por_municipio.png</w:t>
      </w:r>
    </w:p>
    <w:p w14:paraId="522A672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problema está concentrado numa variável.</w:t>
      </w:r>
      <w:r>
        <w:rPr>
          <w:rFonts w:ascii="Calibri" w:eastAsia="Calibri" w:hAnsi="Calibri" w:cs="Calibri"/>
          <w:sz w:val="21"/>
          <w:szCs w:val="21"/>
        </w:rPr>
        <w:t xml:space="preserve"> Seis das sete têm cobertura praticamente total. O analfabetismo perde 15,9% dos setores porque o IBGE suprime a contagem de analfabetos (</w:t>
      </w:r>
      <w:r>
        <w:rPr>
          <w:rFonts w:ascii="Consolas" w:eastAsia="Consolas" w:hAnsi="Consolas" w:cs="Consolas"/>
          <w:color w:val="0E6B62"/>
          <w:sz w:val="19"/>
          <w:szCs w:val="19"/>
        </w:rPr>
        <w:t>V00901</w:t>
      </w:r>
      <w:r>
        <w:rPr>
          <w:rFonts w:ascii="Calibri" w:eastAsia="Calibri" w:hAnsi="Calibri" w:cs="Calibri"/>
          <w:sz w:val="21"/>
          <w:szCs w:val="21"/>
        </w:rPr>
        <w:t>) quando ela é pequena.</w:t>
      </w:r>
    </w:p>
    <w:p w14:paraId="3FC541A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Municípios mais afetados: Belo Horizonte (22,5%), Araçatuba (18,8%), Brasília (16,3%), Ananindeua (9,7%), Belém (6,8%).</w:t>
      </w:r>
    </w:p>
    <w:p w14:paraId="0D756E4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sigilo não é aleatório — é informativo.</w:t>
      </w:r>
      <w:r>
        <w:rPr>
          <w:rFonts w:ascii="Calibri" w:eastAsia="Calibri" w:hAnsi="Calibri" w:cs="Calibri"/>
          <w:sz w:val="21"/>
          <w:szCs w:val="21"/>
        </w:rPr>
        <w:t xml:space="preserve"> Ele incide onde o número absoluto de analfabetos é pequeno, isto é, nos setores urbanos de melhor situação educacional. Isso significa que:</w:t>
      </w:r>
    </w:p>
    <w:p w14:paraId="6D13765F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imputar zero enviesaria o índice</w:t>
      </w:r>
      <w:r>
        <w:rPr>
          <w:rFonts w:ascii="Calibri" w:eastAsia="Calibri" w:hAnsi="Calibri" w:cs="Calibri"/>
          <w:sz w:val="21"/>
          <w:szCs w:val="21"/>
        </w:rPr>
        <w:t>, subestimando o analfabetismo exatamente nas áreas de menor vulnerabilidade e comprimindo artificialmente a variabilidade do indicador;</w:t>
      </w:r>
    </w:p>
    <w:p w14:paraId="1EB114A6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descartar os setores</w:t>
      </w:r>
      <w:r>
        <w:rPr>
          <w:rFonts w:ascii="Calibri" w:eastAsia="Calibri" w:hAnsi="Calibri" w:cs="Calibri"/>
          <w:sz w:val="21"/>
          <w:szCs w:val="21"/>
        </w:rPr>
        <w:t xml:space="preserve"> reduziria o conjunto analítico em 16% e o faria de forma seletiva, eliminando preferencialmente os setores de melhor situação.</w:t>
      </w:r>
    </w:p>
    <w:p w14:paraId="0A71DAC8" w14:textId="77777777" w:rsidR="00275F0E" w:rsidRDefault="00000000">
      <w:pPr>
        <w:spacing w:after="140" w:line="276" w:lineRule="auto"/>
        <w:jc w:val="both"/>
      </w:pPr>
      <w:r w:rsidRPr="006F23D7">
        <w:rPr>
          <w:rFonts w:ascii="Calibri" w:eastAsia="Calibri" w:hAnsi="Calibri" w:cs="Calibri"/>
          <w:sz w:val="21"/>
          <w:szCs w:val="21"/>
          <w:highlight w:val="magenta"/>
        </w:rPr>
        <w:t xml:space="preserve">Na EDA mantive os valores ausentes. </w:t>
      </w:r>
      <w:r w:rsidRPr="006F23D7">
        <w:rPr>
          <w:rFonts w:ascii="Calibri" w:eastAsia="Calibri" w:hAnsi="Calibri" w:cs="Calibri"/>
          <w:sz w:val="21"/>
          <w:szCs w:val="21"/>
          <w:highlight w:val="yellow"/>
        </w:rPr>
        <w:t>Para o cálculo do índice a política precisa ser definida explicitamente; a alternativa mais defensável é imputação por mediana municipal com indicador de imputação, mas isso ainda não está decidido.</w:t>
      </w:r>
    </w:p>
    <w:p w14:paraId="4CE2E028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36BE2C88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9. Estrutura de Correlações</w:t>
      </w:r>
    </w:p>
    <w:p w14:paraId="38BF3A9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Matriz de </w:t>
      </w:r>
      <w:proofErr w:type="spellStart"/>
      <w:r>
        <w:rPr>
          <w:rFonts w:ascii="Calibri" w:eastAsia="Calibri" w:hAnsi="Calibri" w:cs="Calibri"/>
          <w:sz w:val="21"/>
          <w:szCs w:val="21"/>
        </w:rPr>
        <w:t>Spearman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; a de Pearson está em </w:t>
      </w:r>
      <w:r>
        <w:rPr>
          <w:rFonts w:ascii="Consolas" w:eastAsia="Consolas" w:hAnsi="Consolas" w:cs="Consolas"/>
          <w:color w:val="0E6B62"/>
          <w:sz w:val="19"/>
          <w:szCs w:val="19"/>
        </w:rPr>
        <w:t>correlacao_pearson.csv</w:t>
      </w:r>
      <w:r>
        <w:rPr>
          <w:rFonts w:ascii="Calibri" w:eastAsia="Calibri" w:hAnsi="Calibri" w:cs="Calibri"/>
          <w:sz w:val="21"/>
          <w:szCs w:val="21"/>
        </w:rPr>
        <w:t xml:space="preserve">. Uso </w:t>
      </w:r>
      <w:proofErr w:type="spellStart"/>
      <w:r>
        <w:rPr>
          <w:rFonts w:ascii="Calibri" w:eastAsia="Calibri" w:hAnsi="Calibri" w:cs="Calibri"/>
          <w:sz w:val="21"/>
          <w:szCs w:val="21"/>
        </w:rPr>
        <w:t>Spearman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como referência porque as distribuições estão longe da normalidade.</w:t>
      </w:r>
    </w:p>
    <w:p w14:paraId="1B3897BE" w14:textId="77777777" w:rsidR="00275F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566D6E" wp14:editId="5AB0F47E">
            <wp:extent cx="5905500" cy="2533650"/>
            <wp:effectExtent l="0" t="0" r="0" b="0"/>
            <wp:docPr id="558781668" name="Imagem 558781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0D6B" w14:textId="77777777" w:rsidR="00275F0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F716D"/>
          <w:sz w:val="16"/>
          <w:szCs w:val="16"/>
        </w:rPr>
        <w:t>Figura — figuras/matriz_correlacao.png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904"/>
        <w:gridCol w:w="904"/>
        <w:gridCol w:w="904"/>
        <w:gridCol w:w="1355"/>
        <w:gridCol w:w="1205"/>
        <w:gridCol w:w="904"/>
        <w:gridCol w:w="902"/>
      </w:tblGrid>
      <w:tr w:rsidR="00275F0E" w14:paraId="7E30D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A0F4" w14:textId="77777777" w:rsidR="00275F0E" w:rsidRDefault="00275F0E"/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9D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Água</w:t>
            </w:r>
          </w:p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211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Esgoto</w:t>
            </w:r>
          </w:p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646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Lixo</w:t>
            </w:r>
          </w:p>
        </w:tc>
        <w:tc>
          <w:tcPr>
            <w:tcW w:w="135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6BF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Moradores</w:t>
            </w:r>
          </w:p>
        </w:tc>
        <w:tc>
          <w:tcPr>
            <w:tcW w:w="120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79D8" w14:textId="77777777" w:rsidR="00275F0E" w:rsidRDefault="00000000">
            <w:pPr>
              <w:jc w:val="right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Analfab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F81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Renda</w:t>
            </w:r>
          </w:p>
        </w:tc>
        <w:tc>
          <w:tcPr>
            <w:tcW w:w="90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1D3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PPI</w:t>
            </w:r>
          </w:p>
        </w:tc>
      </w:tr>
      <w:tr w:rsidR="00275F0E" w14:paraId="1EB52D3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9A25E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Água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6B38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1676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0,42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7D65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</w:t>
            </w:r>
          </w:p>
        </w:tc>
        <w:tc>
          <w:tcPr>
            <w:tcW w:w="13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5D8B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0,26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79E8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A584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−0,26</w:t>
            </w:r>
          </w:p>
        </w:tc>
        <w:tc>
          <w:tcPr>
            <w:tcW w:w="9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A239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0,35</w:t>
            </w:r>
          </w:p>
        </w:tc>
      </w:tr>
      <w:tr w:rsidR="00275F0E" w14:paraId="4997745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4F931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Esgoto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88E9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0,42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2FCC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7B0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0,20</w:t>
            </w:r>
          </w:p>
        </w:tc>
        <w:tc>
          <w:tcPr>
            <w:tcW w:w="135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40BB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0,35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2492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0,43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CC60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−0,45</w:t>
            </w:r>
          </w:p>
        </w:tc>
        <w:tc>
          <w:tcPr>
            <w:tcW w:w="90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55C6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0,43</w:t>
            </w:r>
          </w:p>
        </w:tc>
      </w:tr>
      <w:tr w:rsidR="00275F0E" w14:paraId="3510CA3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66CDE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Lixo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B5CE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73AF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D1E8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13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8AE8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−0,06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C658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0,16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0E3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−0,16</w:t>
            </w:r>
          </w:p>
        </w:tc>
        <w:tc>
          <w:tcPr>
            <w:tcW w:w="9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D736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0,19</w:t>
            </w:r>
          </w:p>
        </w:tc>
      </w:tr>
      <w:tr w:rsidR="00275F0E" w14:paraId="5AF4F49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9DE91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Moradores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C4AE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0,26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32F4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0,35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A889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−0,06</w:t>
            </w:r>
          </w:p>
        </w:tc>
        <w:tc>
          <w:tcPr>
            <w:tcW w:w="135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61C9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36E5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0,41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D2D9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−0,44</w:t>
            </w:r>
          </w:p>
        </w:tc>
        <w:tc>
          <w:tcPr>
            <w:tcW w:w="90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ACAD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0,46</w:t>
            </w:r>
          </w:p>
        </w:tc>
      </w:tr>
      <w:tr w:rsidR="00275F0E" w14:paraId="5153BFC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85E8A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Analfabetismo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F762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47B7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1E8D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0,16</w:t>
            </w:r>
          </w:p>
        </w:tc>
        <w:tc>
          <w:tcPr>
            <w:tcW w:w="13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E3AB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0,41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EC08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C598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−0,76</w:t>
            </w:r>
          </w:p>
        </w:tc>
        <w:tc>
          <w:tcPr>
            <w:tcW w:w="9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448A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0,63</w:t>
            </w:r>
          </w:p>
        </w:tc>
      </w:tr>
      <w:tr w:rsidR="00275F0E" w14:paraId="77991A8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0127A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Renda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1911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−0,26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8C14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−0,45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AAB8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−0,16</w:t>
            </w:r>
          </w:p>
        </w:tc>
        <w:tc>
          <w:tcPr>
            <w:tcW w:w="135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3873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−0,44</w:t>
            </w:r>
          </w:p>
        </w:tc>
        <w:tc>
          <w:tcPr>
            <w:tcW w:w="12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6A6F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−0,76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019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  <w:tc>
          <w:tcPr>
            <w:tcW w:w="90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8307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−0,81</w:t>
            </w:r>
          </w:p>
        </w:tc>
      </w:tr>
      <w:tr w:rsidR="00275F0E" w14:paraId="36AA214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B9531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PPI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7653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0,35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30F2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A188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0,19</w:t>
            </w:r>
          </w:p>
        </w:tc>
        <w:tc>
          <w:tcPr>
            <w:tcW w:w="13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BAB1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0,46</w:t>
            </w:r>
          </w:p>
        </w:tc>
        <w:tc>
          <w:tcPr>
            <w:tcW w:w="12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F661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0,63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CB7A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−0,81</w:t>
            </w:r>
          </w:p>
        </w:tc>
        <w:tc>
          <w:tcPr>
            <w:tcW w:w="9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D809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</w:t>
            </w:r>
          </w:p>
        </w:tc>
      </w:tr>
    </w:tbl>
    <w:p w14:paraId="37CBF78A" w14:textId="77777777" w:rsidR="00275F0E" w:rsidRDefault="00275F0E">
      <w:pPr>
        <w:spacing w:after="160"/>
      </w:pPr>
    </w:p>
    <w:p w14:paraId="26E432F0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9.1 Leitura</w:t>
      </w:r>
    </w:p>
    <w:p w14:paraId="1B82F7CF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Um bloco socioeconômico muito coeso.</w:t>
      </w:r>
      <w:r>
        <w:rPr>
          <w:rFonts w:ascii="Calibri" w:eastAsia="Calibri" w:hAnsi="Calibri" w:cs="Calibri"/>
          <w:sz w:val="21"/>
          <w:szCs w:val="21"/>
        </w:rPr>
        <w:t xml:space="preserve"> Renda, cor/raça e analfabetismo formam um triângulo de correlações fortes: −0,81, −0,76 e 0,63. As três medem, em boa parte, o mesmo construto latente de posição social do território.</w:t>
      </w:r>
    </w:p>
    <w:p w14:paraId="0A6972C8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Um bloco de saneamento moderado.</w:t>
      </w:r>
      <w:r>
        <w:rPr>
          <w:rFonts w:ascii="Calibri" w:eastAsia="Calibri" w:hAnsi="Calibri" w:cs="Calibri"/>
          <w:sz w:val="21"/>
          <w:szCs w:val="21"/>
        </w:rPr>
        <w:t xml:space="preserve"> Água e esgoto se correlacionam a 0,42, e ambos se ligam ao bloco socioeconômico com magnitudes entre 0,23 e 0,45. É uma dimensão distinta, mas não ortogonal.</w:t>
      </w:r>
    </w:p>
    <w:p w14:paraId="0A65071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lixo isolado.</w:t>
      </w:r>
      <w:r>
        <w:rPr>
          <w:rFonts w:ascii="Calibri" w:eastAsia="Calibri" w:hAnsi="Calibri" w:cs="Calibri"/>
          <w:sz w:val="21"/>
          <w:szCs w:val="21"/>
        </w:rPr>
        <w:t xml:space="preserve"> Correlaciona-se de 0,10 a 0,20 com todas as demais e −0,06 com a razão de moradores. Não pertence claramente a nenhum dos dois blocos.</w:t>
      </w:r>
    </w:p>
    <w:p w14:paraId="60CD2204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razão de moradores é intermediária</w:t>
      </w:r>
      <w:r>
        <w:rPr>
          <w:rFonts w:ascii="Calibri" w:eastAsia="Calibri" w:hAnsi="Calibri" w:cs="Calibri"/>
          <w:sz w:val="21"/>
          <w:szCs w:val="21"/>
        </w:rPr>
        <w:t>, com correlações de 0,26 a 0,46 com quase tudo — comporta-se como variável de ligação entre as duas dimensões.</w:t>
      </w:r>
    </w:p>
    <w:p w14:paraId="389EE38C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9.2 Implicações para a análise fatorial</w:t>
      </w:r>
    </w:p>
    <w:p w14:paraId="428C4182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Esperar </w:t>
      </w:r>
      <w:r>
        <w:rPr>
          <w:rFonts w:ascii="Calibri" w:eastAsia="Calibri" w:hAnsi="Calibri" w:cs="Calibri"/>
          <w:b/>
          <w:bCs/>
          <w:sz w:val="21"/>
          <w:szCs w:val="21"/>
        </w:rPr>
        <w:t>dois fatores</w:t>
      </w:r>
      <w:r>
        <w:rPr>
          <w:rFonts w:ascii="Calibri" w:eastAsia="Calibri" w:hAnsi="Calibri" w:cs="Calibri"/>
          <w:sz w:val="21"/>
          <w:szCs w:val="21"/>
        </w:rPr>
        <w:t>, e não os dois blocos teóricos simetricamente: um fator socioeconômico forte (renda, PPI, analfabetismo, com a razão de moradores carregando parcialmente) e um fator de saneamento mais fraco (água e esgoto).</w:t>
      </w:r>
    </w:p>
    <w:p w14:paraId="19B9F54A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 lixo provavelmente ficará com comunalidade baixa</w:t>
      </w:r>
      <w:r>
        <w:rPr>
          <w:rFonts w:ascii="Calibri" w:eastAsia="Calibri" w:hAnsi="Calibri" w:cs="Calibri"/>
          <w:sz w:val="21"/>
          <w:szCs w:val="21"/>
        </w:rPr>
        <w:t xml:space="preserve"> em ambos os fatores. Será preciso decidir se permanece no índice, se entra com peso reduzido ou se é reportado como indicador descritivo à parte.</w:t>
      </w:r>
    </w:p>
    <w:p w14:paraId="0E03E24A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lastRenderedPageBreak/>
        <w:t>A colinearidade do bloco socioeconômico é o argumento técnico a favor de pesos empíricos: uma ponderação igual entre as sete variáveis daria à posição social três votos e ao saneamento dois e meio, sem que essa fosse uma escolha deliberada.</w:t>
      </w:r>
    </w:p>
    <w:p w14:paraId="460CF285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79C0B6A6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10. Blocos Descritivos Complementares</w:t>
      </w:r>
    </w:p>
    <w:p w14:paraId="712BF27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Estes indicadores não integram o IVS. Caracterizam o território e alimentam as tabelas descritivas do artigo.</w:t>
      </w:r>
    </w:p>
    <w:p w14:paraId="3E00C7DF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10.1 Habitação precária e banheiro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054"/>
        <w:gridCol w:w="1054"/>
        <w:gridCol w:w="904"/>
        <w:gridCol w:w="904"/>
        <w:gridCol w:w="903"/>
      </w:tblGrid>
      <w:tr w:rsidR="00275F0E" w14:paraId="316FF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825D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105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072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05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FCB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F65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P95</w:t>
            </w:r>
          </w:p>
        </w:tc>
        <w:tc>
          <w:tcPr>
            <w:tcW w:w="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074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P99</w:t>
            </w:r>
          </w:p>
        </w:tc>
        <w:tc>
          <w:tcPr>
            <w:tcW w:w="903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2EB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Máximo</w:t>
            </w:r>
          </w:p>
        </w:tc>
      </w:tr>
      <w:tr w:rsidR="00275F0E" w14:paraId="7923333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3F3E5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pct_dom_improv</w:t>
            </w:r>
            <w:proofErr w:type="spellEnd"/>
          </w:p>
        </w:tc>
        <w:tc>
          <w:tcPr>
            <w:tcW w:w="10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0530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98.969</w:t>
            </w:r>
          </w:p>
        </w:tc>
        <w:tc>
          <w:tcPr>
            <w:tcW w:w="10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D641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0,00073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6BE6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401C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90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6547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0,973</w:t>
            </w:r>
          </w:p>
        </w:tc>
      </w:tr>
      <w:tr w:rsidR="00275F0E" w14:paraId="27B545B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0CAF4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pct_hab_precaria</w:t>
            </w:r>
            <w:proofErr w:type="spellEnd"/>
          </w:p>
        </w:tc>
        <w:tc>
          <w:tcPr>
            <w:tcW w:w="105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6C3C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105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1EB5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0,00654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EED2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0,026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BFA7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0,165</w:t>
            </w:r>
          </w:p>
        </w:tc>
        <w:tc>
          <w:tcPr>
            <w:tcW w:w="90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5254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</w:t>
            </w:r>
          </w:p>
        </w:tc>
      </w:tr>
      <w:tr w:rsidR="00275F0E" w14:paraId="0223F4A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0DE7D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pct_sem_banheiro</w:t>
            </w:r>
            <w:proofErr w:type="spellEnd"/>
          </w:p>
        </w:tc>
        <w:tc>
          <w:tcPr>
            <w:tcW w:w="10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44D2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91.912</w:t>
            </w:r>
          </w:p>
        </w:tc>
        <w:tc>
          <w:tcPr>
            <w:tcW w:w="10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0D92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0,00235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7EDB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8181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0,055</w:t>
            </w:r>
          </w:p>
        </w:tc>
        <w:tc>
          <w:tcPr>
            <w:tcW w:w="90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1F8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1,000</w:t>
            </w:r>
          </w:p>
        </w:tc>
      </w:tr>
      <w:tr w:rsidR="00275F0E" w14:paraId="6405428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CBC4D" w14:textId="77777777" w:rsidR="00275F0E" w:rsidRDefault="00000000">
            <w:proofErr w:type="spellStart"/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pct_sem_banheiro_nem_sanitario</w:t>
            </w:r>
            <w:proofErr w:type="spellEnd"/>
          </w:p>
        </w:tc>
        <w:tc>
          <w:tcPr>
            <w:tcW w:w="105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09A7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101.139</w:t>
            </w:r>
          </w:p>
        </w:tc>
        <w:tc>
          <w:tcPr>
            <w:tcW w:w="105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26C1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0,00016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9BCA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6DD4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0,000</w:t>
            </w:r>
          </w:p>
        </w:tc>
        <w:tc>
          <w:tcPr>
            <w:tcW w:w="90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4F19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0,667</w:t>
            </w:r>
          </w:p>
        </w:tc>
      </w:tr>
    </w:tbl>
    <w:p w14:paraId="38D583D1" w14:textId="77777777" w:rsidR="00275F0E" w:rsidRDefault="00275F0E">
      <w:pPr>
        <w:spacing w:after="160"/>
      </w:pPr>
    </w:p>
    <w:p w14:paraId="722EB5C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São fenômenos raros no recorte urbano: as medianas e mesmo os percentis 90 são zero em todos os quatro. A privação sanitária extrema praticamente desapareceu das cidades da amostra, o que justifica mantê-los fora do índice — não discriminariam setores.</w:t>
      </w:r>
    </w:p>
    <w:p w14:paraId="05016141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10.2 Pessoa responsável do sexo feminino</w:t>
      </w:r>
    </w:p>
    <w:p w14:paraId="20FC9DC2" w14:textId="77777777" w:rsidR="00275F0E" w:rsidRDefault="00000000">
      <w:pPr>
        <w:spacing w:after="140" w:line="276" w:lineRule="auto"/>
        <w:jc w:val="both"/>
      </w:pPr>
      <w:r>
        <w:rPr>
          <w:rFonts w:ascii="Consolas" w:eastAsia="Consolas" w:hAnsi="Consolas" w:cs="Consolas"/>
          <w:color w:val="0E6B62"/>
          <w:sz w:val="19"/>
          <w:szCs w:val="19"/>
        </w:rPr>
        <w:t>V01063 ÷ (V01062 + V01063)</w:t>
      </w:r>
      <w:r>
        <w:rPr>
          <w:rFonts w:ascii="Calibri" w:eastAsia="Calibri" w:hAnsi="Calibri" w:cs="Calibri"/>
          <w:sz w:val="21"/>
          <w:szCs w:val="21"/>
        </w:rPr>
        <w:t>. Média de 52,81% e mediana de 53,39% (n = 103.961). Por região: Nordeste 55,4%, Norte 54,2%, Sudeste 52,5%, Sul 51,3%, Centro-Oeste 49,8%. Na maioria dos setores urbanos da amostra, portanto, as mulheres já são maioria entre as pessoas responsáveis pelo domicílio.</w:t>
      </w:r>
    </w:p>
    <w:p w14:paraId="163CD639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10.3 Indicadores de envelhecimento</w:t>
      </w:r>
    </w:p>
    <w:p w14:paraId="36F30BC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Definições do Quadro 1 de Galvão et al.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Hygeia</w:t>
      </w:r>
      <w:proofErr w:type="spellEnd"/>
      <w:r>
        <w:rPr>
          <w:rFonts w:ascii="Calibri" w:eastAsia="Calibri" w:hAnsi="Calibri" w:cs="Calibri"/>
          <w:sz w:val="21"/>
          <w:szCs w:val="21"/>
        </w:rPr>
        <w:t>, v.21, e2106, 2025), que adota os indicadores das Nações Unidas.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5"/>
        <w:gridCol w:w="3044"/>
        <w:gridCol w:w="2029"/>
      </w:tblGrid>
      <w:tr w:rsidR="00275F0E" w14:paraId="283A1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4DD9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04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4A0A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Fórmula (× 100)</w:t>
            </w:r>
          </w:p>
        </w:tc>
        <w:tc>
          <w:tcPr>
            <w:tcW w:w="2029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0AB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 no recorte</w:t>
            </w:r>
          </w:p>
        </w:tc>
      </w:tr>
      <w:tr w:rsidR="00275F0E" w14:paraId="2DC10C36" w14:textId="77777777">
        <w:tblPrEx>
          <w:tblCellMar>
            <w:top w:w="0" w:type="dxa"/>
            <w:bottom w:w="0" w:type="dxa"/>
          </w:tblCellMar>
        </w:tblPrEx>
        <w:tc>
          <w:tcPr>
            <w:tcW w:w="45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A4D21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IEP — Índice de Envelhecimento</w:t>
            </w:r>
          </w:p>
        </w:tc>
        <w:tc>
          <w:tcPr>
            <w:tcW w:w="30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DD8D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60+ ÷ menores de 15 anos</w:t>
            </w:r>
          </w:p>
        </w:tc>
        <w:tc>
          <w:tcPr>
            <w:tcW w:w="20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4482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92,7</w:t>
            </w:r>
          </w:p>
        </w:tc>
      </w:tr>
      <w:tr w:rsidR="00275F0E" w14:paraId="5CB0C1B5" w14:textId="77777777">
        <w:tblPrEx>
          <w:tblCellMar>
            <w:top w:w="0" w:type="dxa"/>
            <w:bottom w:w="0" w:type="dxa"/>
          </w:tblCellMar>
        </w:tblPrEx>
        <w:tc>
          <w:tcPr>
            <w:tcW w:w="456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E39C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RDI — Razão de dependência de idosos</w:t>
            </w:r>
          </w:p>
        </w:tc>
        <w:tc>
          <w:tcPr>
            <w:tcW w:w="30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A553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60+ ÷ 15 a 59 anos</w:t>
            </w:r>
          </w:p>
        </w:tc>
        <w:tc>
          <w:tcPr>
            <w:tcW w:w="202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2F57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25,5</w:t>
            </w:r>
          </w:p>
        </w:tc>
      </w:tr>
      <w:tr w:rsidR="00275F0E" w14:paraId="455AAAF7" w14:textId="77777777">
        <w:tblPrEx>
          <w:tblCellMar>
            <w:top w:w="0" w:type="dxa"/>
            <w:bottom w:w="0" w:type="dxa"/>
          </w:tblCellMar>
        </w:tblPrEx>
        <w:tc>
          <w:tcPr>
            <w:tcW w:w="45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41BE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Percentual de 60 anos ou mais</w:t>
            </w:r>
          </w:p>
        </w:tc>
        <w:tc>
          <w:tcPr>
            <w:tcW w:w="30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FADB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60+ ÷ população total</w:t>
            </w:r>
          </w:p>
        </w:tc>
        <w:tc>
          <w:tcPr>
            <w:tcW w:w="20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7E07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16,65%</w:t>
            </w:r>
          </w:p>
        </w:tc>
      </w:tr>
      <w:tr w:rsidR="00275F0E" w14:paraId="6697E56A" w14:textId="77777777">
        <w:tblPrEx>
          <w:tblCellMar>
            <w:top w:w="0" w:type="dxa"/>
            <w:bottom w:w="0" w:type="dxa"/>
          </w:tblCellMar>
        </w:tblPrEx>
        <w:tc>
          <w:tcPr>
            <w:tcW w:w="456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DA3F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Percentual de menores de 15 anos</w:t>
            </w:r>
          </w:p>
        </w:tc>
        <w:tc>
          <w:tcPr>
            <w:tcW w:w="30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90E1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202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E080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17,96%</w:t>
            </w:r>
          </w:p>
        </w:tc>
      </w:tr>
    </w:tbl>
    <w:p w14:paraId="6C48F5A9" w14:textId="77777777" w:rsidR="00275F0E" w:rsidRDefault="00275F0E">
      <w:pPr>
        <w:spacing w:after="160"/>
      </w:pPr>
    </w:p>
    <w:p w14:paraId="460552A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Por região: Sul 111,9 · Sudeste 105,5 · Nordeste 81,7 · Centro-Oeste 73,0 · Norte 56,3. No Sul e no Sudeste da amostra já há mais idosos do que crianças.</w:t>
      </w:r>
    </w:p>
    <w:p w14:paraId="554086B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Correção do denominador.</w:t>
      </w:r>
      <w:r>
        <w:rPr>
          <w:rFonts w:ascii="Calibri" w:eastAsia="Calibri" w:hAnsi="Calibri" w:cs="Calibri"/>
          <w:sz w:val="21"/>
          <w:szCs w:val="21"/>
        </w:rPr>
        <w:t xml:space="preserve"> A versão anterior calculava o índice como idosos ÷ crianças de 0 a 4 anos (</w:t>
      </w:r>
      <w:r>
        <w:rPr>
          <w:rFonts w:ascii="Consolas" w:eastAsia="Consolas" w:hAnsi="Consolas" w:cs="Consolas"/>
          <w:color w:val="0E6B62"/>
          <w:sz w:val="19"/>
          <w:szCs w:val="19"/>
        </w:rPr>
        <w:t>V01031</w:t>
      </w:r>
      <w:r>
        <w:rPr>
          <w:rFonts w:ascii="Calibri" w:eastAsia="Calibri" w:hAnsi="Calibri" w:cs="Calibri"/>
          <w:sz w:val="21"/>
          <w:szCs w:val="21"/>
        </w:rPr>
        <w:t>). O denominador correto é a população com menos de 15 anos (</w:t>
      </w:r>
      <w:r>
        <w:rPr>
          <w:rFonts w:ascii="Consolas" w:eastAsia="Consolas" w:hAnsi="Consolas" w:cs="Consolas"/>
          <w:color w:val="0E6B62"/>
          <w:sz w:val="19"/>
          <w:szCs w:val="19"/>
        </w:rPr>
        <w:t>V01031 + V01032 + V01033</w:t>
      </w:r>
      <w:r>
        <w:rPr>
          <w:rFonts w:ascii="Calibri" w:eastAsia="Calibri" w:hAnsi="Calibri" w:cs="Calibri"/>
          <w:sz w:val="21"/>
          <w:szCs w:val="21"/>
        </w:rPr>
        <w:t>). Com o denominador antigo o índice ficava cerca de três vezes maior e não era comparável com nenhuma referência publicada.</w:t>
      </w:r>
    </w:p>
    <w:p w14:paraId="277C0CB8" w14:textId="77777777" w:rsidR="00275F0E" w:rsidRDefault="00000000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A Longevidade (75+ ÷ 60+) não é calculável</w:t>
      </w:r>
      <w:r>
        <w:rPr>
          <w:rFonts w:ascii="Calibri" w:eastAsia="Calibri" w:hAnsi="Calibri" w:cs="Calibri"/>
          <w:sz w:val="21"/>
          <w:szCs w:val="21"/>
        </w:rPr>
        <w:t xml:space="preserve"> nos agregados por setor: a faixa mais fina no topo da pirâmide é </w:t>
      </w:r>
      <w:r>
        <w:rPr>
          <w:rFonts w:ascii="Consolas" w:eastAsia="Consolas" w:hAnsi="Consolas" w:cs="Consolas"/>
          <w:color w:val="0E6B62"/>
          <w:sz w:val="19"/>
          <w:szCs w:val="19"/>
        </w:rPr>
        <w:t>V01041</w:t>
      </w:r>
      <w:r>
        <w:rPr>
          <w:rFonts w:ascii="Calibri" w:eastAsia="Calibri" w:hAnsi="Calibri" w:cs="Calibri"/>
          <w:sz w:val="21"/>
          <w:szCs w:val="21"/>
        </w:rPr>
        <w:t xml:space="preserve"> = "70 anos ou mais". Calculo a proporção de 70+ entre os 60+ (44,6% no recorte) como substituto parcial, explicitamente rotulado como tal.</w:t>
      </w:r>
    </w:p>
    <w:p w14:paraId="7AF6E7E0" w14:textId="77777777" w:rsidR="005E449E" w:rsidRDefault="005E449E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10A6DAC7" w14:textId="77777777" w:rsidR="005E449E" w:rsidRDefault="005E449E">
      <w:pPr>
        <w:spacing w:after="140" w:line="276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306D9C54" w14:textId="77777777" w:rsidR="005E449E" w:rsidRDefault="005E449E">
      <w:pPr>
        <w:spacing w:after="140" w:line="276" w:lineRule="auto"/>
        <w:jc w:val="both"/>
      </w:pPr>
    </w:p>
    <w:p w14:paraId="5D00AF35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lastRenderedPageBreak/>
        <w:t>10.4 Tipo de domicílio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4"/>
        <w:gridCol w:w="1190"/>
        <w:gridCol w:w="1904"/>
      </w:tblGrid>
      <w:tr w:rsidR="00275F0E" w14:paraId="667B6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4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5F37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119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AE7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Domicílios</w:t>
            </w:r>
          </w:p>
        </w:tc>
        <w:tc>
          <w:tcPr>
            <w:tcW w:w="190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5A2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 sobre `V00001`</w:t>
            </w:r>
          </w:p>
        </w:tc>
      </w:tr>
      <w:tr w:rsidR="00275F0E" w14:paraId="77B8B220" w14:textId="77777777">
        <w:tblPrEx>
          <w:tblCellMar>
            <w:top w:w="0" w:type="dxa"/>
            <w:bottom w:w="0" w:type="dxa"/>
          </w:tblCellMar>
        </w:tblPrEx>
        <w:tc>
          <w:tcPr>
            <w:tcW w:w="65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DD0B8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Convencional (casa, vila/condomínio, apartamento)</w:t>
            </w:r>
          </w:p>
        </w:tc>
        <w:tc>
          <w:tcPr>
            <w:tcW w:w="11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CED0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19.128.392</w:t>
            </w:r>
          </w:p>
        </w:tc>
        <w:tc>
          <w:tcPr>
            <w:tcW w:w="1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DD24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99,187%</w:t>
            </w:r>
          </w:p>
        </w:tc>
      </w:tr>
      <w:tr w:rsidR="00275F0E" w14:paraId="2BB66EF2" w14:textId="77777777">
        <w:tblPrEx>
          <w:tblCellMar>
            <w:top w:w="0" w:type="dxa"/>
            <w:bottom w:w="0" w:type="dxa"/>
          </w:tblCellMar>
        </w:tblPrEx>
        <w:tc>
          <w:tcPr>
            <w:tcW w:w="654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668A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convencional (cortiço, maloca, estrutura degradada)</w:t>
            </w:r>
          </w:p>
        </w:tc>
        <w:tc>
          <w:tcPr>
            <w:tcW w:w="119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2E8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110.168</w:t>
            </w:r>
          </w:p>
        </w:tc>
        <w:tc>
          <w:tcPr>
            <w:tcW w:w="190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AA77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0,571%</w:t>
            </w:r>
          </w:p>
        </w:tc>
      </w:tr>
      <w:tr w:rsidR="00275F0E" w14:paraId="553E71B0" w14:textId="77777777">
        <w:tblPrEx>
          <w:tblCellMar>
            <w:top w:w="0" w:type="dxa"/>
            <w:bottom w:w="0" w:type="dxa"/>
          </w:tblCellMar>
        </w:tblPrEx>
        <w:tc>
          <w:tcPr>
            <w:tcW w:w="65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B0C1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Improvisado (DPIO)</w:t>
            </w:r>
          </w:p>
        </w:tc>
        <w:tc>
          <w:tcPr>
            <w:tcW w:w="11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C71F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11.525</w:t>
            </w:r>
          </w:p>
        </w:tc>
        <w:tc>
          <w:tcPr>
            <w:tcW w:w="19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D5B9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0,060%</w:t>
            </w:r>
          </w:p>
        </w:tc>
      </w:tr>
    </w:tbl>
    <w:p w14:paraId="579C46A0" w14:textId="77777777" w:rsidR="00275F0E" w:rsidRDefault="00275F0E">
      <w:pPr>
        <w:spacing w:after="160"/>
      </w:pPr>
    </w:p>
    <w:p w14:paraId="214E523A" w14:textId="77777777" w:rsidR="00275F0E" w:rsidRDefault="00000000">
      <w:pPr>
        <w:spacing w:after="140" w:line="276" w:lineRule="auto"/>
        <w:jc w:val="both"/>
      </w:pP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pct_apartamento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E6B62"/>
          <w:sz w:val="19"/>
          <w:szCs w:val="19"/>
        </w:rPr>
        <w:t>V00049 ÷ V00001</w:t>
      </w:r>
      <w:r>
        <w:rPr>
          <w:rFonts w:ascii="Calibri" w:eastAsia="Calibri" w:hAnsi="Calibri" w:cs="Calibri"/>
          <w:sz w:val="21"/>
          <w:szCs w:val="21"/>
        </w:rPr>
        <w:t>: média de 31,5% entre setores, com gradiente Sul 39,0% · Sudeste 34,8% · Centro-Oeste 29,0% · Nordeste 23,8% · Norte 16,4%. Municípios mais verticalizados: São Caetano do Sul (53,4%), Porto Alegre (52,4%), Rio de Janeiro (42,1%).</w:t>
      </w:r>
    </w:p>
    <w:p w14:paraId="54B5365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Verificação do denominador.</w:t>
      </w:r>
      <w:r>
        <w:rPr>
          <w:rFonts w:ascii="Calibri" w:eastAsia="Calibri" w:hAnsi="Calibri" w:cs="Calibri"/>
          <w:sz w:val="21"/>
          <w:szCs w:val="21"/>
        </w:rPr>
        <w:t xml:space="preserve"> A soma dos seis tipos de domicílio permanente nunca ultrapassa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 em nenhum dos 104 mil setores; quando fica abaixo, o déficit é de no máximo seis domicílios e decorre de sigilo em parcelas pequenas. Isso confirma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 como denominador correto para o bloco.</w:t>
      </w:r>
    </w:p>
    <w:p w14:paraId="46F27515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10.5 Setores de favela e comunidade urbana</w:t>
      </w:r>
    </w:p>
    <w:p w14:paraId="5E82796C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Censo 2022 substituiu a categoria "aglomerado subnormal" pelas Favelas e Comunidades Urbanas, marcadas em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 = 1</w:t>
      </w:r>
      <w:r>
        <w:rPr>
          <w:rFonts w:ascii="Calibri" w:eastAsia="Calibri" w:hAnsi="Calibri" w:cs="Calibri"/>
          <w:sz w:val="21"/>
          <w:szCs w:val="21"/>
        </w:rPr>
        <w:t>.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275F0E" w14:paraId="6FFA0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3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196C" w14:textId="77777777" w:rsidR="00275F0E" w:rsidRDefault="00275F0E"/>
        </w:tc>
        <w:tc>
          <w:tcPr>
            <w:tcW w:w="340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216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275F0E" w14:paraId="1BAF6552" w14:textId="77777777">
        <w:tblPrEx>
          <w:tblCellMar>
            <w:top w:w="0" w:type="dxa"/>
            <w:bottom w:w="0" w:type="dxa"/>
          </w:tblCellMar>
        </w:tblPrEx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063F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Setores de FCU no recorte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872F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19.452 (18,7% do recorte)</w:t>
            </w:r>
          </w:p>
        </w:tc>
      </w:tr>
      <w:tr w:rsidR="00275F0E" w14:paraId="433211F3" w14:textId="77777777">
        <w:tblPrEx>
          <w:tblCellMar>
            <w:top w:w="0" w:type="dxa"/>
            <w:bottom w:w="0" w:type="dxa"/>
          </w:tblCellMar>
        </w:tblPrEx>
        <w:tc>
          <w:tcPr>
            <w:tcW w:w="623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EAA5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Favelas distintas (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CD_FCU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340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ABF1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5.903</w:t>
            </w:r>
          </w:p>
        </w:tc>
      </w:tr>
      <w:tr w:rsidR="00275F0E" w14:paraId="301FA2E6" w14:textId="77777777">
        <w:tblPrEx>
          <w:tblCellMar>
            <w:top w:w="0" w:type="dxa"/>
            <w:bottom w:w="0" w:type="dxa"/>
          </w:tblCellMar>
        </w:tblPrEx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7786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População residente em FCU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2310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10.071.575</w:t>
            </w:r>
          </w:p>
        </w:tc>
      </w:tr>
      <w:tr w:rsidR="00275F0E" w14:paraId="27215FE8" w14:textId="77777777">
        <w:tblPrEx>
          <w:tblCellMar>
            <w:top w:w="0" w:type="dxa"/>
            <w:bottom w:w="0" w:type="dxa"/>
          </w:tblCellMar>
        </w:tblPrEx>
        <w:tc>
          <w:tcPr>
            <w:tcW w:w="623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924BA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Domicílios em FCU</w:t>
            </w:r>
          </w:p>
        </w:tc>
        <w:tc>
          <w:tcPr>
            <w:tcW w:w="340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2BEE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3.443.687</w:t>
            </w:r>
          </w:p>
        </w:tc>
      </w:tr>
      <w:tr w:rsidR="00275F0E" w14:paraId="28328322" w14:textId="77777777">
        <w:tblPrEx>
          <w:tblCellMar>
            <w:top w:w="0" w:type="dxa"/>
            <w:bottom w:w="0" w:type="dxa"/>
          </w:tblCellMar>
        </w:tblPrEx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91A8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Municípios com pelo menos uma FCU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B965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 de 70</w:t>
            </w:r>
          </w:p>
        </w:tc>
      </w:tr>
    </w:tbl>
    <w:p w14:paraId="34DD83CC" w14:textId="77777777" w:rsidR="00275F0E" w:rsidRDefault="00275F0E">
      <w:pPr>
        <w:spacing w:after="160"/>
      </w:pPr>
    </w:p>
    <w:p w14:paraId="3115F7C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Distribuição regional (percentual dos setores de cada região): Norte 50,6% · Nordeste 27,7% · Sudeste 14,6% · Sul 8,5% · Centro-Oeste 4,6%. É a maior heterogeneidade regional de qualquer variável do projeto. Em Ananindeua 58,9% dos setores são de favela, em Belém 55,9% e em Manaus 51,7%.</w:t>
      </w:r>
    </w:p>
    <w:p w14:paraId="32CFA938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Comparação entre setores de FCU e demais setores urbanos elegíveis: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8"/>
        <w:gridCol w:w="1483"/>
        <w:gridCol w:w="2039"/>
        <w:gridCol w:w="1668"/>
      </w:tblGrid>
      <w:tr w:rsidR="00275F0E" w14:paraId="6289E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4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A2F5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1483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742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 FCU</w:t>
            </w:r>
          </w:p>
        </w:tc>
        <w:tc>
          <w:tcPr>
            <w:tcW w:w="2039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221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Fora de FCU</w:t>
            </w:r>
          </w:p>
        </w:tc>
        <w:tc>
          <w:tcPr>
            <w:tcW w:w="166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32E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Razão</w:t>
            </w:r>
          </w:p>
        </w:tc>
      </w:tr>
      <w:tr w:rsidR="00275F0E" w14:paraId="2BB28533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7C2C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Esgoto inadequado</w:t>
            </w:r>
          </w:p>
        </w:tc>
        <w:tc>
          <w:tcPr>
            <w:tcW w:w="1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8E76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0,214</w:t>
            </w:r>
          </w:p>
        </w:tc>
        <w:tc>
          <w:tcPr>
            <w:tcW w:w="20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10A7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0,052</w:t>
            </w:r>
          </w:p>
        </w:tc>
        <w:tc>
          <w:tcPr>
            <w:tcW w:w="16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C5B9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4,14×</w:t>
            </w:r>
          </w:p>
        </w:tc>
      </w:tr>
      <w:tr w:rsidR="00275F0E" w14:paraId="2E0EE24D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CCB18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Lixo inadequado</w:t>
            </w:r>
          </w:p>
        </w:tc>
        <w:tc>
          <w:tcPr>
            <w:tcW w:w="148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8423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0,248</w:t>
            </w:r>
          </w:p>
        </w:tc>
        <w:tc>
          <w:tcPr>
            <w:tcW w:w="20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02FF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0,085</w:t>
            </w:r>
          </w:p>
        </w:tc>
        <w:tc>
          <w:tcPr>
            <w:tcW w:w="166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DBCC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2,90×</w:t>
            </w:r>
          </w:p>
        </w:tc>
      </w:tr>
      <w:tr w:rsidR="00275F0E" w14:paraId="5C488B66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C6191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Analfabetismo</w:t>
            </w:r>
          </w:p>
        </w:tc>
        <w:tc>
          <w:tcPr>
            <w:tcW w:w="1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7B6F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0,062</w:t>
            </w:r>
          </w:p>
        </w:tc>
        <w:tc>
          <w:tcPr>
            <w:tcW w:w="20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3F46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0,029</w:t>
            </w:r>
          </w:p>
        </w:tc>
        <w:tc>
          <w:tcPr>
            <w:tcW w:w="16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4143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2,14×</w:t>
            </w:r>
          </w:p>
        </w:tc>
      </w:tr>
      <w:tr w:rsidR="00275F0E" w14:paraId="4D6CD2BF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8A6F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Água inadequada</w:t>
            </w:r>
          </w:p>
        </w:tc>
        <w:tc>
          <w:tcPr>
            <w:tcW w:w="148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B171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0,108</w:t>
            </w:r>
          </w:p>
        </w:tc>
        <w:tc>
          <w:tcPr>
            <w:tcW w:w="20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0DB3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0,061</w:t>
            </w:r>
          </w:p>
        </w:tc>
        <w:tc>
          <w:tcPr>
            <w:tcW w:w="166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79AD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1,77×</w:t>
            </w:r>
          </w:p>
        </w:tc>
      </w:tr>
      <w:tr w:rsidR="00275F0E" w14:paraId="0C3EA9D3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DC7A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Cor/raça PPI</w:t>
            </w:r>
          </w:p>
        </w:tc>
        <w:tc>
          <w:tcPr>
            <w:tcW w:w="1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0F21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0,735</w:t>
            </w:r>
          </w:p>
        </w:tc>
        <w:tc>
          <w:tcPr>
            <w:tcW w:w="20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50EF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0,479</w:t>
            </w:r>
          </w:p>
        </w:tc>
        <w:tc>
          <w:tcPr>
            <w:tcW w:w="16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BD7B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1,53×</w:t>
            </w:r>
          </w:p>
        </w:tc>
      </w:tr>
      <w:tr w:rsidR="00275F0E" w14:paraId="1CF7380C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5B52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Menores de 15 anos</w:t>
            </w:r>
          </w:p>
        </w:tc>
        <w:tc>
          <w:tcPr>
            <w:tcW w:w="148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4820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0,222</w:t>
            </w:r>
          </w:p>
        </w:tc>
        <w:tc>
          <w:tcPr>
            <w:tcW w:w="20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CF1A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0,161</w:t>
            </w:r>
          </w:p>
        </w:tc>
        <w:tc>
          <w:tcPr>
            <w:tcW w:w="166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E71F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1,38×</w:t>
            </w:r>
          </w:p>
        </w:tc>
      </w:tr>
      <w:tr w:rsidR="00275F0E" w14:paraId="707C936D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DEEF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Razão de moradores</w:t>
            </w:r>
          </w:p>
        </w:tc>
        <w:tc>
          <w:tcPr>
            <w:tcW w:w="1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6367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2,927</w:t>
            </w:r>
          </w:p>
        </w:tc>
        <w:tc>
          <w:tcPr>
            <w:tcW w:w="20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3D21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2,637</w:t>
            </w:r>
          </w:p>
        </w:tc>
        <w:tc>
          <w:tcPr>
            <w:tcW w:w="16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0717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1,11×</w:t>
            </w:r>
          </w:p>
        </w:tc>
      </w:tr>
      <w:tr w:rsidR="00275F0E" w14:paraId="0A3A512B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0B03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Renda média</w:t>
            </w:r>
          </w:p>
        </w:tc>
        <w:tc>
          <w:tcPr>
            <w:tcW w:w="148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4EBF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R$ 1.610</w:t>
            </w:r>
          </w:p>
        </w:tc>
        <w:tc>
          <w:tcPr>
            <w:tcW w:w="20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C852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R$ 4.780</w:t>
            </w:r>
          </w:p>
        </w:tc>
        <w:tc>
          <w:tcPr>
            <w:tcW w:w="166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CBB4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0,34×</w:t>
            </w:r>
          </w:p>
        </w:tc>
      </w:tr>
      <w:tr w:rsidR="00275F0E" w14:paraId="79080983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88A14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Apartamento</w:t>
            </w:r>
          </w:p>
        </w:tc>
        <w:tc>
          <w:tcPr>
            <w:tcW w:w="1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6089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0,033</w:t>
            </w:r>
          </w:p>
        </w:tc>
        <w:tc>
          <w:tcPr>
            <w:tcW w:w="20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4754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0,377</w:t>
            </w:r>
          </w:p>
        </w:tc>
        <w:tc>
          <w:tcPr>
            <w:tcW w:w="16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3F84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0,09×</w:t>
            </w:r>
          </w:p>
        </w:tc>
      </w:tr>
      <w:tr w:rsidR="00275F0E" w14:paraId="335678AE" w14:textId="77777777">
        <w:tblPrEx>
          <w:tblCellMar>
            <w:top w:w="0" w:type="dxa"/>
            <w:bottom w:w="0" w:type="dxa"/>
          </w:tblCellMar>
        </w:tblPrEx>
        <w:tc>
          <w:tcPr>
            <w:tcW w:w="444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1EB5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Índice de envelhecimento</w:t>
            </w:r>
          </w:p>
        </w:tc>
        <w:tc>
          <w:tcPr>
            <w:tcW w:w="148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F238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55,2</w:t>
            </w:r>
          </w:p>
        </w:tc>
        <w:tc>
          <w:tcPr>
            <w:tcW w:w="2039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2DC9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153,0</w:t>
            </w:r>
          </w:p>
        </w:tc>
        <w:tc>
          <w:tcPr>
            <w:tcW w:w="166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5721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0,36×</w:t>
            </w:r>
          </w:p>
        </w:tc>
      </w:tr>
    </w:tbl>
    <w:p w14:paraId="17607804" w14:textId="77777777" w:rsidR="00275F0E" w:rsidRDefault="00275F0E">
      <w:pPr>
        <w:spacing w:after="160"/>
      </w:pPr>
    </w:p>
    <w:p w14:paraId="6AE8EBE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Este é o resultado mais relevante da EDA para a validação do índice.</w:t>
      </w:r>
      <w:r>
        <w:rPr>
          <w:rFonts w:ascii="Calibri" w:eastAsia="Calibri" w:hAnsi="Calibri" w:cs="Calibri"/>
          <w:sz w:val="21"/>
          <w:szCs w:val="21"/>
        </w:rPr>
        <w:t xml:space="preserve"> Os setores de FCU são identificados por classificação independente, feita pelo próprio IBGE, e todos os componentes do IVS se movem na direção esperada com magnitudes grandes. Quando o índice estiver calculado, comparar sua distribuição entre FCU e não-FCU será o teste de validade de critério mais direto disponível, sem depender de fonte externa.</w:t>
      </w:r>
    </w:p>
    <w:p w14:paraId="04AEA41C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3ADA79A6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11. Comparação com o Brasil</w:t>
      </w:r>
    </w:p>
    <w:p w14:paraId="6A79A6F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script </w:t>
      </w:r>
      <w:r>
        <w:rPr>
          <w:rFonts w:ascii="Consolas" w:eastAsia="Consolas" w:hAnsi="Consolas" w:cs="Consolas"/>
          <w:color w:val="0E6B62"/>
          <w:sz w:val="19"/>
          <w:szCs w:val="19"/>
        </w:rPr>
        <w:t>scripts/proporcoes_brasil.py</w:t>
      </w:r>
      <w:r>
        <w:rPr>
          <w:rFonts w:ascii="Calibri" w:eastAsia="Calibri" w:hAnsi="Calibri" w:cs="Calibri"/>
          <w:sz w:val="21"/>
          <w:szCs w:val="21"/>
        </w:rPr>
        <w:t xml:space="preserve"> aplica as mesmas fórmulas aos 468.099 setores do país. Não é recorte de análise: serve de linha de base de representatividade.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1"/>
        <w:gridCol w:w="1928"/>
        <w:gridCol w:w="1752"/>
        <w:gridCol w:w="1577"/>
      </w:tblGrid>
      <w:tr w:rsidR="00275F0E" w14:paraId="693DC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1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9E35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92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4BD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Brasil</w:t>
            </w:r>
          </w:p>
        </w:tc>
        <w:tc>
          <w:tcPr>
            <w:tcW w:w="175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693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ELSI 70</w:t>
            </w:r>
          </w:p>
        </w:tc>
        <w:tc>
          <w:tcPr>
            <w:tcW w:w="157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7BB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275F0E" w14:paraId="4D59D2A4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6620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Setores censitários</w:t>
            </w:r>
          </w:p>
        </w:tc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B55D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468.099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84ABC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109.032</w:t>
            </w:r>
          </w:p>
        </w:tc>
        <w:tc>
          <w:tcPr>
            <w:tcW w:w="15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7D8E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23,3%</w:t>
            </w:r>
          </w:p>
        </w:tc>
      </w:tr>
      <w:tr w:rsidR="00275F0E" w14:paraId="5A2FC44F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2AF8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Setores urbanos elegíveis</w:t>
            </w:r>
          </w:p>
        </w:tc>
        <w:tc>
          <w:tcPr>
            <w:tcW w:w="192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5831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347.400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4205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104.108</w:t>
            </w:r>
          </w:p>
        </w:tc>
        <w:tc>
          <w:tcPr>
            <w:tcW w:w="157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A8365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30,0%</w:t>
            </w:r>
          </w:p>
        </w:tc>
      </w:tr>
      <w:tr w:rsidR="00275F0E" w14:paraId="200CF079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AE60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Municípios</w:t>
            </w:r>
          </w:p>
        </w:tc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7D13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5.572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2252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70</w:t>
            </w:r>
          </w:p>
        </w:tc>
        <w:tc>
          <w:tcPr>
            <w:tcW w:w="15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9862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1,3%</w:t>
            </w:r>
          </w:p>
        </w:tc>
      </w:tr>
      <w:tr w:rsidR="00275F0E" w14:paraId="24D6327A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2050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População</w:t>
            </w:r>
          </w:p>
        </w:tc>
        <w:tc>
          <w:tcPr>
            <w:tcW w:w="192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8E5A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203.080.756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EB29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52.732.704</w:t>
            </w:r>
          </w:p>
        </w:tc>
        <w:tc>
          <w:tcPr>
            <w:tcW w:w="157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57DC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26,0%</w:t>
            </w:r>
          </w:p>
        </w:tc>
      </w:tr>
      <w:tr w:rsidR="00275F0E" w14:paraId="6AC1C55E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B323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Domicílios</w:t>
            </w:r>
          </w:p>
        </w:tc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2FF5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72.438.953</w:t>
            </w:r>
          </w:p>
        </w:tc>
        <w:tc>
          <w:tcPr>
            <w:tcW w:w="17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97FE6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19.458.006</w:t>
            </w:r>
          </w:p>
        </w:tc>
        <w:tc>
          <w:tcPr>
            <w:tcW w:w="15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C5A5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26,9%</w:t>
            </w:r>
          </w:p>
        </w:tc>
      </w:tr>
      <w:tr w:rsidR="00275F0E" w14:paraId="4170405C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D8F3A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Setores de favela</w:t>
            </w:r>
          </w:p>
        </w:tc>
        <w:tc>
          <w:tcPr>
            <w:tcW w:w="192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C630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33.272</w:t>
            </w:r>
          </w:p>
        </w:tc>
        <w:tc>
          <w:tcPr>
            <w:tcW w:w="175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F33BF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19.507</w:t>
            </w:r>
          </w:p>
        </w:tc>
        <w:tc>
          <w:tcPr>
            <w:tcW w:w="157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0EF1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58,6%</w:t>
            </w:r>
          </w:p>
        </w:tc>
      </w:tr>
    </w:tbl>
    <w:p w14:paraId="0A61D374" w14:textId="77777777" w:rsidR="00275F0E" w:rsidRDefault="00275F0E">
      <w:pPr>
        <w:spacing w:after="160"/>
      </w:pP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6"/>
        <w:gridCol w:w="2198"/>
        <w:gridCol w:w="1522"/>
        <w:gridCol w:w="1522"/>
      </w:tblGrid>
      <w:tr w:rsidR="00275F0E" w14:paraId="2B216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6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CE4C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 (razão agregada)</w:t>
            </w:r>
          </w:p>
        </w:tc>
        <w:tc>
          <w:tcPr>
            <w:tcW w:w="219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2C8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Brasil urbano</w:t>
            </w:r>
          </w:p>
        </w:tc>
        <w:tc>
          <w:tcPr>
            <w:tcW w:w="152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E92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ELSI 70</w:t>
            </w:r>
          </w:p>
        </w:tc>
        <w:tc>
          <w:tcPr>
            <w:tcW w:w="1522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4A8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Razão</w:t>
            </w:r>
          </w:p>
        </w:tc>
      </w:tr>
      <w:tr w:rsidR="00275F0E" w14:paraId="0EF7BE06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D493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Esgoto inadequado</w:t>
            </w:r>
          </w:p>
        </w:tc>
        <w:tc>
          <w:tcPr>
            <w:tcW w:w="21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DF82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0,155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4D239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0,080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18C14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0,52×</w:t>
            </w:r>
          </w:p>
        </w:tc>
      </w:tr>
      <w:tr w:rsidR="00275F0E" w14:paraId="49D33B9B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1AF3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Analfabetismo</w:t>
            </w:r>
          </w:p>
        </w:tc>
        <w:tc>
          <w:tcPr>
            <w:tcW w:w="219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CA6C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0,058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7F90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0,036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9C40E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0,62×</w:t>
            </w:r>
          </w:p>
        </w:tc>
      </w:tr>
      <w:tr w:rsidR="00275F0E" w14:paraId="76C32CAA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2801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Água inadequada</w:t>
            </w:r>
          </w:p>
        </w:tc>
        <w:tc>
          <w:tcPr>
            <w:tcW w:w="21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83FC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0,083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39E3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0,069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8A30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0,83×</w:t>
            </w:r>
          </w:p>
        </w:tc>
      </w:tr>
      <w:tr w:rsidR="00275F0E" w14:paraId="2C44120D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56FE4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Razão de moradores</w:t>
            </w:r>
          </w:p>
        </w:tc>
        <w:tc>
          <w:tcPr>
            <w:tcW w:w="219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25AAA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2,762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D07A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2,695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A2CC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0,98×</w:t>
            </w:r>
          </w:p>
        </w:tc>
      </w:tr>
      <w:tr w:rsidR="00275F0E" w14:paraId="356316E2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5551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Cor/raça PPI</w:t>
            </w:r>
          </w:p>
        </w:tc>
        <w:tc>
          <w:tcPr>
            <w:tcW w:w="21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D2693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0,544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D8E20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0,551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2285B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1,01×</w:t>
            </w:r>
          </w:p>
        </w:tc>
      </w:tr>
      <w:tr w:rsidR="00275F0E" w14:paraId="1BD31F7C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19E3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Renda média</w:t>
            </w:r>
          </w:p>
        </w:tc>
        <w:tc>
          <w:tcPr>
            <w:tcW w:w="219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E7938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R$ 3.209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34C2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R$ 4.187</w:t>
            </w:r>
          </w:p>
        </w:tc>
        <w:tc>
          <w:tcPr>
            <w:tcW w:w="1522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DC10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1,31×</w:t>
            </w:r>
          </w:p>
        </w:tc>
      </w:tr>
      <w:tr w:rsidR="00275F0E" w14:paraId="529CF097" w14:textId="77777777">
        <w:tblPrEx>
          <w:tblCellMar>
            <w:top w:w="0" w:type="dxa"/>
            <w:bottom w:w="0" w:type="dxa"/>
          </w:tblCellMar>
        </w:tblPrEx>
        <w:tc>
          <w:tcPr>
            <w:tcW w:w="43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B87C8" w14:textId="77777777" w:rsidR="00275F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Lixo inadequado</w:t>
            </w:r>
          </w:p>
        </w:tc>
        <w:tc>
          <w:tcPr>
            <w:tcW w:w="21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4ABD1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0,094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0588D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0,114</w:t>
            </w:r>
          </w:p>
        </w:tc>
        <w:tc>
          <w:tcPr>
            <w:tcW w:w="15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1FB27" w14:textId="77777777" w:rsidR="00275F0E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1,21×</w:t>
            </w:r>
          </w:p>
        </w:tc>
      </w:tr>
    </w:tbl>
    <w:p w14:paraId="69C6C07F" w14:textId="77777777" w:rsidR="00275F0E" w:rsidRDefault="00275F0E">
      <w:pPr>
        <w:spacing w:after="160"/>
      </w:pPr>
    </w:p>
    <w:p w14:paraId="08D3BAB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 amostra é mais rica, mais alfabetizada e mais bem servida de esgoto que o Brasil urbano — o esperado numa amostra de capitais e cidades médias. </w:t>
      </w:r>
      <w:r>
        <w:rPr>
          <w:rFonts w:ascii="Calibri" w:eastAsia="Calibri" w:hAnsi="Calibri" w:cs="Calibri"/>
          <w:b/>
          <w:bCs/>
          <w:sz w:val="21"/>
          <w:szCs w:val="21"/>
        </w:rPr>
        <w:t>Ela deve ser descrita no artigo como representativa do Brasil urbano de grande porte, não do Brasil.</w:t>
      </w:r>
    </w:p>
    <w:p w14:paraId="3DAE5AD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exceção é o lixo</w:t>
      </w:r>
      <w:r>
        <w:rPr>
          <w:rFonts w:ascii="Calibri" w:eastAsia="Calibri" w:hAnsi="Calibri" w:cs="Calibri"/>
          <w:sz w:val="21"/>
          <w:szCs w:val="21"/>
        </w:rPr>
        <w:t>, única variável em que o recorte está pior que o país. A hipótese mais provável é a caçamba (</w:t>
      </w:r>
      <w:r>
        <w:rPr>
          <w:rFonts w:ascii="Consolas" w:eastAsia="Consolas" w:hAnsi="Consolas" w:cs="Consolas"/>
          <w:color w:val="0E6B62"/>
          <w:sz w:val="19"/>
          <w:szCs w:val="19"/>
        </w:rPr>
        <w:t>V00398</w:t>
      </w:r>
      <w:r>
        <w:rPr>
          <w:rFonts w:ascii="Calibri" w:eastAsia="Calibri" w:hAnsi="Calibri" w:cs="Calibri"/>
          <w:sz w:val="21"/>
          <w:szCs w:val="21"/>
        </w:rPr>
        <w:t xml:space="preserve">), que conta como destino inadequado e é muito mais comum em cidade grande do que em município pequeno. Se confirmada, significa que o indicador de lixo captura parcialmente </w:t>
      </w:r>
      <w:r>
        <w:rPr>
          <w:rFonts w:ascii="Calibri" w:eastAsia="Calibri" w:hAnsi="Calibri" w:cs="Calibri"/>
          <w:b/>
          <w:bCs/>
          <w:sz w:val="21"/>
          <w:szCs w:val="21"/>
        </w:rPr>
        <w:t>porte urbano</w:t>
      </w:r>
      <w:r>
        <w:rPr>
          <w:rFonts w:ascii="Calibri" w:eastAsia="Calibri" w:hAnsi="Calibri" w:cs="Calibri"/>
          <w:sz w:val="21"/>
          <w:szCs w:val="21"/>
        </w:rPr>
        <w:t xml:space="preserve"> em vez de vulnerabilidade — o que é coerente com ele ser também o menos correlacionado com todas as demais variáveis. Recomendo decompor </w:t>
      </w:r>
      <w:r>
        <w:rPr>
          <w:rFonts w:ascii="Consolas" w:eastAsia="Consolas" w:hAnsi="Consolas" w:cs="Consolas"/>
          <w:color w:val="0E6B62"/>
          <w:sz w:val="19"/>
          <w:szCs w:val="19"/>
        </w:rPr>
        <w:t>V00398</w:t>
      </w:r>
      <w:r>
        <w:rPr>
          <w:rFonts w:ascii="Calibri" w:eastAsia="Calibri" w:hAnsi="Calibri" w:cs="Calibri"/>
          <w:sz w:val="21"/>
          <w:szCs w:val="21"/>
        </w:rPr>
        <w:t xml:space="preserve"> das demais formas antes de fechar a ponderação do índice.</w:t>
      </w:r>
    </w:p>
    <w:p w14:paraId="64DECC14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52481865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12. Memória das decisões: como cada demanda foi atendida</w:t>
      </w:r>
    </w:p>
    <w:p w14:paraId="32DCC192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Esta seção registra o caminho, não só o resultado. Para cada demanda de julho documento </w:t>
      </w:r>
      <w:r>
        <w:rPr>
          <w:rFonts w:ascii="Calibri" w:eastAsia="Calibri" w:hAnsi="Calibri" w:cs="Calibri"/>
          <w:b/>
          <w:bCs/>
          <w:sz w:val="21"/>
          <w:szCs w:val="21"/>
        </w:rPr>
        <w:t>o que foi pedido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b/>
          <w:bCs/>
          <w:sz w:val="21"/>
          <w:szCs w:val="21"/>
        </w:rPr>
        <w:t>por que decidi como decidi</w:t>
      </w:r>
      <w:r>
        <w:rPr>
          <w:rFonts w:ascii="Calibri" w:eastAsia="Calibri" w:hAnsi="Calibri" w:cs="Calibri"/>
          <w:sz w:val="21"/>
          <w:szCs w:val="21"/>
        </w:rPr>
        <w:t xml:space="preserve"> (incluindo as alternativas que descartei), </w:t>
      </w:r>
      <w:r>
        <w:rPr>
          <w:rFonts w:ascii="Calibri" w:eastAsia="Calibri" w:hAnsi="Calibri" w:cs="Calibri"/>
          <w:b/>
          <w:bCs/>
          <w:sz w:val="21"/>
          <w:szCs w:val="21"/>
        </w:rPr>
        <w:t>o passo a passo da execução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alibri" w:eastAsia="Calibri" w:hAnsi="Calibri" w:cs="Calibri"/>
          <w:b/>
          <w:bCs/>
          <w:sz w:val="21"/>
          <w:szCs w:val="21"/>
        </w:rPr>
        <w:t>o que verifiquei antes de aceitar o número</w:t>
      </w:r>
      <w:r>
        <w:rPr>
          <w:rFonts w:ascii="Calibri" w:eastAsia="Calibri" w:hAnsi="Calibri" w:cs="Calibri"/>
          <w:sz w:val="21"/>
          <w:szCs w:val="21"/>
        </w:rPr>
        <w:t>. O objetivo é que qualquer decisão possa ser auditada — ou revertida — sem depender da minha memória.</w:t>
      </w:r>
    </w:p>
    <w:p w14:paraId="59FAC093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12.1 Os três princípios que segui</w:t>
      </w:r>
    </w:p>
    <w:p w14:paraId="03BAACA2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Antes das demandas propriamente ditas, vale explicitar as regras que usei para decidir quando havia mais de um caminho possível:</w:t>
      </w:r>
    </w:p>
    <w:p w14:paraId="2B7D858A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1. A metodologia-fonte manda.</w:t>
      </w:r>
      <w:r>
        <w:rPr>
          <w:rFonts w:ascii="Calibri" w:eastAsia="Calibri" w:hAnsi="Calibri" w:cs="Calibri"/>
          <w:sz w:val="21"/>
          <w:szCs w:val="21"/>
        </w:rPr>
        <w:t xml:space="preserve"> Quando o </w:t>
      </w:r>
      <w:r>
        <w:rPr>
          <w:rFonts w:ascii="Consolas" w:eastAsia="Consolas" w:hAnsi="Consolas" w:cs="Consolas"/>
          <w:color w:val="0E6B62"/>
          <w:sz w:val="19"/>
          <w:szCs w:val="19"/>
        </w:rPr>
        <w:t>Cálculo IVS2012.docx</w:t>
      </w:r>
      <w:r>
        <w:rPr>
          <w:rFonts w:ascii="Calibri" w:eastAsia="Calibri" w:hAnsi="Calibri" w:cs="Calibri"/>
          <w:sz w:val="21"/>
          <w:szCs w:val="21"/>
        </w:rPr>
        <w:t xml:space="preserve"> define alguma coisa — quais formas de saneamento são inadequadas, qual o denominador, como classificar setores inelegíveis — eu reproduzo, mesmo </w:t>
      </w:r>
      <w:r>
        <w:rPr>
          <w:rFonts w:ascii="Calibri" w:eastAsia="Calibri" w:hAnsi="Calibri" w:cs="Calibri"/>
          <w:sz w:val="21"/>
          <w:szCs w:val="21"/>
        </w:rPr>
        <w:lastRenderedPageBreak/>
        <w:t xml:space="preserve">quando o resultado é contraintuitivo. O projeto se propõe a </w:t>
      </w:r>
      <w:r>
        <w:rPr>
          <w:rFonts w:ascii="Calibri" w:eastAsia="Calibri" w:hAnsi="Calibri" w:cs="Calibri"/>
          <w:i/>
          <w:iCs/>
          <w:sz w:val="21"/>
          <w:szCs w:val="21"/>
        </w:rPr>
        <w:t>replicar</w:t>
      </w:r>
      <w:r>
        <w:rPr>
          <w:rFonts w:ascii="Calibri" w:eastAsia="Calibri" w:hAnsi="Calibri" w:cs="Calibri"/>
          <w:sz w:val="21"/>
          <w:szCs w:val="21"/>
        </w:rPr>
        <w:t xml:space="preserve"> o IVS-BH no Censo 2022, não a redesenhá-lo. O caso mais visível é a caçamba de lixo (§12.9).</w:t>
      </w:r>
    </w:p>
    <w:p w14:paraId="0978CBF0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2. Quando o Censo 2022 não permite reproduzir, documento a substituição.</w:t>
      </w:r>
      <w:r>
        <w:rPr>
          <w:rFonts w:ascii="Calibri" w:eastAsia="Calibri" w:hAnsi="Calibri" w:cs="Calibri"/>
          <w:sz w:val="21"/>
          <w:szCs w:val="21"/>
        </w:rPr>
        <w:t xml:space="preserve"> Três componentes do IVS-BH original não existem nos agregados por setor. Nesses casos escolho o substituto mais próximo e </w:t>
      </w:r>
      <w:r>
        <w:rPr>
          <w:rFonts w:ascii="Calibri" w:eastAsia="Calibri" w:hAnsi="Calibri" w:cs="Calibri"/>
          <w:b/>
          <w:bCs/>
          <w:sz w:val="21"/>
          <w:szCs w:val="21"/>
        </w:rPr>
        <w:t>declaro a limitação</w:t>
      </w:r>
      <w:r>
        <w:rPr>
          <w:rFonts w:ascii="Calibri" w:eastAsia="Calibri" w:hAnsi="Calibri" w:cs="Calibri"/>
          <w:sz w:val="21"/>
          <w:szCs w:val="21"/>
        </w:rPr>
        <w:t>, em vez de improvisar um cálculo que pareça equivalente. O mesmo vale para o índice de Longevidade, que simplesmente não é calculável (§12.2).</w:t>
      </w:r>
    </w:p>
    <w:p w14:paraId="7A3470A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3. Toda escolha que muda um número precisa de verificação empírica.</w:t>
      </w:r>
      <w:r>
        <w:rPr>
          <w:rFonts w:ascii="Calibri" w:eastAsia="Calibri" w:hAnsi="Calibri" w:cs="Calibri"/>
          <w:sz w:val="21"/>
          <w:szCs w:val="21"/>
        </w:rPr>
        <w:t xml:space="preserve"> Nenhuma decisão metodológica entrou sem um teste que a sustente: o denominador foi validado por nenhuma proporção ultrapassar 1,0; as faixas etárias, pela soma reproduzir a população; o cálculo nacional, por reproduzir números publicados pelo IBGE. Onde não consegui verificar, digo isso explicitamente.</w:t>
      </w:r>
    </w:p>
    <w:p w14:paraId="48D1C467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32687D42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12.2 Demanda 1 — Ajustar o índice de envelhecimento</w:t>
      </w:r>
    </w:p>
    <w:p w14:paraId="6D9A1EA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"Ajustar índice de envelhecimento (ler artigo)"</w:t>
      </w:r>
      <w:r>
        <w:rPr>
          <w:rFonts w:ascii="Calibri" w:eastAsia="Calibri" w:hAnsi="Calibri" w:cs="Calibri"/>
          <w:sz w:val="21"/>
          <w:szCs w:val="21"/>
        </w:rPr>
        <w:t>, com o artigo de Galvão et al. 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Hygeia</w:t>
      </w:r>
      <w:proofErr w:type="spellEnd"/>
      <w:r>
        <w:rPr>
          <w:rFonts w:ascii="Calibri" w:eastAsia="Calibri" w:hAnsi="Calibri" w:cs="Calibri"/>
          <w:sz w:val="21"/>
          <w:szCs w:val="21"/>
        </w:rPr>
        <w:t>, v.21, e2106, 2025) anexado.</w:t>
      </w:r>
    </w:p>
    <w:p w14:paraId="4C969FB2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diagnóstico.</w:t>
      </w:r>
      <w:r>
        <w:rPr>
          <w:rFonts w:ascii="Calibri" w:eastAsia="Calibri" w:hAnsi="Calibri" w:cs="Calibri"/>
          <w:sz w:val="21"/>
          <w:szCs w:val="21"/>
        </w:rPr>
        <w:t xml:space="preserve"> A versão anterior da seção etária calculava o índice como </w:t>
      </w:r>
      <w:r>
        <w:rPr>
          <w:rFonts w:ascii="Calibri" w:eastAsia="Calibri" w:hAnsi="Calibri" w:cs="Calibri"/>
          <w:b/>
          <w:bCs/>
          <w:sz w:val="21"/>
          <w:szCs w:val="21"/>
        </w:rPr>
        <w:t>idosos de 60+ divididos por crianças de 0 a 4 anos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0E6B62"/>
          <w:sz w:val="19"/>
          <w:szCs w:val="19"/>
        </w:rPr>
        <w:t>V01031</w:t>
      </w:r>
      <w:r>
        <w:rPr>
          <w:rFonts w:ascii="Calibri" w:eastAsia="Calibri" w:hAnsi="Calibri" w:cs="Calibri"/>
          <w:sz w:val="21"/>
          <w:szCs w:val="21"/>
        </w:rPr>
        <w:t xml:space="preserve">). Isso não corresponde a nenhuma definição publicada. O Quadro 1 do artigo define o Índice de Envelhecimento Populacional como </w:t>
      </w:r>
      <w:r>
        <w:rPr>
          <w:rFonts w:ascii="Calibri" w:eastAsia="Calibri" w:hAnsi="Calibri" w:cs="Calibri"/>
          <w:b/>
          <w:bCs/>
          <w:sz w:val="21"/>
          <w:szCs w:val="21"/>
        </w:rPr>
        <w:t>60 anos ou mais sobre a população com menos de 15 anos</w:t>
      </w:r>
      <w:r>
        <w:rPr>
          <w:rFonts w:ascii="Calibri" w:eastAsia="Calibri" w:hAnsi="Calibri" w:cs="Calibri"/>
          <w:sz w:val="21"/>
          <w:szCs w:val="21"/>
        </w:rPr>
        <w:t xml:space="preserve"> — que são três faixas somadas, e não uma.</w:t>
      </w:r>
    </w:p>
    <w:p w14:paraId="49793DF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a correção importa e não é cosmética.</w:t>
      </w:r>
      <w:r>
        <w:rPr>
          <w:rFonts w:ascii="Calibri" w:eastAsia="Calibri" w:hAnsi="Calibri" w:cs="Calibri"/>
          <w:sz w:val="21"/>
          <w:szCs w:val="21"/>
        </w:rPr>
        <w:t xml:space="preserve"> Com o denominador antigo, o índice ficava cerca de três vezes maior que o publicado, e </w:t>
      </w:r>
      <w:r>
        <w:rPr>
          <w:rFonts w:ascii="Calibri" w:eastAsia="Calibri" w:hAnsi="Calibri" w:cs="Calibri"/>
          <w:b/>
          <w:bCs/>
          <w:sz w:val="21"/>
          <w:szCs w:val="21"/>
        </w:rPr>
        <w:t>incomparável com qualquer referência</w:t>
      </w:r>
      <w:r>
        <w:rPr>
          <w:rFonts w:ascii="Calibri" w:eastAsia="Calibri" w:hAnsi="Calibri" w:cs="Calibri"/>
          <w:sz w:val="21"/>
          <w:szCs w:val="21"/>
        </w:rPr>
        <w:t>: não dava para confrontar com o IEP do Brasil, nem com o de outros estudos, nem com os valores regionais do próprio artigo. Um índice que não pode ser comparado com nada não sustenta argumento nenhum no artigo.</w:t>
      </w:r>
    </w:p>
    <w:p w14:paraId="4B4AFF7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Alternativas que descartei:</w:t>
      </w:r>
    </w:p>
    <w:p w14:paraId="1736CD0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i/>
          <w:iCs/>
          <w:sz w:val="21"/>
          <w:szCs w:val="21"/>
        </w:rPr>
        <w:t>Manter 0–4 e renomear o indicador</w:t>
      </w:r>
      <w:r>
        <w:rPr>
          <w:rFonts w:ascii="Calibri" w:eastAsia="Calibri" w:hAnsi="Calibri" w:cs="Calibri"/>
          <w:sz w:val="21"/>
          <w:szCs w:val="21"/>
        </w:rPr>
        <w:t xml:space="preserve"> para algo como "razão idosos/primeira infância". Descartado: perderia a comparabilidade, que é justamente o que dá valor ao indicador.</w:t>
      </w:r>
    </w:p>
    <w:p w14:paraId="2C6333E5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i/>
          <w:iCs/>
          <w:sz w:val="21"/>
          <w:szCs w:val="21"/>
        </w:rPr>
        <w:t>Usar o corte de 65 anos</w:t>
      </w:r>
      <w:r>
        <w:rPr>
          <w:rFonts w:ascii="Calibri" w:eastAsia="Calibri" w:hAnsi="Calibri" w:cs="Calibri"/>
          <w:sz w:val="21"/>
          <w:szCs w:val="21"/>
        </w:rPr>
        <w:t xml:space="preserve">, mais comum na literatura internacional. </w:t>
      </w:r>
      <w:r>
        <w:rPr>
          <w:rFonts w:ascii="Calibri" w:eastAsia="Calibri" w:hAnsi="Calibri" w:cs="Calibri"/>
          <w:b/>
          <w:bCs/>
          <w:sz w:val="21"/>
          <w:szCs w:val="21"/>
        </w:rPr>
        <w:t>Impossível:</w:t>
      </w:r>
      <w:r>
        <w:rPr>
          <w:rFonts w:ascii="Calibri" w:eastAsia="Calibri" w:hAnsi="Calibri" w:cs="Calibri"/>
          <w:sz w:val="21"/>
          <w:szCs w:val="21"/>
        </w:rPr>
        <w:t xml:space="preserve"> o IBGE agrega a faixa como "60 a 69 anos" (</w:t>
      </w:r>
      <w:r>
        <w:rPr>
          <w:rFonts w:ascii="Consolas" w:eastAsia="Consolas" w:hAnsi="Consolas" w:cs="Consolas"/>
          <w:color w:val="0E6B62"/>
          <w:sz w:val="19"/>
          <w:szCs w:val="19"/>
        </w:rPr>
        <w:t>V01040</w:t>
      </w:r>
      <w:r>
        <w:rPr>
          <w:rFonts w:ascii="Calibri" w:eastAsia="Calibri" w:hAnsi="Calibri" w:cs="Calibri"/>
          <w:sz w:val="21"/>
          <w:szCs w:val="21"/>
        </w:rPr>
        <w:t>), sem separar 65. Por isso todos os indicadores do projeto usam 60+.</w:t>
      </w:r>
    </w:p>
    <w:p w14:paraId="74CAA930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fiz, passo a passo:</w:t>
      </w:r>
    </w:p>
    <w:p w14:paraId="1DC97DD7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Li o artigo e extraí o Quadro 1, com as quatro definições: IEP, RDI, LI e percentual de 60 anos ou mais.</w:t>
      </w:r>
    </w:p>
    <w:p w14:paraId="55ED6E0E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Conferi no dicionário oficial do IBGE quais faixas etárias existem nos agregados por setor. Descobri que o bloco vai de </w:t>
      </w:r>
      <w:r>
        <w:rPr>
          <w:rFonts w:ascii="Consolas" w:eastAsia="Consolas" w:hAnsi="Consolas" w:cs="Consolas"/>
          <w:color w:val="0E6B62"/>
          <w:sz w:val="19"/>
          <w:szCs w:val="19"/>
        </w:rPr>
        <w:t>V01031</w:t>
      </w:r>
      <w:r>
        <w:rPr>
          <w:rFonts w:ascii="Calibri" w:eastAsia="Calibri" w:hAnsi="Calibri" w:cs="Calibri"/>
          <w:sz w:val="21"/>
          <w:szCs w:val="21"/>
        </w:rPr>
        <w:t xml:space="preserve"> (0–4) até </w:t>
      </w:r>
      <w:r>
        <w:rPr>
          <w:rFonts w:ascii="Consolas" w:eastAsia="Consolas" w:hAnsi="Consolas" w:cs="Consolas"/>
          <w:color w:val="0E6B62"/>
          <w:sz w:val="19"/>
          <w:szCs w:val="19"/>
        </w:rPr>
        <w:t>V01041</w:t>
      </w:r>
      <w:r>
        <w:rPr>
          <w:rFonts w:ascii="Calibri" w:eastAsia="Calibri" w:hAnsi="Calibri" w:cs="Calibri"/>
          <w:sz w:val="21"/>
          <w:szCs w:val="21"/>
        </w:rPr>
        <w:t xml:space="preserve"> (70 ou mais).</w:t>
      </w:r>
    </w:p>
    <w:p w14:paraId="10A3FDD5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Descobri que </w:t>
      </w:r>
      <w:r>
        <w:rPr>
          <w:rFonts w:ascii="Calibri" w:eastAsia="Calibri" w:hAnsi="Calibri" w:cs="Calibri"/>
          <w:b/>
          <w:bCs/>
          <w:sz w:val="21"/>
          <w:szCs w:val="21"/>
        </w:rPr>
        <w:t>as faixas de 15 a 59 anos (`V01034`–`V01039`) não estavam sendo lidas</w:t>
      </w:r>
      <w:r>
        <w:rPr>
          <w:rFonts w:ascii="Calibri" w:eastAsia="Calibri" w:hAnsi="Calibri" w:cs="Calibri"/>
          <w:sz w:val="21"/>
          <w:szCs w:val="21"/>
        </w:rPr>
        <w:t xml:space="preserve"> pela pipeline — o Notebook 01 só extraía 0–4, 5–9, 10–14, 60–69 e 70+. Sem elas, a Razão de Dependência de Idosos seria impossível.</w:t>
      </w:r>
    </w:p>
    <w:p w14:paraId="7E4D99AF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Editei o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usecols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 bloco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demog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no Notebook 01 e reprocessei a base inteira. A base passou de 58 para 68 colunas.</w:t>
      </w:r>
    </w:p>
    <w:p w14:paraId="020DCF74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Reescrevi a célula </w:t>
      </w:r>
      <w:r>
        <w:rPr>
          <w:rFonts w:ascii="Consolas" w:eastAsia="Consolas" w:hAnsi="Consolas" w:cs="Consolas"/>
          <w:color w:val="0E6B62"/>
          <w:sz w:val="19"/>
          <w:szCs w:val="19"/>
        </w:rPr>
        <w:t>idade-estrutura</w:t>
      </w:r>
      <w:r>
        <w:rPr>
          <w:rFonts w:ascii="Calibri" w:eastAsia="Calibri" w:hAnsi="Calibri" w:cs="Calibri"/>
          <w:sz w:val="21"/>
          <w:szCs w:val="21"/>
        </w:rPr>
        <w:t xml:space="preserve"> do Notebook 02 com as três definições viáveis.</w:t>
      </w:r>
    </w:p>
    <w:p w14:paraId="66DC58CD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Calculei cada indicador de </w:t>
      </w:r>
      <w:r>
        <w:rPr>
          <w:rFonts w:ascii="Calibri" w:eastAsia="Calibri" w:hAnsi="Calibri" w:cs="Calibri"/>
          <w:b/>
          <w:bCs/>
          <w:sz w:val="21"/>
          <w:szCs w:val="21"/>
        </w:rPr>
        <w:t>duas formas</w:t>
      </w:r>
      <w:r>
        <w:rPr>
          <w:rFonts w:ascii="Calibri" w:eastAsia="Calibri" w:hAnsi="Calibri" w:cs="Calibri"/>
          <w:sz w:val="21"/>
          <w:szCs w:val="21"/>
        </w:rPr>
        <w:t xml:space="preserve"> (ver abaixo o porquê).</w:t>
      </w:r>
    </w:p>
    <w:p w14:paraId="2E478B24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Rodei o cálculo nacional para validar contra o número publicado.</w:t>
      </w:r>
    </w:p>
    <w:p w14:paraId="09B1A652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calculo agregado e por setor.</w:t>
      </w:r>
      <w:r>
        <w:rPr>
          <w:rFonts w:ascii="Calibri" w:eastAsia="Calibri" w:hAnsi="Calibri" w:cs="Calibri"/>
          <w:sz w:val="21"/>
          <w:szCs w:val="21"/>
        </w:rPr>
        <w:t xml:space="preserve"> São coisas diferentes e as duas são necessárias:</w:t>
      </w:r>
    </w:p>
    <w:p w14:paraId="7F463AC7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O </w:t>
      </w:r>
      <w:r>
        <w:rPr>
          <w:rFonts w:ascii="Calibri" w:eastAsia="Calibri" w:hAnsi="Calibri" w:cs="Calibri"/>
          <w:b/>
          <w:bCs/>
          <w:sz w:val="21"/>
          <w:szCs w:val="21"/>
        </w:rPr>
        <w:t>agregado</w:t>
      </w:r>
      <w:r>
        <w:rPr>
          <w:rFonts w:ascii="Calibri" w:eastAsia="Calibri" w:hAnsi="Calibri" w:cs="Calibri"/>
          <w:sz w:val="21"/>
          <w:szCs w:val="21"/>
        </w:rPr>
        <w:t xml:space="preserve"> (razão das somas do grupo) é o número comparável com o que o IBGE publica para municípios, regiões e Brasil. É o que vai para as tabelas do artigo.</w:t>
      </w:r>
    </w:p>
    <w:p w14:paraId="4449DDD4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O </w:t>
      </w:r>
      <w:r>
        <w:rPr>
          <w:rFonts w:ascii="Calibri" w:eastAsia="Calibri" w:hAnsi="Calibri" w:cs="Calibri"/>
          <w:b/>
          <w:bCs/>
          <w:sz w:val="21"/>
          <w:szCs w:val="21"/>
        </w:rPr>
        <w:t>por setor</w:t>
      </w:r>
      <w:r>
        <w:rPr>
          <w:rFonts w:ascii="Calibri" w:eastAsia="Calibri" w:hAnsi="Calibri" w:cs="Calibri"/>
          <w:sz w:val="21"/>
          <w:szCs w:val="21"/>
        </w:rPr>
        <w:t xml:space="preserve"> (razão dentro de cada setor, depois descritivas) é o que mostra a variação </w:t>
      </w:r>
      <w:r>
        <w:rPr>
          <w:rFonts w:ascii="Calibri" w:eastAsia="Calibri" w:hAnsi="Calibri" w:cs="Calibri"/>
          <w:i/>
          <w:iCs/>
          <w:sz w:val="21"/>
          <w:szCs w:val="21"/>
        </w:rPr>
        <w:t>intraurbana</w:t>
      </w:r>
      <w:r>
        <w:rPr>
          <w:rFonts w:ascii="Calibri" w:eastAsia="Calibri" w:hAnsi="Calibri" w:cs="Calibri"/>
          <w:sz w:val="21"/>
          <w:szCs w:val="21"/>
        </w:rPr>
        <w:t>, que é o objeto do projeto. Setores sem crianças ficam ausentes, não zero — dividir por zero não é zero.</w:t>
      </w:r>
    </w:p>
    <w:p w14:paraId="60CFD97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O que verifiquei:</w:t>
      </w:r>
    </w:p>
    <w:p w14:paraId="20D6A71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A soma das 11 faixas etárias reproduz exatamente </w:t>
      </w:r>
      <w:r>
        <w:rPr>
          <w:rFonts w:ascii="Consolas" w:eastAsia="Consolas" w:hAnsi="Consolas" w:cs="Consolas"/>
          <w:color w:val="0E6B62"/>
          <w:sz w:val="19"/>
          <w:szCs w:val="19"/>
        </w:rPr>
        <w:t>v0001</w:t>
      </w:r>
      <w:r>
        <w:rPr>
          <w:rFonts w:ascii="Calibri" w:eastAsia="Calibri" w:hAnsi="Calibri" w:cs="Calibri"/>
          <w:sz w:val="21"/>
          <w:szCs w:val="21"/>
        </w:rPr>
        <w:t xml:space="preserve"> em todos os </w:t>
      </w:r>
      <w:r>
        <w:rPr>
          <w:rFonts w:ascii="Calibri" w:eastAsia="Calibri" w:hAnsi="Calibri" w:cs="Calibri"/>
          <w:b/>
          <w:bCs/>
          <w:sz w:val="21"/>
          <w:szCs w:val="21"/>
        </w:rPr>
        <w:t>99.957 setores comparáveis</w:t>
      </w:r>
      <w:r>
        <w:rPr>
          <w:rFonts w:ascii="Calibri" w:eastAsia="Calibri" w:hAnsi="Calibri" w:cs="Calibri"/>
          <w:sz w:val="21"/>
          <w:szCs w:val="21"/>
        </w:rPr>
        <w:t xml:space="preserve"> (aqueles sem sigilo dos dois lados). Isso valida que as faixas foram lidas corretamente e que nenhuma ficou faltando.</w:t>
      </w:r>
    </w:p>
    <w:p w14:paraId="65D3DBD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O IEP agregado do Brasil deu </w:t>
      </w:r>
      <w:r>
        <w:rPr>
          <w:rFonts w:ascii="Calibri" w:eastAsia="Calibri" w:hAnsi="Calibri" w:cs="Calibri"/>
          <w:b/>
          <w:bCs/>
          <w:sz w:val="21"/>
          <w:szCs w:val="21"/>
        </w:rPr>
        <w:t>79,99</w:t>
      </w:r>
      <w:r>
        <w:rPr>
          <w:rFonts w:ascii="Calibri" w:eastAsia="Calibri" w:hAnsi="Calibri" w:cs="Calibri"/>
          <w:sz w:val="21"/>
          <w:szCs w:val="21"/>
        </w:rPr>
        <w:t xml:space="preserve"> contra os </w:t>
      </w:r>
      <w:r>
        <w:rPr>
          <w:rFonts w:ascii="Calibri" w:eastAsia="Calibri" w:hAnsi="Calibri" w:cs="Calibri"/>
          <w:b/>
          <w:bCs/>
          <w:sz w:val="21"/>
          <w:szCs w:val="21"/>
        </w:rPr>
        <w:t>80,0</w:t>
      </w:r>
      <w:r>
        <w:rPr>
          <w:rFonts w:ascii="Calibri" w:eastAsia="Calibri" w:hAnsi="Calibri" w:cs="Calibri"/>
          <w:sz w:val="21"/>
          <w:szCs w:val="21"/>
        </w:rPr>
        <w:t xml:space="preserve"> publicados pelo IBGE.</w:t>
      </w:r>
    </w:p>
    <w:p w14:paraId="0BA4B3F3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Por região, o padrão se mantém: Norte 42,9 (publicado 41,4), Sudeste 97,1 (98,0), Sul</w:t>
      </w:r>
    </w:p>
    <w:p w14:paraId="48982EA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91,5 (95,4). As diferenças são coerentes com o meu recorte ser urbano e o publicado incluir rurais.</w:t>
      </w:r>
    </w:p>
    <w:p w14:paraId="114240B8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ficou impossível.</w:t>
      </w:r>
      <w:r>
        <w:rPr>
          <w:rFonts w:ascii="Calibri" w:eastAsia="Calibri" w:hAnsi="Calibri" w:cs="Calibri"/>
          <w:sz w:val="21"/>
          <w:szCs w:val="21"/>
        </w:rPr>
        <w:t xml:space="preserve"> O índice de </w:t>
      </w:r>
      <w:r>
        <w:rPr>
          <w:rFonts w:ascii="Calibri" w:eastAsia="Calibri" w:hAnsi="Calibri" w:cs="Calibri"/>
          <w:b/>
          <w:bCs/>
          <w:sz w:val="21"/>
          <w:szCs w:val="21"/>
        </w:rPr>
        <w:t>Longevidade (75+ ÷ 60+) não é calculável</w:t>
      </w:r>
      <w:r>
        <w:rPr>
          <w:rFonts w:ascii="Calibri" w:eastAsia="Calibri" w:hAnsi="Calibri" w:cs="Calibri"/>
          <w:sz w:val="21"/>
          <w:szCs w:val="21"/>
        </w:rPr>
        <w:t xml:space="preserve"> nos agregados por setor: a faixa mais fina no topo da pirâmide é "70 anos ou mais". Calculei a proporção de 70+ entre os 60+ (44,6% no recorte) como substituto parcial, </w:t>
      </w:r>
      <w:r>
        <w:rPr>
          <w:rFonts w:ascii="Calibri" w:eastAsia="Calibri" w:hAnsi="Calibri" w:cs="Calibri"/>
          <w:b/>
          <w:bCs/>
          <w:sz w:val="21"/>
          <w:szCs w:val="21"/>
        </w:rPr>
        <w:t>rotulado explicitamente como não sendo o LI</w:t>
      </w:r>
      <w:r>
        <w:rPr>
          <w:rFonts w:ascii="Calibri" w:eastAsia="Calibri" w:hAnsi="Calibri" w:cs="Calibri"/>
          <w:sz w:val="21"/>
          <w:szCs w:val="21"/>
        </w:rPr>
        <w:t xml:space="preserve"> — não pode ser comparado com valores de LI publicados.</w:t>
      </w:r>
    </w:p>
    <w:p w14:paraId="35B97EFA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28491623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12.3 Demanda 2 — Tabela de variáveis com o significado e a fonte</w:t>
      </w:r>
    </w:p>
    <w:p w14:paraId="16E303F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"Ajustar tabela para mostrar o que significa cada variável e a fonte da planilha do censo"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E1C375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a escolha da fonte das descrições.</w:t>
      </w:r>
      <w:r>
        <w:rPr>
          <w:rFonts w:ascii="Calibri" w:eastAsia="Calibri" w:hAnsi="Calibri" w:cs="Calibri"/>
          <w:sz w:val="21"/>
          <w:szCs w:val="21"/>
        </w:rPr>
        <w:t xml:space="preserve"> Optei por usar </w:t>
      </w:r>
      <w:r>
        <w:rPr>
          <w:rFonts w:ascii="Calibri" w:eastAsia="Calibri" w:hAnsi="Calibri" w:cs="Calibri"/>
          <w:b/>
          <w:bCs/>
          <w:sz w:val="21"/>
          <w:szCs w:val="21"/>
        </w:rPr>
        <w:t>os dicionários oficiais do IBGE</w:t>
      </w:r>
      <w:r>
        <w:rPr>
          <w:rFonts w:ascii="Calibri" w:eastAsia="Calibri" w:hAnsi="Calibri" w:cs="Calibri"/>
          <w:sz w:val="21"/>
          <w:szCs w:val="21"/>
        </w:rPr>
        <w:t xml:space="preserve"> como fonte das descrições, e não redigir descrições próprias. Motivo: descrição escrita por mim é interpretação, e interpretação em tabela de metodologia vira fonte de divergência com o revisor. Onde o IBGE descreve, uso a palavra dele.</w:t>
      </w:r>
    </w:p>
    <w:p w14:paraId="3B83837B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problema que isso criou, e como resolvi.</w:t>
      </w:r>
      <w:r>
        <w:rPr>
          <w:rFonts w:ascii="Calibri" w:eastAsia="Calibri" w:hAnsi="Calibri" w:cs="Calibri"/>
          <w:sz w:val="21"/>
          <w:szCs w:val="21"/>
        </w:rPr>
        <w:t xml:space="preserve"> Dez colunas do projeto </w:t>
      </w:r>
      <w:r>
        <w:rPr>
          <w:rFonts w:ascii="Calibri" w:eastAsia="Calibri" w:hAnsi="Calibri" w:cs="Calibri"/>
          <w:b/>
          <w:bCs/>
          <w:sz w:val="21"/>
          <w:szCs w:val="21"/>
        </w:rPr>
        <w:t>não constam de nenhum dicionário oficial</w:t>
      </w:r>
      <w:r>
        <w:rPr>
          <w:rFonts w:ascii="Calibri" w:eastAsia="Calibri" w:hAnsi="Calibri" w:cs="Calibri"/>
          <w:sz w:val="21"/>
          <w:szCs w:val="21"/>
        </w:rPr>
        <w:t>: são as de identificação e classificação territorial (</w:t>
      </w:r>
      <w:r>
        <w:rPr>
          <w:rFonts w:ascii="Consolas" w:eastAsia="Consolas" w:hAnsi="Consolas" w:cs="Consolas"/>
          <w:color w:val="0E6B62"/>
          <w:sz w:val="19"/>
          <w:szCs w:val="19"/>
        </w:rPr>
        <w:t>CD_SETOR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SITUACAO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CD_SIT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CD_FCU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NM_FCU</w:t>
      </w:r>
      <w:r>
        <w:rPr>
          <w:rFonts w:ascii="Calibri" w:eastAsia="Calibri" w:hAnsi="Calibri" w:cs="Calibri"/>
          <w:sz w:val="21"/>
          <w:szCs w:val="21"/>
        </w:rPr>
        <w:t xml:space="preserve">, além das derivadas </w:t>
      </w:r>
      <w:r>
        <w:rPr>
          <w:rFonts w:ascii="Consolas" w:eastAsia="Consolas" w:hAnsi="Consolas" w:cs="Consolas"/>
          <w:color w:val="0E6B62"/>
          <w:sz w:val="19"/>
          <w:szCs w:val="19"/>
        </w:rPr>
        <w:t>CD_UF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onsolas" w:eastAsia="Consolas" w:hAnsi="Consolas" w:cs="Consolas"/>
          <w:color w:val="0E6B62"/>
          <w:sz w:val="19"/>
          <w:szCs w:val="19"/>
        </w:rPr>
        <w:t>CD_MUN</w:t>
      </w:r>
      <w:r>
        <w:rPr>
          <w:rFonts w:ascii="Calibri" w:eastAsia="Calibri" w:hAnsi="Calibri" w:cs="Calibri"/>
          <w:sz w:val="21"/>
          <w:szCs w:val="21"/>
        </w:rPr>
        <w:t xml:space="preserve">). Para essas escrevi a descrição, mas acrescentei uma coluna </w:t>
      </w:r>
      <w:r>
        <w:rPr>
          <w:rFonts w:ascii="Calibri" w:eastAsia="Calibri" w:hAnsi="Calibri" w:cs="Calibri"/>
          <w:b/>
          <w:bCs/>
          <w:sz w:val="21"/>
          <w:szCs w:val="21"/>
        </w:rPr>
        <w:t>`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origem_da_descricao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`</w:t>
      </w:r>
      <w:r>
        <w:rPr>
          <w:rFonts w:ascii="Calibri" w:eastAsia="Calibri" w:hAnsi="Calibri" w:cs="Calibri"/>
          <w:sz w:val="21"/>
          <w:szCs w:val="21"/>
        </w:rPr>
        <w:t xml:space="preserve"> que separa o que é texto do IBGE do que é texto do projeto. Quem ler a tabela sabe exatamente de onde veio cada linha.</w:t>
      </w:r>
    </w:p>
    <w:p w14:paraId="3F57EA1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fiz:</w:t>
      </w:r>
    </w:p>
    <w:p w14:paraId="2ABC371E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Criei </w:t>
      </w:r>
      <w:r>
        <w:rPr>
          <w:rFonts w:ascii="Consolas" w:eastAsia="Consolas" w:hAnsi="Consolas" w:cs="Consolas"/>
          <w:color w:val="0E6B62"/>
          <w:sz w:val="19"/>
          <w:szCs w:val="19"/>
        </w:rPr>
        <w:t>src/ivs_censo/fontes.py</w:t>
      </w:r>
      <w:r>
        <w:rPr>
          <w:rFonts w:ascii="Calibri" w:eastAsia="Calibri" w:hAnsi="Calibri" w:cs="Calibri"/>
          <w:sz w:val="21"/>
          <w:szCs w:val="21"/>
        </w:rPr>
        <w:t xml:space="preserve"> como </w:t>
      </w:r>
      <w:r>
        <w:rPr>
          <w:rFonts w:ascii="Calibri" w:eastAsia="Calibri" w:hAnsi="Calibri" w:cs="Calibri"/>
          <w:b/>
          <w:bCs/>
          <w:sz w:val="21"/>
          <w:szCs w:val="21"/>
        </w:rPr>
        <w:t>fonte única de verdade</w:t>
      </w:r>
      <w:r>
        <w:rPr>
          <w:rFonts w:ascii="Calibri" w:eastAsia="Calibri" w:hAnsi="Calibri" w:cs="Calibri"/>
          <w:sz w:val="21"/>
          <w:szCs w:val="21"/>
        </w:rPr>
        <w:t xml:space="preserve"> sobre procedência: para cada um dos 8 arquivos do Censo, qual o nome da chave do setor naquele arquivo (o IBGE alterna entre </w:t>
      </w:r>
      <w:r>
        <w:rPr>
          <w:rFonts w:ascii="Consolas" w:eastAsia="Consolas" w:hAnsi="Consolas" w:cs="Consolas"/>
          <w:color w:val="0E6B62"/>
          <w:sz w:val="19"/>
          <w:szCs w:val="19"/>
        </w:rPr>
        <w:t>CD_SETOR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CD_setor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onsolas" w:eastAsia="Consolas" w:hAnsi="Consolas" w:cs="Consolas"/>
          <w:color w:val="0E6B62"/>
          <w:sz w:val="19"/>
          <w:szCs w:val="19"/>
        </w:rPr>
        <w:t>setor</w:t>
      </w:r>
      <w:r>
        <w:rPr>
          <w:rFonts w:ascii="Calibri" w:eastAsia="Calibri" w:hAnsi="Calibri" w:cs="Calibri"/>
          <w:sz w:val="21"/>
          <w:szCs w:val="21"/>
        </w:rPr>
        <w:t>) e quais variáveis o projeto lê dele.</w:t>
      </w:r>
    </w:p>
    <w:p w14:paraId="119B4DAC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Criei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ivs_censo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/dicionario.py</w:t>
      </w:r>
      <w:r>
        <w:rPr>
          <w:rFonts w:ascii="Calibri" w:eastAsia="Calibri" w:hAnsi="Calibri" w:cs="Calibri"/>
          <w:sz w:val="21"/>
          <w:szCs w:val="21"/>
        </w:rPr>
        <w:t>, que lê as três abas relevantes dos dois dicionários oficiais e cruza com o mapa de procedência.</w:t>
      </w:r>
    </w:p>
    <w:p w14:paraId="0DFF75D0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Acrescentei a coluna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usada_nos_indicadores</w:t>
      </w:r>
      <w:proofErr w:type="spellEnd"/>
      <w:r>
        <w:rPr>
          <w:rFonts w:ascii="Calibri" w:eastAsia="Calibri" w:hAnsi="Calibri" w:cs="Calibri"/>
          <w:sz w:val="21"/>
          <w:szCs w:val="21"/>
        </w:rPr>
        <w:t>, derivada automaticamente das definições dos indicadores — assim ela nunca fica dessincronizada das fórmulas.</w:t>
      </w:r>
    </w:p>
    <w:p w14:paraId="1C575421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onsolas" w:eastAsia="Consolas" w:hAnsi="Consolas" w:cs="Consolas"/>
          <w:color w:val="0E6B62"/>
          <w:sz w:val="19"/>
          <w:szCs w:val="19"/>
        </w:rPr>
        <w:t>scripts/gerar_tabela_variaveis.py</w:t>
      </w:r>
      <w:r>
        <w:rPr>
          <w:rFonts w:ascii="Calibri" w:eastAsia="Calibri" w:hAnsi="Calibri" w:cs="Calibri"/>
          <w:sz w:val="21"/>
          <w:szCs w:val="21"/>
        </w:rPr>
        <w:t xml:space="preserve"> gera CSV e XLSX (este com uma aba por arquivo do Censo), e a mesma tabela é embutida na tabela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dicionario_variaveis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dos bancos </w:t>
      </w:r>
      <w:proofErr w:type="spellStart"/>
      <w:r>
        <w:rPr>
          <w:rFonts w:ascii="Calibri" w:eastAsia="Calibri" w:hAnsi="Calibri" w:cs="Calibri"/>
          <w:sz w:val="21"/>
          <w:szCs w:val="21"/>
        </w:rPr>
        <w:t>SQLite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 entrega.</w:t>
      </w:r>
    </w:p>
    <w:p w14:paraId="5D4325D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Resultado e verificação.</w:t>
      </w:r>
      <w:r>
        <w:rPr>
          <w:rFonts w:ascii="Calibri" w:eastAsia="Calibri" w:hAnsi="Calibri" w:cs="Calibri"/>
          <w:sz w:val="21"/>
          <w:szCs w:val="21"/>
        </w:rPr>
        <w:t xml:space="preserve"> São </w:t>
      </w:r>
      <w:r>
        <w:rPr>
          <w:rFonts w:ascii="Calibri" w:eastAsia="Calibri" w:hAnsi="Calibri" w:cs="Calibri"/>
          <w:b/>
          <w:bCs/>
          <w:sz w:val="21"/>
          <w:szCs w:val="21"/>
        </w:rPr>
        <w:t>72 variáveis</w:t>
      </w:r>
      <w:r>
        <w:rPr>
          <w:rFonts w:ascii="Calibri" w:eastAsia="Calibri" w:hAnsi="Calibri" w:cs="Calibri"/>
          <w:sz w:val="21"/>
          <w:szCs w:val="21"/>
        </w:rPr>
        <w:t xml:space="preserve"> de </w:t>
      </w:r>
      <w:r>
        <w:rPr>
          <w:rFonts w:ascii="Calibri" w:eastAsia="Calibri" w:hAnsi="Calibri" w:cs="Calibri"/>
          <w:b/>
          <w:bCs/>
          <w:sz w:val="21"/>
          <w:szCs w:val="21"/>
        </w:rPr>
        <w:t>8 arquivos</w:t>
      </w:r>
      <w:r>
        <w:rPr>
          <w:rFonts w:ascii="Calibri" w:eastAsia="Calibri" w:hAnsi="Calibri" w:cs="Calibri"/>
          <w:sz w:val="21"/>
          <w:szCs w:val="21"/>
        </w:rPr>
        <w:t>; 57 descrições vêm do dicionário oficial e 10 da documentação do projeto. Um teste automatizado confere que toda variável usada em algum indicador aparece na tabela.</w:t>
      </w:r>
    </w:p>
    <w:p w14:paraId="7410921B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3AC21B8E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12.4 Demanda 3 — Excluir setores rurais</w:t>
      </w:r>
    </w:p>
    <w:p w14:paraId="43A7F944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"Excluir setores rurais, conferir com a porcentagem"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E12880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excluir.</w:t>
      </w:r>
      <w:r>
        <w:rPr>
          <w:rFonts w:ascii="Calibri" w:eastAsia="Calibri" w:hAnsi="Calibri" w:cs="Calibri"/>
          <w:sz w:val="21"/>
          <w:szCs w:val="21"/>
        </w:rPr>
        <w:t xml:space="preserve"> O IVS é um índice </w:t>
      </w:r>
      <w:r>
        <w:rPr>
          <w:rFonts w:ascii="Calibri" w:eastAsia="Calibri" w:hAnsi="Calibri" w:cs="Calibri"/>
          <w:b/>
          <w:bCs/>
          <w:sz w:val="21"/>
          <w:szCs w:val="21"/>
        </w:rPr>
        <w:t>intraurbano</w:t>
      </w:r>
      <w:r>
        <w:rPr>
          <w:rFonts w:ascii="Calibri" w:eastAsia="Calibri" w:hAnsi="Calibri" w:cs="Calibri"/>
          <w:sz w:val="21"/>
          <w:szCs w:val="21"/>
        </w:rPr>
        <w:t>: ele compara setores dentro de uma mesma cidade. Setores rurais entram na base porque o recorte da amostra é municipal — o município inteiro dos 70 do ELSI —, mas não pertencem ao objeto. Eles têm padrões de saneamento estruturalmente diferentes (fossa e poço são a norma, não a exceção) e, se mantidos, puxariam artificialmente a cauda alta de vulnerabilidade, fazendo o índice medir em parte a diferença campo-cidade em vez da desigualdade dentro da cidade.</w:t>
      </w:r>
    </w:p>
    <w:p w14:paraId="47F89A8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A decisão mais importante: onde aplicar o filtro.</w:t>
      </w:r>
      <w:r>
        <w:rPr>
          <w:rFonts w:ascii="Calibri" w:eastAsia="Calibri" w:hAnsi="Calibri" w:cs="Calibri"/>
          <w:sz w:val="21"/>
          <w:szCs w:val="21"/>
        </w:rPr>
        <w:t xml:space="preserve"> Apliquei no </w:t>
      </w:r>
      <w:r>
        <w:rPr>
          <w:rFonts w:ascii="Calibri" w:eastAsia="Calibri" w:hAnsi="Calibri" w:cs="Calibri"/>
          <w:b/>
          <w:bCs/>
          <w:sz w:val="21"/>
          <w:szCs w:val="21"/>
        </w:rPr>
        <w:t>notebook de análise, e não na extração</w:t>
      </w:r>
      <w:r>
        <w:rPr>
          <w:rFonts w:ascii="Calibri" w:eastAsia="Calibri" w:hAnsi="Calibri" w:cs="Calibri"/>
          <w:sz w:val="21"/>
          <w:szCs w:val="21"/>
        </w:rPr>
        <w:t>. A base bruta continua com os 109.032 setores. As razões:</w:t>
      </w:r>
    </w:p>
    <w:p w14:paraId="274E0DA8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Auditabilidade.</w:t>
      </w:r>
      <w:r>
        <w:rPr>
          <w:rFonts w:ascii="Calibri" w:eastAsia="Calibri" w:hAnsi="Calibri" w:cs="Calibri"/>
          <w:sz w:val="21"/>
          <w:szCs w:val="21"/>
        </w:rPr>
        <w:t xml:space="preserve"> Com a base completa preservada, dá para mostrar exatamente quanto e quem saiu — que é justamente a "conferência com a porcentagem" pedida.</w:t>
      </w:r>
    </w:p>
    <w:p w14:paraId="786EB839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Reversibilidade.</w:t>
      </w:r>
      <w:r>
        <w:rPr>
          <w:rFonts w:ascii="Calibri" w:eastAsia="Calibri" w:hAnsi="Calibri" w:cs="Calibri"/>
          <w:sz w:val="21"/>
          <w:szCs w:val="21"/>
        </w:rPr>
        <w:t xml:space="preserve"> Se a decisão mudar, ou se alguém quiser uma análise comparando urbano e rural, basta não aplicar o filtro. Não é preciso reprocessar 2,4 GB.</w:t>
      </w:r>
    </w:p>
    <w:p w14:paraId="4A9E6CE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Rastreabilidade do dado bruto.</w:t>
      </w:r>
      <w:r>
        <w:rPr>
          <w:rFonts w:ascii="Calibri" w:eastAsia="Calibri" w:hAnsi="Calibri" w:cs="Calibri"/>
          <w:sz w:val="21"/>
          <w:szCs w:val="21"/>
        </w:rPr>
        <w:t xml:space="preserve"> A base bruta continua sendo um retrato fiel do que o IBGE publica para aqueles municípios, sem recorte analítico embutido.</w:t>
      </w:r>
    </w:p>
    <w:p w14:paraId="3AC3A51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fiz:</w:t>
      </w:r>
    </w:p>
    <w:p w14:paraId="7EA23E45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Verifiquei a equivalência entre </w:t>
      </w:r>
      <w:r>
        <w:rPr>
          <w:rFonts w:ascii="Consolas" w:eastAsia="Consolas" w:hAnsi="Consolas" w:cs="Consolas"/>
          <w:color w:val="0E6B62"/>
          <w:sz w:val="19"/>
          <w:szCs w:val="19"/>
        </w:rPr>
        <w:t>SITUACAO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onsolas" w:eastAsia="Consolas" w:hAnsi="Consolas" w:cs="Consolas"/>
          <w:color w:val="0E6B62"/>
          <w:sz w:val="19"/>
          <w:szCs w:val="19"/>
        </w:rPr>
        <w:t>CD_SIT</w:t>
      </w:r>
      <w:r>
        <w:rPr>
          <w:rFonts w:ascii="Calibri" w:eastAsia="Calibri" w:hAnsi="Calibri" w:cs="Calibri"/>
          <w:sz w:val="21"/>
          <w:szCs w:val="21"/>
        </w:rPr>
        <w:t xml:space="preserve"> nos 468.099 setores do país, para ter certeza de que o critério era estável: </w:t>
      </w:r>
      <w:r>
        <w:rPr>
          <w:rFonts w:ascii="Consolas" w:eastAsia="Consolas" w:hAnsi="Consolas" w:cs="Consolas"/>
          <w:color w:val="0E6B62"/>
          <w:sz w:val="19"/>
          <w:szCs w:val="19"/>
        </w:rPr>
        <w:t>CD_SIT</w:t>
      </w:r>
      <w:r>
        <w:rPr>
          <w:rFonts w:ascii="Calibri" w:eastAsia="Calibri" w:hAnsi="Calibri" w:cs="Calibri"/>
          <w:sz w:val="21"/>
          <w:szCs w:val="21"/>
        </w:rPr>
        <w:t xml:space="preserve"> 1, 2 e 3 correspondem a Urbana (354.965 setores) e 5 a 8 a Rural (112.031), sem nenhuma exceção.</w:t>
      </w:r>
    </w:p>
    <w:p w14:paraId="313BDD1F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Investiguei os setores com </w:t>
      </w:r>
      <w:r>
        <w:rPr>
          <w:rFonts w:ascii="Consolas" w:eastAsia="Consolas" w:hAnsi="Consolas" w:cs="Consolas"/>
          <w:color w:val="0E6B62"/>
          <w:sz w:val="19"/>
          <w:szCs w:val="19"/>
        </w:rPr>
        <w:t>SITUACAO</w:t>
      </w:r>
      <w:r>
        <w:rPr>
          <w:rFonts w:ascii="Calibri" w:eastAsia="Calibri" w:hAnsi="Calibri" w:cs="Calibri"/>
          <w:sz w:val="21"/>
          <w:szCs w:val="21"/>
        </w:rPr>
        <w:t xml:space="preserve"> vazia: são </w:t>
      </w:r>
      <w:r>
        <w:rPr>
          <w:rFonts w:ascii="Consolas" w:eastAsia="Consolas" w:hAnsi="Consolas" w:cs="Consolas"/>
          <w:color w:val="0E6B62"/>
          <w:sz w:val="19"/>
          <w:szCs w:val="19"/>
        </w:rPr>
        <w:t>CD_SIT = 9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alibri" w:eastAsia="Calibri" w:hAnsi="Calibri" w:cs="Calibri"/>
          <w:b/>
          <w:bCs/>
          <w:sz w:val="21"/>
          <w:szCs w:val="21"/>
        </w:rPr>
        <w:t>todos os 1.101 do país têm população zero</w:t>
      </w:r>
      <w:r>
        <w:rPr>
          <w:rFonts w:ascii="Calibri" w:eastAsia="Calibri" w:hAnsi="Calibri" w:cs="Calibri"/>
          <w:sz w:val="21"/>
          <w:szCs w:val="21"/>
        </w:rPr>
        <w:t>. São massas d'água. No recorte ELSI são 78, e já saem pela regra de elegibilidade, antes do filtro urbano.</w:t>
      </w:r>
    </w:p>
    <w:p w14:paraId="609EB212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Criei a seção 3b do Notebook 02, que monta as tabelas de composição por município e região, aplica o filtro e exporta a conferência.</w:t>
      </w:r>
    </w:p>
    <w:p w14:paraId="43224524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Exportei quatro tabelas, incluindo </w:t>
      </w:r>
      <w:r>
        <w:rPr>
          <w:rFonts w:ascii="Consolas" w:eastAsia="Consolas" w:hAnsi="Consolas" w:cs="Consolas"/>
          <w:color w:val="0E6B62"/>
          <w:sz w:val="19"/>
          <w:szCs w:val="19"/>
        </w:rPr>
        <w:t>exclusao_rural_conferencia.csv</w:t>
      </w:r>
      <w:r>
        <w:rPr>
          <w:rFonts w:ascii="Calibri" w:eastAsia="Calibri" w:hAnsi="Calibri" w:cs="Calibri"/>
          <w:sz w:val="21"/>
          <w:szCs w:val="21"/>
        </w:rPr>
        <w:t>, que mostra por município quantos setores entraram e quantos saíram.</w:t>
      </w:r>
    </w:p>
    <w:p w14:paraId="14C33F70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a conferência revelou — e que eu não esperava.</w:t>
      </w:r>
      <w:r>
        <w:rPr>
          <w:rFonts w:ascii="Calibri" w:eastAsia="Calibri" w:hAnsi="Calibri" w:cs="Calibri"/>
          <w:sz w:val="21"/>
          <w:szCs w:val="21"/>
        </w:rPr>
        <w:t xml:space="preserve"> A exclusão remove só 2,04% dos setores no agregado, mas é </w:t>
      </w:r>
      <w:r>
        <w:rPr>
          <w:rFonts w:ascii="Calibri" w:eastAsia="Calibri" w:hAnsi="Calibri" w:cs="Calibri"/>
          <w:b/>
          <w:bCs/>
          <w:sz w:val="21"/>
          <w:szCs w:val="21"/>
        </w:rPr>
        <w:t>muito desigual</w:t>
      </w:r>
      <w:r>
        <w:rPr>
          <w:rFonts w:ascii="Calibri" w:eastAsia="Calibri" w:hAnsi="Calibri" w:cs="Calibri"/>
          <w:sz w:val="21"/>
          <w:szCs w:val="21"/>
        </w:rPr>
        <w:t xml:space="preserve">: nove municípios não perdem nada, </w:t>
      </w:r>
      <w:r>
        <w:rPr>
          <w:rFonts w:ascii="Calibri" w:eastAsia="Calibri" w:hAnsi="Calibri" w:cs="Calibri"/>
          <w:b/>
          <w:bCs/>
          <w:sz w:val="21"/>
          <w:szCs w:val="21"/>
        </w:rPr>
        <w:t>29 dos 70 perdem mais de 10%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alibri" w:eastAsia="Calibri" w:hAnsi="Calibri" w:cs="Calibri"/>
          <w:b/>
          <w:bCs/>
          <w:sz w:val="21"/>
          <w:szCs w:val="21"/>
        </w:rPr>
        <w:t>14 perdem mais da metade</w:t>
      </w:r>
      <w:r>
        <w:rPr>
          <w:rFonts w:ascii="Calibri" w:eastAsia="Calibri" w:hAnsi="Calibri" w:cs="Calibri"/>
          <w:sz w:val="21"/>
          <w:szCs w:val="21"/>
        </w:rPr>
        <w:t>. São Raimundo do Doca Bezerra fica com 3 setores urbanos, de 19 elegíveis. Isso tem consequência direta: médias e medianas municipais desses casos são instáveis, e é preciso decidir um piso mínimo de setores para incluir um município nas análises municipais. Sem a tabela de conferência, esse efeito teria passado despercebido.</w:t>
      </w:r>
    </w:p>
    <w:p w14:paraId="2165587F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4800CB71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12.5 Demanda 4 — Agrupar as moradias convencionais</w:t>
      </w:r>
    </w:p>
    <w:p w14:paraId="61897694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"Agrupar variáveis como moradias normais no tipo do domicílio"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197055F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decidi o agrupamento.</w:t>
      </w:r>
      <w:r>
        <w:rPr>
          <w:rFonts w:ascii="Calibri" w:eastAsia="Calibri" w:hAnsi="Calibri" w:cs="Calibri"/>
          <w:sz w:val="21"/>
          <w:szCs w:val="21"/>
        </w:rPr>
        <w:t xml:space="preserve"> O Censo 2022 desdobra o tipo de espécie do domicílio em 12 variáveis: seis para os Domicílios Particulares Permanentes Ocupados (</w:t>
      </w:r>
      <w:r>
        <w:rPr>
          <w:rFonts w:ascii="Consolas" w:eastAsia="Consolas" w:hAnsi="Consolas" w:cs="Consolas"/>
          <w:color w:val="0E6B62"/>
          <w:sz w:val="19"/>
          <w:szCs w:val="19"/>
        </w:rPr>
        <w:t>V00047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V00052</w:t>
      </w:r>
      <w:r>
        <w:rPr>
          <w:rFonts w:ascii="Calibri" w:eastAsia="Calibri" w:hAnsi="Calibri" w:cs="Calibri"/>
          <w:sz w:val="21"/>
          <w:szCs w:val="21"/>
        </w:rPr>
        <w:t>) e seis para os Improvisados (</w:t>
      </w:r>
      <w:r>
        <w:rPr>
          <w:rFonts w:ascii="Consolas" w:eastAsia="Consolas" w:hAnsi="Consolas" w:cs="Consolas"/>
          <w:color w:val="0E6B62"/>
          <w:sz w:val="19"/>
          <w:szCs w:val="19"/>
        </w:rPr>
        <w:t>V00053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V00058</w:t>
      </w:r>
      <w:r>
        <w:rPr>
          <w:rFonts w:ascii="Calibri" w:eastAsia="Calibri" w:hAnsi="Calibri" w:cs="Calibri"/>
          <w:sz w:val="21"/>
          <w:szCs w:val="21"/>
        </w:rPr>
        <w:t>). Agrupei em três blocos:</w:t>
      </w:r>
    </w:p>
    <w:p w14:paraId="49B60625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Convencional:</w:t>
      </w:r>
      <w:r>
        <w:rPr>
          <w:rFonts w:ascii="Calibri" w:eastAsia="Calibri" w:hAnsi="Calibri" w:cs="Calibri"/>
          <w:sz w:val="21"/>
          <w:szCs w:val="21"/>
        </w:rPr>
        <w:t xml:space="preserve"> casa, casa de vila ou em condomínio, apartamento (</w:t>
      </w:r>
      <w:r>
        <w:rPr>
          <w:rFonts w:ascii="Consolas" w:eastAsia="Consolas" w:hAnsi="Consolas" w:cs="Consolas"/>
          <w:color w:val="0E6B62"/>
          <w:sz w:val="19"/>
          <w:szCs w:val="19"/>
        </w:rPr>
        <w:t>V00047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V00049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6716A45D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Não convencional:</w:t>
      </w:r>
      <w:r>
        <w:rPr>
          <w:rFonts w:ascii="Calibri" w:eastAsia="Calibri" w:hAnsi="Calibri" w:cs="Calibri"/>
          <w:sz w:val="21"/>
          <w:szCs w:val="21"/>
        </w:rPr>
        <w:t xml:space="preserve"> cortiço ou casa de cômodos, maloca indígena, estrutura residencial permanente degradada ou inacabada (</w:t>
      </w:r>
      <w:r>
        <w:rPr>
          <w:rFonts w:ascii="Consolas" w:eastAsia="Consolas" w:hAnsi="Consolas" w:cs="Consolas"/>
          <w:color w:val="0E6B62"/>
          <w:sz w:val="19"/>
          <w:szCs w:val="19"/>
        </w:rPr>
        <w:t>V00050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V00052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6AAC6557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Improvisado:</w:t>
      </w:r>
      <w:r>
        <w:rPr>
          <w:rFonts w:ascii="Calibri" w:eastAsia="Calibri" w:hAnsi="Calibri" w:cs="Calibri"/>
          <w:sz w:val="21"/>
          <w:szCs w:val="21"/>
        </w:rPr>
        <w:t xml:space="preserve"> os seis tipos de DPIO (</w:t>
      </w:r>
      <w:r>
        <w:rPr>
          <w:rFonts w:ascii="Consolas" w:eastAsia="Consolas" w:hAnsi="Consolas" w:cs="Consolas"/>
          <w:color w:val="0E6B62"/>
          <w:sz w:val="19"/>
          <w:szCs w:val="19"/>
        </w:rPr>
        <w:t>V00053</w:t>
      </w:r>
      <w:r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onsolas" w:eastAsia="Consolas" w:hAnsi="Consolas" w:cs="Consolas"/>
          <w:color w:val="0E6B62"/>
          <w:sz w:val="19"/>
          <w:szCs w:val="19"/>
        </w:rPr>
        <w:t>V00058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72B8A77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critério do corte é a </w:t>
      </w:r>
      <w:r>
        <w:rPr>
          <w:rFonts w:ascii="Calibri" w:eastAsia="Calibri" w:hAnsi="Calibri" w:cs="Calibri"/>
          <w:b/>
          <w:bCs/>
          <w:sz w:val="21"/>
          <w:szCs w:val="21"/>
        </w:rPr>
        <w:t>adequação da edificação como moradia</w:t>
      </w:r>
      <w:r>
        <w:rPr>
          <w:rFonts w:ascii="Calibri" w:eastAsia="Calibri" w:hAnsi="Calibri" w:cs="Calibri"/>
          <w:sz w:val="21"/>
          <w:szCs w:val="21"/>
        </w:rPr>
        <w:t>, que é o que interessa a um índice de vulnerabilidade — e não a tipologia arquitetônica. Casa e apartamento são formas convencionais de morar; cortiço e estrutura degradada não são.</w:t>
      </w:r>
    </w:p>
    <w:p w14:paraId="30FDCA3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o denominador é `V00001` — e como verifiquei.</w:t>
      </w:r>
      <w:r>
        <w:rPr>
          <w:rFonts w:ascii="Calibri" w:eastAsia="Calibri" w:hAnsi="Calibri" w:cs="Calibri"/>
          <w:sz w:val="21"/>
          <w:szCs w:val="21"/>
        </w:rPr>
        <w:t xml:space="preserve"> Os seis tipos de DPPO são, por definição, um desdobramento do total de DPPO. Mas definição no papel não basta: testei nos 104.108 setores. A soma dos seis tipos </w:t>
      </w:r>
      <w:r>
        <w:rPr>
          <w:rFonts w:ascii="Calibri" w:eastAsia="Calibri" w:hAnsi="Calibri" w:cs="Calibri"/>
          <w:b/>
          <w:bCs/>
          <w:sz w:val="21"/>
          <w:szCs w:val="21"/>
        </w:rPr>
        <w:t>nunca ultrapassa `V00001` em nenhum setor</w:t>
      </w:r>
      <w:r>
        <w:rPr>
          <w:rFonts w:ascii="Calibri" w:eastAsia="Calibri" w:hAnsi="Calibri" w:cs="Calibri"/>
          <w:sz w:val="21"/>
          <w:szCs w:val="21"/>
        </w:rPr>
        <w:t xml:space="preserve">; quando fica abaixo, o déficit é de </w:t>
      </w:r>
      <w:r>
        <w:rPr>
          <w:rFonts w:ascii="Calibri" w:eastAsia="Calibri" w:hAnsi="Calibri" w:cs="Calibri"/>
          <w:b/>
          <w:bCs/>
          <w:sz w:val="21"/>
          <w:szCs w:val="21"/>
        </w:rPr>
        <w:t>no máximo 6 domicílios</w:t>
      </w:r>
      <w:r>
        <w:rPr>
          <w:rFonts w:ascii="Calibri" w:eastAsia="Calibri" w:hAnsi="Calibri" w:cs="Calibri"/>
          <w:sz w:val="21"/>
          <w:szCs w:val="21"/>
        </w:rPr>
        <w:t xml:space="preserve"> e decorre de sigilo em parcelas pequenas. Se a soma tivesse estourado o denominador em algum setor, isso indicaria erro de interpretação das variáveis — não estourou.</w:t>
      </w:r>
    </w:p>
    <w:p w14:paraId="1344549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Resultado.</w:t>
      </w:r>
      <w:r>
        <w:rPr>
          <w:rFonts w:ascii="Calibri" w:eastAsia="Calibri" w:hAnsi="Calibri" w:cs="Calibri"/>
          <w:sz w:val="21"/>
          <w:szCs w:val="21"/>
        </w:rPr>
        <w:t xml:space="preserve"> Convencional 99,187% dos domicílios, não convencional 0,571%, improvisado 0,060%. Criei também uma versão agrupada da classificação categórica de moradia predominante, com as mesmas três classes.</w:t>
      </w:r>
    </w:p>
    <w:p w14:paraId="3F6EC554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17950D7F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12.6 Demanda 5 — Criar um indicador de apartamento</w:t>
      </w:r>
    </w:p>
    <w:p w14:paraId="4C337CC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"Criar um indicador de apartamento"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E46CE9C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fórmula e por quê.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pct_apartamento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 xml:space="preserve"> = V00049 ÷ V00001</w:t>
      </w:r>
      <w:r>
        <w:rPr>
          <w:rFonts w:ascii="Calibri" w:eastAsia="Calibri" w:hAnsi="Calibri" w:cs="Calibri"/>
          <w:sz w:val="21"/>
          <w:szCs w:val="21"/>
        </w:rPr>
        <w:t>. O denominador é o mesmo do bloco de tipo de domicílio, pela razão verificada em §12.5.</w:t>
      </w:r>
    </w:p>
    <w:p w14:paraId="2D711B3A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decisão de não incluí-lo no IVS.</w:t>
      </w:r>
      <w:r>
        <w:rPr>
          <w:rFonts w:ascii="Calibri" w:eastAsia="Calibri" w:hAnsi="Calibri" w:cs="Calibri"/>
          <w:sz w:val="21"/>
          <w:szCs w:val="21"/>
        </w:rPr>
        <w:t xml:space="preserve"> Este é um indicador </w:t>
      </w:r>
      <w:r>
        <w:rPr>
          <w:rFonts w:ascii="Calibri" w:eastAsia="Calibri" w:hAnsi="Calibri" w:cs="Calibri"/>
          <w:b/>
          <w:bCs/>
          <w:sz w:val="21"/>
          <w:szCs w:val="21"/>
        </w:rPr>
        <w:t>descritivo de morfologia urbana</w:t>
      </w:r>
      <w:r>
        <w:rPr>
          <w:rFonts w:ascii="Calibri" w:eastAsia="Calibri" w:hAnsi="Calibri" w:cs="Calibri"/>
          <w:sz w:val="21"/>
          <w:szCs w:val="21"/>
        </w:rPr>
        <w:t xml:space="preserve">, e o mantive fora dos sete componentes do índice deliberadamente. O motivo é que </w:t>
      </w:r>
      <w:r>
        <w:rPr>
          <w:rFonts w:ascii="Calibri" w:eastAsia="Calibri" w:hAnsi="Calibri" w:cs="Calibri"/>
          <w:b/>
          <w:bCs/>
          <w:sz w:val="21"/>
          <w:szCs w:val="21"/>
        </w:rPr>
        <w:t>ele não tem direção de vulnerabilidade definida</w:t>
      </w:r>
      <w:r>
        <w:rPr>
          <w:rFonts w:ascii="Calibri" w:eastAsia="Calibri" w:hAnsi="Calibri" w:cs="Calibri"/>
          <w:sz w:val="21"/>
          <w:szCs w:val="21"/>
        </w:rPr>
        <w:t xml:space="preserve">: verticalização aparece tanto em área central de alta renda quanto em conjunto habitacional popular. Um componente de índice composto precisa ter direção inequívoca — "mais é pior" ou "mais é melhor" —, e este não tem. Ele serve para </w:t>
      </w:r>
      <w:r>
        <w:rPr>
          <w:rFonts w:ascii="Calibri" w:eastAsia="Calibri" w:hAnsi="Calibri" w:cs="Calibri"/>
          <w:i/>
          <w:iCs/>
          <w:sz w:val="21"/>
          <w:szCs w:val="21"/>
        </w:rPr>
        <w:t>caracterizar</w:t>
      </w:r>
      <w:r>
        <w:rPr>
          <w:rFonts w:ascii="Calibri" w:eastAsia="Calibri" w:hAnsi="Calibri" w:cs="Calibri"/>
          <w:sz w:val="21"/>
          <w:szCs w:val="21"/>
        </w:rPr>
        <w:t xml:space="preserve"> o território, não para </w:t>
      </w:r>
      <w:r>
        <w:rPr>
          <w:rFonts w:ascii="Calibri" w:eastAsia="Calibri" w:hAnsi="Calibri" w:cs="Calibri"/>
          <w:i/>
          <w:iCs/>
          <w:sz w:val="21"/>
          <w:szCs w:val="21"/>
        </w:rPr>
        <w:t>pontuá-lo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72E50EA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Resultado.</w:t>
      </w:r>
      <w:r>
        <w:rPr>
          <w:rFonts w:ascii="Calibri" w:eastAsia="Calibri" w:hAnsi="Calibri" w:cs="Calibri"/>
          <w:sz w:val="21"/>
          <w:szCs w:val="21"/>
        </w:rPr>
        <w:t xml:space="preserve"> Média de 31,5% entre setores, com gradiente claro: Sul 39,0%, Sudeste 34,8%, Centro-Oeste 29,0%, Nordeste 23,8%, Norte 16,4%. Municípios mais verticalizados: São Caetano do Sul (53,4%), Porto Alegre (52,4%), Rio de Janeiro (42,1%).</w:t>
      </w:r>
    </w:p>
    <w:p w14:paraId="76E320D5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026F86F1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12.7 Demanda 6 — Quantos setores são de vilas e favelas</w:t>
      </w:r>
    </w:p>
    <w:p w14:paraId="0B986CE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"Dentro do ELSI, quantos setores são de vilas e favelas"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196608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obstáculo inicial.</w:t>
      </w:r>
      <w:r>
        <w:rPr>
          <w:rFonts w:ascii="Calibri" w:eastAsia="Calibri" w:hAnsi="Calibri" w:cs="Calibri"/>
          <w:sz w:val="21"/>
          <w:szCs w:val="21"/>
        </w:rPr>
        <w:t xml:space="preserve"> A pergunta parecia simples, mas a informação </w:t>
      </w:r>
      <w:r>
        <w:rPr>
          <w:rFonts w:ascii="Calibri" w:eastAsia="Calibri" w:hAnsi="Calibri" w:cs="Calibri"/>
          <w:b/>
          <w:bCs/>
          <w:sz w:val="21"/>
          <w:szCs w:val="21"/>
        </w:rPr>
        <w:t>não estava na base</w:t>
      </w:r>
      <w:r>
        <w:rPr>
          <w:rFonts w:ascii="Calibri" w:eastAsia="Calibri" w:hAnsi="Calibri" w:cs="Calibri"/>
          <w:sz w:val="21"/>
          <w:szCs w:val="21"/>
        </w:rPr>
        <w:t>: o Notebook 01 lia apenas cinco colunas do arquivo básico e nenhuma delas identificava favelas. Foi preciso voltar à extração.</w:t>
      </w:r>
    </w:p>
    <w:p w14:paraId="310171D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`CD_TIPO = 1` e não o nome da favela.</w:t>
      </w:r>
      <w:r>
        <w:rPr>
          <w:rFonts w:ascii="Calibri" w:eastAsia="Calibri" w:hAnsi="Calibri" w:cs="Calibri"/>
          <w:sz w:val="21"/>
          <w:szCs w:val="21"/>
        </w:rPr>
        <w:t xml:space="preserve"> O Censo 2022 substituiu a categoria "aglomerado subnormal" pelas </w:t>
      </w:r>
      <w:r>
        <w:rPr>
          <w:rFonts w:ascii="Calibri" w:eastAsia="Calibri" w:hAnsi="Calibri" w:cs="Calibri"/>
          <w:b/>
          <w:bCs/>
          <w:sz w:val="21"/>
          <w:szCs w:val="21"/>
        </w:rPr>
        <w:t>Favelas e Comunidades Urbanas</w:t>
      </w:r>
      <w:r>
        <w:rPr>
          <w:rFonts w:ascii="Calibri" w:eastAsia="Calibri" w:hAnsi="Calibri" w:cs="Calibri"/>
          <w:sz w:val="21"/>
          <w:szCs w:val="21"/>
        </w:rPr>
        <w:t xml:space="preserve">, e traz três colunas relacionadas: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</w:t>
      </w:r>
      <w:r>
        <w:rPr>
          <w:rFonts w:ascii="Calibri" w:eastAsia="Calibri" w:hAnsi="Calibri" w:cs="Calibri"/>
          <w:sz w:val="21"/>
          <w:szCs w:val="21"/>
        </w:rPr>
        <w:t xml:space="preserve"> (classificação do tipo de setor), </w:t>
      </w:r>
      <w:r>
        <w:rPr>
          <w:rFonts w:ascii="Consolas" w:eastAsia="Consolas" w:hAnsi="Consolas" w:cs="Consolas"/>
          <w:color w:val="0E6B62"/>
          <w:sz w:val="19"/>
          <w:szCs w:val="19"/>
        </w:rPr>
        <w:t>CD_FCU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onsolas" w:eastAsia="Consolas" w:hAnsi="Consolas" w:cs="Consolas"/>
          <w:color w:val="0E6B62"/>
          <w:sz w:val="19"/>
          <w:szCs w:val="19"/>
        </w:rPr>
        <w:t>NM_FCU</w:t>
      </w:r>
      <w:r>
        <w:rPr>
          <w:rFonts w:ascii="Calibri" w:eastAsia="Calibri" w:hAnsi="Calibri" w:cs="Calibri"/>
          <w:sz w:val="21"/>
          <w:szCs w:val="21"/>
        </w:rPr>
        <w:t xml:space="preserve"> (código e nome da FCU). Havia dois critérios possíveis: usar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 = 1</w:t>
      </w:r>
      <w:r>
        <w:rPr>
          <w:rFonts w:ascii="Calibri" w:eastAsia="Calibri" w:hAnsi="Calibri" w:cs="Calibri"/>
          <w:sz w:val="21"/>
          <w:szCs w:val="21"/>
        </w:rPr>
        <w:t xml:space="preserve"> ou usar "tem </w:t>
      </w:r>
      <w:r>
        <w:rPr>
          <w:rFonts w:ascii="Consolas" w:eastAsia="Consolas" w:hAnsi="Consolas" w:cs="Consolas"/>
          <w:color w:val="0E6B62"/>
          <w:sz w:val="19"/>
          <w:szCs w:val="19"/>
        </w:rPr>
        <w:t>NM_FCU</w:t>
      </w:r>
      <w:r>
        <w:rPr>
          <w:rFonts w:ascii="Calibri" w:eastAsia="Calibri" w:hAnsi="Calibri" w:cs="Calibri"/>
          <w:sz w:val="21"/>
          <w:szCs w:val="21"/>
        </w:rPr>
        <w:t xml:space="preserve"> preenchido".</w:t>
      </w:r>
    </w:p>
    <w:p w14:paraId="1F787A1B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Testei os dois nos </w:t>
      </w:r>
      <w:r>
        <w:rPr>
          <w:rFonts w:ascii="Calibri" w:eastAsia="Calibri" w:hAnsi="Calibri" w:cs="Calibri"/>
          <w:b/>
          <w:bCs/>
          <w:sz w:val="21"/>
          <w:szCs w:val="21"/>
        </w:rPr>
        <w:t>468.099 setores do país</w:t>
      </w:r>
      <w:r>
        <w:rPr>
          <w:rFonts w:ascii="Calibri" w:eastAsia="Calibri" w:hAnsi="Calibri" w:cs="Calibri"/>
          <w:sz w:val="21"/>
          <w:szCs w:val="21"/>
        </w:rPr>
        <w:t xml:space="preserve"> e eles coincidem exatamente: 33.272 setores pelos dois critérios. Adotei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 = 1</w:t>
      </w:r>
      <w:r>
        <w:rPr>
          <w:rFonts w:ascii="Calibri" w:eastAsia="Calibri" w:hAnsi="Calibri" w:cs="Calibri"/>
          <w:sz w:val="21"/>
          <w:szCs w:val="21"/>
        </w:rPr>
        <w:t xml:space="preserve"> por ser o </w:t>
      </w:r>
      <w:r>
        <w:rPr>
          <w:rFonts w:ascii="Calibri" w:eastAsia="Calibri" w:hAnsi="Calibri" w:cs="Calibri"/>
          <w:b/>
          <w:bCs/>
          <w:sz w:val="21"/>
          <w:szCs w:val="21"/>
        </w:rPr>
        <w:t>campo oficial de classificação</w:t>
      </w:r>
      <w:r>
        <w:rPr>
          <w:rFonts w:ascii="Calibri" w:eastAsia="Calibri" w:hAnsi="Calibri" w:cs="Calibri"/>
          <w:sz w:val="21"/>
          <w:szCs w:val="21"/>
        </w:rPr>
        <w:t xml:space="preserve"> do setor, enquanto o nome é um atributo descritivo. No recorte ELSI aparecem </w:t>
      </w:r>
      <w:r>
        <w:rPr>
          <w:rFonts w:ascii="Calibri" w:eastAsia="Calibri" w:hAnsi="Calibri" w:cs="Calibri"/>
          <w:b/>
          <w:bCs/>
          <w:sz w:val="21"/>
          <w:szCs w:val="21"/>
        </w:rPr>
        <w:t>25 setores</w:t>
      </w:r>
      <w:r>
        <w:rPr>
          <w:rFonts w:ascii="Calibri" w:eastAsia="Calibri" w:hAnsi="Calibri" w:cs="Calibri"/>
          <w:sz w:val="21"/>
          <w:szCs w:val="21"/>
        </w:rPr>
        <w:t xml:space="preserve"> com nome de FCU preenchido mas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 ≠ 1</w:t>
      </w:r>
      <w:r>
        <w:rPr>
          <w:rFonts w:ascii="Calibri" w:eastAsia="Calibri" w:hAnsi="Calibri" w:cs="Calibri"/>
          <w:sz w:val="21"/>
          <w:szCs w:val="21"/>
        </w:rPr>
        <w:t>; a célula os isola e quantifica, e eles seguem o critério oficial (ficam de fora).</w:t>
      </w:r>
    </w:p>
    <w:p w14:paraId="6BF1181A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fiz:</w:t>
      </w:r>
    </w:p>
    <w:p w14:paraId="1B36836D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Inspecionei o cabeçalho do arquivo básico e descobri que </w:t>
      </w:r>
      <w:r>
        <w:rPr>
          <w:rFonts w:ascii="Consolas" w:eastAsia="Consolas" w:hAnsi="Consolas" w:cs="Consolas"/>
          <w:color w:val="0E6B62"/>
          <w:sz w:val="19"/>
          <w:szCs w:val="19"/>
        </w:rPr>
        <w:t>CD_SIT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CD_FCU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onsolas" w:eastAsia="Consolas" w:hAnsi="Consolas" w:cs="Consolas"/>
          <w:color w:val="0E6B62"/>
          <w:sz w:val="19"/>
          <w:szCs w:val="19"/>
        </w:rPr>
        <w:t>NM_FCU</w:t>
      </w:r>
      <w:r>
        <w:rPr>
          <w:rFonts w:ascii="Calibri" w:eastAsia="Calibri" w:hAnsi="Calibri" w:cs="Calibri"/>
          <w:sz w:val="21"/>
          <w:szCs w:val="21"/>
        </w:rPr>
        <w:t xml:space="preserve"> estavam lá desde sempre, apenas não eram lidas.</w:t>
      </w:r>
    </w:p>
    <w:p w14:paraId="155CA852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Acrescentei as quatro ao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usecols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 Notebook 01 (junto com as faixas etárias da demanda 1, para reprocessar uma vez só).</w:t>
      </w:r>
    </w:p>
    <w:p w14:paraId="1EB1FC5A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Marquei as quatro como colunas de </w:t>
      </w:r>
      <w:r>
        <w:rPr>
          <w:rFonts w:ascii="Calibri" w:eastAsia="Calibri" w:hAnsi="Calibri" w:cs="Calibri"/>
          <w:b/>
          <w:bCs/>
          <w:sz w:val="21"/>
          <w:szCs w:val="21"/>
        </w:rPr>
        <w:t>texto</w:t>
      </w:r>
      <w:r>
        <w:rPr>
          <w:rFonts w:ascii="Calibri" w:eastAsia="Calibri" w:hAnsi="Calibri" w:cs="Calibri"/>
          <w:sz w:val="21"/>
          <w:szCs w:val="21"/>
        </w:rPr>
        <w:t xml:space="preserve"> no Notebook 02 — são códigos de classificação, não contagens; se fossem convertidas para número, </w:t>
      </w:r>
      <w:r>
        <w:rPr>
          <w:rFonts w:ascii="Consolas" w:eastAsia="Consolas" w:hAnsi="Consolas" w:cs="Consolas"/>
          <w:color w:val="0E6B62"/>
          <w:sz w:val="19"/>
          <w:szCs w:val="19"/>
        </w:rPr>
        <w:t>CD_TIPO = 0</w:t>
      </w:r>
      <w:r>
        <w:rPr>
          <w:rFonts w:ascii="Calibri" w:eastAsia="Calibri" w:hAnsi="Calibri" w:cs="Calibri"/>
          <w:sz w:val="21"/>
          <w:szCs w:val="21"/>
        </w:rPr>
        <w:t xml:space="preserve"> viraria zero numérico e perderia o sentido de categoria.</w:t>
      </w:r>
    </w:p>
    <w:p w14:paraId="2D2AC2C4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Reprocessei a base e criei a seção 7g do Notebook 02.</w:t>
      </w:r>
    </w:p>
    <w:p w14:paraId="5C7EAA46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Além da contagem pedida, acrescentei a comparação de todos os indicadores entre setores de FCU e os demais.</w:t>
      </w:r>
    </w:p>
    <w:p w14:paraId="02572DC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Por que fui além da contagem.</w:t>
      </w:r>
      <w:r>
        <w:rPr>
          <w:rFonts w:ascii="Calibri" w:eastAsia="Calibri" w:hAnsi="Calibri" w:cs="Calibri"/>
          <w:sz w:val="21"/>
          <w:szCs w:val="21"/>
        </w:rPr>
        <w:t xml:space="preserve"> A pergunta pedia um número, mas os setores de FCU são identificados por uma </w:t>
      </w:r>
      <w:r>
        <w:rPr>
          <w:rFonts w:ascii="Calibri" w:eastAsia="Calibri" w:hAnsi="Calibri" w:cs="Calibri"/>
          <w:b/>
          <w:bCs/>
          <w:sz w:val="21"/>
          <w:szCs w:val="21"/>
        </w:rPr>
        <w:t>classificação independente, feita pelo próprio IBGE</w:t>
      </w:r>
      <w:r>
        <w:rPr>
          <w:rFonts w:ascii="Calibri" w:eastAsia="Calibri" w:hAnsi="Calibri" w:cs="Calibri"/>
          <w:sz w:val="21"/>
          <w:szCs w:val="21"/>
        </w:rPr>
        <w:t xml:space="preserve">. Isso os torna um padrão-ouro disponível de graça: se o índice funciona, ele tem que ser mais alto em favela. Comparar os componentes entre os dois grupos é, portanto, uma </w:t>
      </w:r>
      <w:r>
        <w:rPr>
          <w:rFonts w:ascii="Calibri" w:eastAsia="Calibri" w:hAnsi="Calibri" w:cs="Calibri"/>
          <w:b/>
          <w:bCs/>
          <w:sz w:val="21"/>
          <w:szCs w:val="21"/>
        </w:rPr>
        <w:t>validação de critério</w:t>
      </w:r>
      <w:r>
        <w:rPr>
          <w:rFonts w:ascii="Calibri" w:eastAsia="Calibri" w:hAnsi="Calibri" w:cs="Calibri"/>
          <w:sz w:val="21"/>
          <w:szCs w:val="21"/>
        </w:rPr>
        <w:t xml:space="preserve"> — e é o teste mais direto que teremos quando o IVS estiver calculado.</w:t>
      </w:r>
    </w:p>
    <w:p w14:paraId="6584DA4D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Resultado.</w:t>
      </w:r>
      <w:r>
        <w:rPr>
          <w:rFonts w:ascii="Calibri" w:eastAsia="Calibri" w:hAnsi="Calibri" w:cs="Calibri"/>
          <w:sz w:val="21"/>
          <w:szCs w:val="21"/>
        </w:rPr>
        <w:t xml:space="preserve"> 19.452 setores de FCU no recorte de análise (18,7% de 104.108) e 19.507 na base completa (17,9% de 109.032), em 5.899 favelas distintas no recorte, com 10,07 milhões de residentes, presentes em 42 dos 70 municípios. Todos os componentes se movem na direção esperada: esgoto inadequado 4,14× maior, lixo 2,90×, analfabetismo 2,14×, e renda a um terço.</w:t>
      </w:r>
    </w:p>
    <w:p w14:paraId="34B7AB18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052B9083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12.8 Demanda 7 — Proporções para o Brasil todo</w:t>
      </w:r>
    </w:p>
    <w:p w14:paraId="7353AE6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foi pedido.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"Indicadores de proporção de presença de atributos em relação à quantidade de domicílio no setor, fazer o Brasil todo e depois para os 70 municípios"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C579EA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decisão estruturante: não duplicar as fórmulas.</w:t>
      </w:r>
      <w:r>
        <w:rPr>
          <w:rFonts w:ascii="Calibri" w:eastAsia="Calibri" w:hAnsi="Calibri" w:cs="Calibri"/>
          <w:sz w:val="21"/>
          <w:szCs w:val="21"/>
        </w:rPr>
        <w:t xml:space="preserve"> O caminho rápido seria copiar o código do Notebook 02 e tirar o filtro de municípios. Rejeitei: duas cópias da mesma fórmula divergem na primeira correção que alguém fizer em uma só delas, e aí os números do Brasil e do ELSI deixam de ser comparáveis — que é justamente o ponto da demanda.</w:t>
      </w:r>
    </w:p>
    <w:p w14:paraId="786F68A0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Em vez disso extraí as definições para </w:t>
      </w:r>
      <w:r>
        <w:rPr>
          <w:rFonts w:ascii="Calibri" w:eastAsia="Calibri" w:hAnsi="Calibri" w:cs="Calibri"/>
          <w:b/>
          <w:bCs/>
          <w:sz w:val="21"/>
          <w:szCs w:val="21"/>
        </w:rPr>
        <w:t>`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ivs_censo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/indicadores.py`</w:t>
      </w:r>
      <w:r>
        <w:rPr>
          <w:rFonts w:ascii="Calibri" w:eastAsia="Calibri" w:hAnsi="Calibri" w:cs="Calibri"/>
          <w:sz w:val="21"/>
          <w:szCs w:val="21"/>
        </w:rPr>
        <w:t xml:space="preserve">, onde cada indicador é declarado como um objeto com numerador, denominador, escala e regras de tratamento. O notebook e o script nacional aplicam </w:t>
      </w:r>
      <w:r>
        <w:rPr>
          <w:rFonts w:ascii="Calibri" w:eastAsia="Calibri" w:hAnsi="Calibri" w:cs="Calibri"/>
          <w:b/>
          <w:bCs/>
          <w:sz w:val="21"/>
          <w:szCs w:val="21"/>
        </w:rPr>
        <w:t>a mesma definição</w:t>
      </w:r>
      <w:r>
        <w:rPr>
          <w:rFonts w:ascii="Calibri" w:eastAsia="Calibri" w:hAnsi="Calibri" w:cs="Calibri"/>
          <w:sz w:val="21"/>
          <w:szCs w:val="21"/>
        </w:rPr>
        <w:t>. É a única forma de garantir que a comparação seja legítima.</w:t>
      </w:r>
    </w:p>
    <w:p w14:paraId="650DC63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Como fiz:</w:t>
      </w:r>
    </w:p>
    <w:p w14:paraId="5C7A5B89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Criei o módulo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ivs_censo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r>
        <w:rPr>
          <w:rFonts w:ascii="Calibri" w:eastAsia="Calibri" w:hAnsi="Calibri" w:cs="Calibri"/>
          <w:sz w:val="21"/>
          <w:szCs w:val="21"/>
        </w:rPr>
        <w:t xml:space="preserve"> com três partes: procedência das variáveis (</w:t>
      </w:r>
      <w:r>
        <w:rPr>
          <w:rFonts w:ascii="Consolas" w:eastAsia="Consolas" w:hAnsi="Consolas" w:cs="Consolas"/>
          <w:color w:val="0E6B62"/>
          <w:sz w:val="19"/>
          <w:szCs w:val="19"/>
        </w:rPr>
        <w:t>fontes.py</w:t>
      </w:r>
      <w:r>
        <w:rPr>
          <w:rFonts w:ascii="Calibri" w:eastAsia="Calibri" w:hAnsi="Calibri" w:cs="Calibri"/>
          <w:sz w:val="21"/>
          <w:szCs w:val="21"/>
        </w:rPr>
        <w:t>), definição dos indicadores (</w:t>
      </w:r>
      <w:r>
        <w:rPr>
          <w:rFonts w:ascii="Consolas" w:eastAsia="Consolas" w:hAnsi="Consolas" w:cs="Consolas"/>
          <w:color w:val="0E6B62"/>
          <w:sz w:val="19"/>
          <w:szCs w:val="19"/>
        </w:rPr>
        <w:t>indicadores.py</w:t>
      </w:r>
      <w:r>
        <w:rPr>
          <w:rFonts w:ascii="Calibri" w:eastAsia="Calibri" w:hAnsi="Calibri" w:cs="Calibri"/>
          <w:sz w:val="21"/>
          <w:szCs w:val="21"/>
        </w:rPr>
        <w:t>) e dicionário (</w:t>
      </w:r>
      <w:r>
        <w:rPr>
          <w:rFonts w:ascii="Consolas" w:eastAsia="Consolas" w:hAnsi="Consolas" w:cs="Consolas"/>
          <w:color w:val="0E6B62"/>
          <w:sz w:val="19"/>
          <w:szCs w:val="19"/>
        </w:rPr>
        <w:t>dicionario.py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5D168703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 xml:space="preserve">Escrevi </w:t>
      </w:r>
      <w:r>
        <w:rPr>
          <w:rFonts w:ascii="Consolas" w:eastAsia="Consolas" w:hAnsi="Consolas" w:cs="Consolas"/>
          <w:color w:val="0E6B62"/>
          <w:sz w:val="19"/>
          <w:szCs w:val="19"/>
        </w:rPr>
        <w:t>scripts/proporcoes_brasil.py</w:t>
      </w:r>
      <w:r>
        <w:rPr>
          <w:rFonts w:ascii="Calibri" w:eastAsia="Calibri" w:hAnsi="Calibri" w:cs="Calibri"/>
          <w:sz w:val="21"/>
          <w:szCs w:val="21"/>
        </w:rPr>
        <w:t>, que lê os 8 arquivos em blocos, monta a base nacional e calcula os 23 indicadores.</w:t>
      </w:r>
    </w:p>
    <w:p w14:paraId="44465BAD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Apliquei as mesmas regras de elegibilidade e o mesmo recorte urbano, para os números serem comparáveis linha a linha.</w:t>
      </w:r>
    </w:p>
    <w:p w14:paraId="5A37D0AA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1"/>
          <w:szCs w:val="21"/>
        </w:rPr>
        <w:t>Exportei três recortes — Brasil todos os setores, Brasil urbano, ELSI urbano — mais as tabelas por região, UF e município, o comparativo e a representatividade.</w:t>
      </w:r>
    </w:p>
    <w:p w14:paraId="2A4CFB47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Um erro que este processo revelou.</w:t>
      </w:r>
      <w:r>
        <w:rPr>
          <w:rFonts w:ascii="Calibri" w:eastAsia="Calibri" w:hAnsi="Calibri" w:cs="Calibri"/>
          <w:sz w:val="21"/>
          <w:szCs w:val="21"/>
        </w:rPr>
        <w:t xml:space="preserve"> Na primeira execução usei </w:t>
      </w:r>
      <w:r>
        <w:rPr>
          <w:rFonts w:ascii="Consolas" w:eastAsia="Consolas" w:hAnsi="Consolas" w:cs="Consolas"/>
          <w:color w:val="0E6B62"/>
          <w:sz w:val="19"/>
          <w:szCs w:val="19"/>
        </w:rPr>
        <w:t>float32</w:t>
      </w:r>
      <w:r>
        <w:rPr>
          <w:rFonts w:ascii="Calibri" w:eastAsia="Calibri" w:hAnsi="Calibri" w:cs="Calibri"/>
          <w:sz w:val="21"/>
          <w:szCs w:val="21"/>
        </w:rPr>
        <w:t xml:space="preserve"> para economizar memória. A população do Brasil somou </w:t>
      </w:r>
      <w:r>
        <w:rPr>
          <w:rFonts w:ascii="Calibri" w:eastAsia="Calibri" w:hAnsi="Calibri" w:cs="Calibri"/>
          <w:b/>
          <w:bCs/>
          <w:sz w:val="21"/>
          <w:szCs w:val="21"/>
        </w:rPr>
        <w:t>203.080.736</w:t>
      </w:r>
      <w:r>
        <w:rPr>
          <w:rFonts w:ascii="Calibri" w:eastAsia="Calibri" w:hAnsi="Calibri" w:cs="Calibri"/>
          <w:sz w:val="21"/>
          <w:szCs w:val="21"/>
        </w:rPr>
        <w:t xml:space="preserve">, e o número oficial do Censo é </w:t>
      </w:r>
      <w:r>
        <w:rPr>
          <w:rFonts w:ascii="Calibri" w:eastAsia="Calibri" w:hAnsi="Calibri" w:cs="Calibri"/>
          <w:b/>
          <w:bCs/>
          <w:sz w:val="21"/>
          <w:szCs w:val="21"/>
        </w:rPr>
        <w:t>203.080.756</w:t>
      </w:r>
      <w:r>
        <w:rPr>
          <w:rFonts w:ascii="Calibri" w:eastAsia="Calibri" w:hAnsi="Calibri" w:cs="Calibri"/>
          <w:sz w:val="21"/>
          <w:szCs w:val="21"/>
        </w:rPr>
        <w:t xml:space="preserve"> — 20 pessoas de diferença. O erro relativo é de 1 em 10 milhões, irrelevante para qualquer proporção, mas os totais são exatamente por onde alguém confere o trabalho. Refiz em </w:t>
      </w:r>
      <w:r>
        <w:rPr>
          <w:rFonts w:ascii="Consolas" w:eastAsia="Consolas" w:hAnsi="Consolas" w:cs="Consolas"/>
          <w:color w:val="0E6B62"/>
          <w:sz w:val="19"/>
          <w:szCs w:val="19"/>
        </w:rPr>
        <w:t>float64</w:t>
      </w:r>
      <w:r>
        <w:rPr>
          <w:rFonts w:ascii="Calibri" w:eastAsia="Calibri" w:hAnsi="Calibri" w:cs="Calibri"/>
          <w:sz w:val="21"/>
          <w:szCs w:val="21"/>
        </w:rPr>
        <w:t xml:space="preserve"> e acrescentei um teste automatizado que trava a soma no valor oficial, para o erro não voltar.</w:t>
      </w:r>
    </w:p>
    <w:p w14:paraId="66508D6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que a comparação mostrou.</w:t>
      </w:r>
      <w:r>
        <w:rPr>
          <w:rFonts w:ascii="Calibri" w:eastAsia="Calibri" w:hAnsi="Calibri" w:cs="Calibri"/>
          <w:sz w:val="21"/>
          <w:szCs w:val="21"/>
        </w:rPr>
        <w:t xml:space="preserve"> A amostra ELSI cobre 26% da população do país com 1,3% dos municípios, e concentra </w:t>
      </w:r>
      <w:r>
        <w:rPr>
          <w:rFonts w:ascii="Calibri" w:eastAsia="Calibri" w:hAnsi="Calibri" w:cs="Calibri"/>
          <w:b/>
          <w:bCs/>
          <w:sz w:val="21"/>
          <w:szCs w:val="21"/>
        </w:rPr>
        <w:t>58,6% de todos os setores de favela do Brasil</w:t>
      </w:r>
      <w:r>
        <w:rPr>
          <w:rFonts w:ascii="Calibri" w:eastAsia="Calibri" w:hAnsi="Calibri" w:cs="Calibri"/>
          <w:sz w:val="21"/>
          <w:szCs w:val="21"/>
        </w:rPr>
        <w:t xml:space="preserve">. Ela é mais rica, mais alfabetizada e mais bem servida de esgoto que o Brasil urbano — deve ser descrita no artigo como representativa do </w:t>
      </w:r>
      <w:r>
        <w:rPr>
          <w:rFonts w:ascii="Calibri" w:eastAsia="Calibri" w:hAnsi="Calibri" w:cs="Calibri"/>
          <w:b/>
          <w:bCs/>
          <w:sz w:val="21"/>
          <w:szCs w:val="21"/>
        </w:rPr>
        <w:t>Brasil urbano de grande porte</w:t>
      </w:r>
      <w:r>
        <w:rPr>
          <w:rFonts w:ascii="Calibri" w:eastAsia="Calibri" w:hAnsi="Calibri" w:cs="Calibri"/>
          <w:sz w:val="21"/>
          <w:szCs w:val="21"/>
        </w:rPr>
        <w:t>, não do Brasil. A exceção é o lixo inadequado, discutida na §11.</w:t>
      </w:r>
    </w:p>
    <w:p w14:paraId="3B4CEA74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10CB35AA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12.9 Decisões que não vieram de demanda</w:t>
      </w:r>
    </w:p>
    <w:p w14:paraId="5ED68636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Três escolhas metodológicas relevantes foram feitas fora do escopo das demandas, e ficam registradas aqui pelo mesmo motivo.</w:t>
      </w:r>
    </w:p>
    <w:p w14:paraId="66E79C1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O denominador `V00001`.</w:t>
      </w:r>
      <w:r>
        <w:rPr>
          <w:rFonts w:ascii="Calibri" w:eastAsia="Calibri" w:hAnsi="Calibri" w:cs="Calibri"/>
          <w:sz w:val="21"/>
          <w:szCs w:val="21"/>
        </w:rPr>
        <w:t xml:space="preserve"> É a decisão mais consequente do projeto inteiro, porque entra em cinco dos sete componentes. Uma versão anterior usava </w:t>
      </w:r>
      <w:r>
        <w:rPr>
          <w:rFonts w:ascii="Consolas" w:eastAsia="Consolas" w:hAnsi="Consolas" w:cs="Consolas"/>
          <w:color w:val="0E6B62"/>
          <w:sz w:val="19"/>
          <w:szCs w:val="19"/>
        </w:rPr>
        <w:t>V01042</w:t>
      </w:r>
      <w:r>
        <w:rPr>
          <w:rFonts w:ascii="Calibri" w:eastAsia="Calibri" w:hAnsi="Calibri" w:cs="Calibri"/>
          <w:sz w:val="21"/>
          <w:szCs w:val="21"/>
        </w:rPr>
        <w:t xml:space="preserve">, do arquivo de Parentesco. O problema: </w:t>
      </w:r>
      <w:r>
        <w:rPr>
          <w:rFonts w:ascii="Consolas" w:eastAsia="Consolas" w:hAnsi="Consolas" w:cs="Consolas"/>
          <w:color w:val="0E6B62"/>
          <w:sz w:val="19"/>
          <w:szCs w:val="19"/>
        </w:rPr>
        <w:t>V01042</w:t>
      </w:r>
      <w:r>
        <w:rPr>
          <w:rFonts w:ascii="Calibri" w:eastAsia="Calibri" w:hAnsi="Calibri" w:cs="Calibri"/>
          <w:sz w:val="21"/>
          <w:szCs w:val="21"/>
        </w:rPr>
        <w:t xml:space="preserve"> conta </w:t>
      </w:r>
      <w:r>
        <w:rPr>
          <w:rFonts w:ascii="Calibri" w:eastAsia="Calibri" w:hAnsi="Calibri" w:cs="Calibri"/>
          <w:b/>
          <w:bCs/>
          <w:sz w:val="21"/>
          <w:szCs w:val="21"/>
        </w:rPr>
        <w:t>pessoas responsáveis</w:t>
      </w:r>
      <w:r>
        <w:rPr>
          <w:rFonts w:ascii="Calibri" w:eastAsia="Calibri" w:hAnsi="Calibri" w:cs="Calibri"/>
          <w:sz w:val="21"/>
          <w:szCs w:val="21"/>
        </w:rPr>
        <w:t xml:space="preserve">, não domicílios — usá-lo como denominador domiciliar mistura duas unidades. O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 (Domicílios Particulares Permanentes Ocupados) é o equivalente exato, no Censo 2022, do </w:t>
      </w:r>
      <w:r>
        <w:rPr>
          <w:rFonts w:ascii="Consolas" w:eastAsia="Consolas" w:hAnsi="Consolas" w:cs="Consolas"/>
          <w:color w:val="0E6B62"/>
          <w:sz w:val="19"/>
          <w:szCs w:val="19"/>
        </w:rPr>
        <w:t>V002</w:t>
      </w:r>
      <w:r>
        <w:rPr>
          <w:rFonts w:ascii="Calibri" w:eastAsia="Calibri" w:hAnsi="Calibri" w:cs="Calibri"/>
          <w:sz w:val="21"/>
          <w:szCs w:val="21"/>
        </w:rPr>
        <w:t xml:space="preserve"> que o IVS-BH usou no Censo 2010. A verificação empírica que fechou a questão: com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b/>
          <w:bCs/>
          <w:sz w:val="21"/>
          <w:szCs w:val="21"/>
        </w:rPr>
        <w:t>nenhuma proporção ultrapassa 1,0</w:t>
      </w:r>
      <w:r>
        <w:rPr>
          <w:rFonts w:ascii="Calibri" w:eastAsia="Calibri" w:hAnsi="Calibri" w:cs="Calibri"/>
          <w:sz w:val="21"/>
          <w:szCs w:val="21"/>
        </w:rPr>
        <w:t xml:space="preserve"> em nenhum dos 104 mil setores; com o denominador anterior, várias estouravam — sinal inequívoco de que o denominador estava errado.</w:t>
      </w:r>
    </w:p>
    <w:p w14:paraId="5E5BC2F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A ordem das condições da regra `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Dados_sig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`.</w:t>
      </w:r>
      <w:r>
        <w:rPr>
          <w:rFonts w:ascii="Calibri" w:eastAsia="Calibri" w:hAnsi="Calibri" w:cs="Calibri"/>
          <w:sz w:val="21"/>
          <w:szCs w:val="21"/>
        </w:rPr>
        <w:t xml:space="preserve"> A regra testava sigilo antes de população zero. Como consequência, setores sem nenhuma população mas com </w:t>
      </w:r>
      <w:r>
        <w:rPr>
          <w:rFonts w:ascii="Consolas" w:eastAsia="Consolas" w:hAnsi="Consolas" w:cs="Consolas"/>
          <w:color w:val="0E6B62"/>
          <w:sz w:val="19"/>
          <w:szCs w:val="19"/>
        </w:rPr>
        <w:t>V00001</w:t>
      </w:r>
      <w:r>
        <w:rPr>
          <w:rFonts w:ascii="Calibri" w:eastAsia="Calibri" w:hAnsi="Calibri" w:cs="Calibri"/>
          <w:sz w:val="21"/>
          <w:szCs w:val="21"/>
        </w:rPr>
        <w:t xml:space="preserve"> vazio eram rotulados </w:t>
      </w:r>
      <w:r>
        <w:rPr>
          <w:rFonts w:ascii="Consolas" w:eastAsia="Consolas" w:hAnsi="Consolas" w:cs="Consolas"/>
          <w:color w:val="0E6B62"/>
          <w:sz w:val="19"/>
          <w:szCs w:val="19"/>
        </w:rPr>
        <w:t>SIGILOSO</w:t>
      </w:r>
      <w:r>
        <w:rPr>
          <w:rFonts w:ascii="Calibri" w:eastAsia="Calibri" w:hAnsi="Calibri" w:cs="Calibri"/>
          <w:sz w:val="21"/>
          <w:szCs w:val="21"/>
        </w:rPr>
        <w:t xml:space="preserve"> — isto é, contados como </w:t>
      </w:r>
      <w:r>
        <w:rPr>
          <w:rFonts w:ascii="Calibri" w:eastAsia="Calibri" w:hAnsi="Calibri" w:cs="Calibri"/>
          <w:i/>
          <w:iCs/>
          <w:sz w:val="21"/>
          <w:szCs w:val="21"/>
        </w:rPr>
        <w:t>dado suprimido pelo IBGE</w:t>
      </w:r>
      <w:r>
        <w:rPr>
          <w:rFonts w:ascii="Calibri" w:eastAsia="Calibri" w:hAnsi="Calibri" w:cs="Calibri"/>
          <w:sz w:val="21"/>
          <w:szCs w:val="21"/>
        </w:rPr>
        <w:t xml:space="preserve"> quando na verdade são setores vazios, muitos deles massas d'água. Inverti a ordem. O efeito: o sigilo real caiu de 2.751 para 1.015 setores e apareceram 1.736 </w:t>
      </w:r>
      <w:r>
        <w:rPr>
          <w:rFonts w:ascii="Consolas" w:eastAsia="Consolas" w:hAnsi="Consolas" w:cs="Consolas"/>
          <w:color w:val="0E6B62"/>
          <w:sz w:val="19"/>
          <w:szCs w:val="19"/>
        </w:rPr>
        <w:t>ZERADO</w:t>
      </w:r>
      <w:r>
        <w:rPr>
          <w:rFonts w:ascii="Calibri" w:eastAsia="Calibri" w:hAnsi="Calibri" w:cs="Calibri"/>
          <w:sz w:val="21"/>
          <w:szCs w:val="21"/>
        </w:rPr>
        <w:t xml:space="preserve">. </w:t>
      </w:r>
      <w:r>
        <w:rPr>
          <w:rFonts w:ascii="Calibri" w:eastAsia="Calibri" w:hAnsi="Calibri" w:cs="Calibri"/>
          <w:b/>
          <w:bCs/>
          <w:sz w:val="21"/>
          <w:szCs w:val="21"/>
        </w:rPr>
        <w:t>Nenhum setor elegível mudou de classe</w:t>
      </w:r>
      <w:r>
        <w:rPr>
          <w:rFonts w:ascii="Calibri" w:eastAsia="Calibri" w:hAnsi="Calibri" w:cs="Calibri"/>
          <w:sz w:val="21"/>
          <w:szCs w:val="21"/>
        </w:rPr>
        <w:t xml:space="preserve"> — o conjunto analisado é idêntico. O que muda é parar de superestimar a supressão do IBGE em todo relatório que cite esse número.</w:t>
      </w:r>
    </w:p>
    <w:p w14:paraId="015483A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A caçamba de lixo (`V00398`).</w:t>
      </w:r>
      <w:r>
        <w:rPr>
          <w:rFonts w:ascii="Calibri" w:eastAsia="Calibri" w:hAnsi="Calibri" w:cs="Calibri"/>
          <w:sz w:val="21"/>
          <w:szCs w:val="21"/>
        </w:rPr>
        <w:t xml:space="preserve"> Conta como destino </w:t>
      </w:r>
      <w:r>
        <w:rPr>
          <w:rFonts w:ascii="Calibri" w:eastAsia="Calibri" w:hAnsi="Calibri" w:cs="Calibri"/>
          <w:b/>
          <w:bCs/>
          <w:sz w:val="21"/>
          <w:szCs w:val="21"/>
        </w:rPr>
        <w:t>inadequado</w:t>
      </w:r>
      <w:r>
        <w:rPr>
          <w:rFonts w:ascii="Calibri" w:eastAsia="Calibri" w:hAnsi="Calibri" w:cs="Calibri"/>
          <w:sz w:val="21"/>
          <w:szCs w:val="21"/>
        </w:rPr>
        <w:t xml:space="preserve">, o que surpreende qualquer um que leia a tabela pela primeira vez. É o que o </w:t>
      </w:r>
      <w:r>
        <w:rPr>
          <w:rFonts w:ascii="Consolas" w:eastAsia="Consolas" w:hAnsi="Consolas" w:cs="Consolas"/>
          <w:color w:val="0E6B62"/>
          <w:sz w:val="19"/>
          <w:szCs w:val="19"/>
        </w:rPr>
        <w:t>Cálculo IVS2012.docx</w:t>
      </w:r>
      <w:r>
        <w:rPr>
          <w:rFonts w:ascii="Calibri" w:eastAsia="Calibri" w:hAnsi="Calibri" w:cs="Calibri"/>
          <w:sz w:val="21"/>
          <w:szCs w:val="21"/>
        </w:rPr>
        <w:t xml:space="preserve"> determina: apenas a coleta porta a porta (</w:t>
      </w:r>
      <w:r>
        <w:rPr>
          <w:rFonts w:ascii="Consolas" w:eastAsia="Consolas" w:hAnsi="Consolas" w:cs="Consolas"/>
          <w:color w:val="0E6B62"/>
          <w:sz w:val="19"/>
          <w:szCs w:val="19"/>
        </w:rPr>
        <w:t>V00397</w:t>
      </w:r>
      <w:r>
        <w:rPr>
          <w:rFonts w:ascii="Calibri" w:eastAsia="Calibri" w:hAnsi="Calibri" w:cs="Calibri"/>
          <w:sz w:val="21"/>
          <w:szCs w:val="21"/>
        </w:rPr>
        <w:t xml:space="preserve">) é adequada. Mantive por fidelidade à metodologia-fonte (princípio 1 da §12.1) e deixei a anotação no código para não ser "corrigido" por engano no futuro. </w:t>
      </w:r>
      <w:r>
        <w:rPr>
          <w:rFonts w:ascii="Calibri" w:eastAsia="Calibri" w:hAnsi="Calibri" w:cs="Calibri"/>
          <w:b/>
          <w:bCs/>
          <w:sz w:val="21"/>
          <w:szCs w:val="21"/>
        </w:rPr>
        <w:t>Mas registro a ressalva:</w:t>
      </w:r>
      <w:r>
        <w:rPr>
          <w:rFonts w:ascii="Calibri" w:eastAsia="Calibri" w:hAnsi="Calibri" w:cs="Calibri"/>
          <w:sz w:val="21"/>
          <w:szCs w:val="21"/>
        </w:rPr>
        <w:t xml:space="preserve"> as análises desta EDA levantaram indício empírico de que essa escolha distorce o indicador — o lixo é a variável menos correlacionada com todas as outras (§9) e a única em que a amostra está pior que o Brasil urbano (§11). A hipótese é que a caçamba seja muito mais comum em cidade grande, e que o indicador esteja capturando porte urbano. É uma decisão a rever com a orientação antes de fechar a ponderação.</w:t>
      </w:r>
    </w:p>
    <w:p w14:paraId="224BA7C3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4B6FB49D" w14:textId="77777777" w:rsidR="00275F0E" w:rsidRDefault="00000000">
      <w:pPr>
        <w:pStyle w:val="Ttulo3"/>
        <w:spacing w:before="240" w:after="100"/>
      </w:pPr>
      <w:r>
        <w:rPr>
          <w:rFonts w:ascii="Cambria" w:eastAsia="Cambria" w:hAnsi="Cambria" w:cs="Cambria"/>
          <w:b/>
          <w:bCs/>
          <w:color w:val="0E6B62"/>
          <w:sz w:val="22"/>
          <w:szCs w:val="22"/>
        </w:rPr>
        <w:t>12.10 Resumo das verificações</w:t>
      </w:r>
    </w:p>
    <w:p w14:paraId="1770C909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Toda decisão acima passou por pelo menos uma verificação empírica. As principais: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3"/>
        <w:gridCol w:w="3605"/>
        <w:gridCol w:w="3090"/>
      </w:tblGrid>
      <w:tr w:rsidR="00275F0E" w14:paraId="60200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43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1FE8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 que foi verificado</w:t>
            </w:r>
          </w:p>
        </w:tc>
        <w:tc>
          <w:tcPr>
            <w:tcW w:w="3605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E59E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Como</w:t>
            </w:r>
          </w:p>
        </w:tc>
        <w:tc>
          <w:tcPr>
            <w:tcW w:w="3090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AC2C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275F0E" w14:paraId="119F3D8B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2A55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Denominador domiciliar</w:t>
            </w:r>
          </w:p>
        </w:tc>
        <w:tc>
          <w:tcPr>
            <w:tcW w:w="36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F0C2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Nenhuma proporção pode passar de 1,0</w:t>
            </w:r>
          </w:p>
        </w:tc>
        <w:tc>
          <w:tcPr>
            <w:tcW w:w="30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1D118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 setores acima de 1,0 em 104.108</w:t>
            </w:r>
          </w:p>
        </w:tc>
      </w:tr>
      <w:tr w:rsidR="00275F0E" w14:paraId="0305E9ED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8BD5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Faixas etárias lidas corretamente</w:t>
            </w:r>
          </w:p>
        </w:tc>
        <w:tc>
          <w:tcPr>
            <w:tcW w:w="36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45CCA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Soma das 11 faixas contra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v0001</w:t>
            </w:r>
          </w:p>
        </w:tc>
        <w:tc>
          <w:tcPr>
            <w:tcW w:w="309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8955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Idêntico em 99.957 setores comparáveis</w:t>
            </w:r>
          </w:p>
        </w:tc>
      </w:tr>
      <w:tr w:rsidR="00275F0E" w14:paraId="54507571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BC8D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Fórmula do envelhecimento</w:t>
            </w:r>
          </w:p>
        </w:tc>
        <w:tc>
          <w:tcPr>
            <w:tcW w:w="36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C71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IEP nacional contra o publicado pelo IBGE</w:t>
            </w:r>
          </w:p>
        </w:tc>
        <w:tc>
          <w:tcPr>
            <w:tcW w:w="30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3910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79,99 contra 80,0</w:t>
            </w:r>
          </w:p>
        </w:tc>
      </w:tr>
      <w:tr w:rsidR="00275F0E" w14:paraId="646237F7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6421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Cadeia inteira de agregação</w:t>
            </w:r>
          </w:p>
        </w:tc>
        <w:tc>
          <w:tcPr>
            <w:tcW w:w="36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28EF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População nacional contra o Censo</w:t>
            </w:r>
          </w:p>
        </w:tc>
        <w:tc>
          <w:tcPr>
            <w:tcW w:w="309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2E04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203.080.756, exato</w:t>
            </w:r>
          </w:p>
        </w:tc>
      </w:tr>
      <w:tr w:rsidR="00275F0E" w14:paraId="5253591B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9DF7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Denominador do tipo de domicílio</w:t>
            </w:r>
          </w:p>
        </w:tc>
        <w:tc>
          <w:tcPr>
            <w:tcW w:w="36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E9ED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Soma dos tipos não pode passar de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V00001</w:t>
            </w:r>
          </w:p>
        </w:tc>
        <w:tc>
          <w:tcPr>
            <w:tcW w:w="30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F6F7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 estouros; déficit máximo de 6 por sigilo</w:t>
            </w:r>
          </w:p>
        </w:tc>
      </w:tr>
      <w:tr w:rsidR="00275F0E" w14:paraId="3C36244F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E41D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Critério de identificação de favela</w:t>
            </w:r>
          </w:p>
        </w:tc>
        <w:tc>
          <w:tcPr>
            <w:tcW w:w="36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0B791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CD_TIPO = 1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contra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NM_FCU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preenchido, no país</w:t>
            </w:r>
          </w:p>
        </w:tc>
        <w:tc>
          <w:tcPr>
            <w:tcW w:w="309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EDCB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Coincidem: 33.272 setores</w:t>
            </w:r>
          </w:p>
        </w:tc>
      </w:tr>
      <w:tr w:rsidR="00275F0E" w14:paraId="62950FA4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BBDA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Equivalência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SITUACAO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×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CD_SIT</w:t>
            </w:r>
          </w:p>
        </w:tc>
        <w:tc>
          <w:tcPr>
            <w:tcW w:w="36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73FB4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Tabulação cruzada nos 468.099 setores</w:t>
            </w:r>
          </w:p>
        </w:tc>
        <w:tc>
          <w:tcPr>
            <w:tcW w:w="30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3B14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Sem exceções</w:t>
            </w:r>
          </w:p>
        </w:tc>
      </w:tr>
      <w:tr w:rsidR="00275F0E" w14:paraId="273BBDCD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5E36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Reprodutibilidade dos artefatos</w:t>
            </w:r>
          </w:p>
        </w:tc>
        <w:tc>
          <w:tcPr>
            <w:tcW w:w="3605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2355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Suíte de testes automatizados</w:t>
            </w:r>
          </w:p>
        </w:tc>
        <w:tc>
          <w:tcPr>
            <w:tcW w:w="3090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64B8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63 testes</w:t>
            </w:r>
          </w:p>
        </w:tc>
      </w:tr>
      <w:tr w:rsidR="00275F0E" w14:paraId="2F1FA01C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D39D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Números dos relatórios e da apresentação</w:t>
            </w:r>
          </w:p>
        </w:tc>
        <w:tc>
          <w:tcPr>
            <w:tcW w:w="36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FC05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Script de auditoria contra 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CSVs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 origem</w:t>
            </w:r>
          </w:p>
        </w:tc>
        <w:tc>
          <w:tcPr>
            <w:tcW w:w="30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1E8E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286 valores conferidos, 0 divergências</w:t>
            </w:r>
          </w:p>
        </w:tc>
      </w:tr>
    </w:tbl>
    <w:p w14:paraId="6B4E17A1" w14:textId="77777777" w:rsidR="00275F0E" w:rsidRDefault="00275F0E">
      <w:pPr>
        <w:spacing w:after="160"/>
      </w:pPr>
    </w:p>
    <w:p w14:paraId="2DED63F1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071FD01F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13. Implicações para a Construção do IVS</w:t>
      </w:r>
    </w:p>
    <w:p w14:paraId="6A7FF83F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Normalização por município, não global.</w:t>
      </w:r>
      <w:r>
        <w:rPr>
          <w:rFonts w:ascii="Calibri" w:eastAsia="Calibri" w:hAnsi="Calibri" w:cs="Calibri"/>
          <w:sz w:val="21"/>
          <w:szCs w:val="21"/>
        </w:rPr>
        <w:t xml:space="preserve"> É a mudança mais urgente. A assimetria da renda e a natureza intraurbana do objetivo tornam a escala global inadequada.</w:t>
      </w:r>
    </w:p>
    <w:p w14:paraId="4A637190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Tratar as distribuições infladas de zeros.</w:t>
      </w:r>
      <w:r>
        <w:rPr>
          <w:rFonts w:ascii="Calibri" w:eastAsia="Calibri" w:hAnsi="Calibri" w:cs="Calibri"/>
          <w:sz w:val="21"/>
          <w:szCs w:val="21"/>
        </w:rPr>
        <w:t xml:space="preserve"> Para água, esgoto e lixo, a padronização min-</w:t>
      </w:r>
      <w:proofErr w:type="spellStart"/>
      <w:r>
        <w:rPr>
          <w:rFonts w:ascii="Calibri" w:eastAsia="Calibri" w:hAnsi="Calibri" w:cs="Calibri"/>
          <w:sz w:val="21"/>
          <w:szCs w:val="21"/>
        </w:rPr>
        <w:t>max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dominada pela cauda. Avaliar transformação, </w:t>
      </w:r>
      <w:proofErr w:type="spellStart"/>
      <w:r>
        <w:rPr>
          <w:rFonts w:ascii="Calibri" w:eastAsia="Calibri" w:hAnsi="Calibri" w:cs="Calibri"/>
          <w:sz w:val="21"/>
          <w:szCs w:val="21"/>
        </w:rPr>
        <w:t>winsorização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no P95 ou padronização por posto.</w:t>
      </w:r>
    </w:p>
    <w:p w14:paraId="640871A2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Definir a política de sigilo no analfabetismo</w:t>
      </w:r>
      <w:r>
        <w:rPr>
          <w:rFonts w:ascii="Calibri" w:eastAsia="Calibri" w:hAnsi="Calibri" w:cs="Calibri"/>
          <w:sz w:val="21"/>
          <w:szCs w:val="21"/>
        </w:rPr>
        <w:t xml:space="preserve"> antes do cálculo, com imputação explícita e indicador de imputação, ou justificar formalmente a exclusão dos setores.</w:t>
      </w:r>
    </w:p>
    <w:p w14:paraId="32FC4944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Decidir o destino do indicador de lixo</w:t>
      </w:r>
      <w:r>
        <w:rPr>
          <w:rFonts w:ascii="Calibri" w:eastAsia="Calibri" w:hAnsi="Calibri" w:cs="Calibri"/>
          <w:sz w:val="21"/>
          <w:szCs w:val="21"/>
        </w:rPr>
        <w:t xml:space="preserve"> à luz das seções 9 e 11.</w:t>
      </w:r>
    </w:p>
    <w:p w14:paraId="13938162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Pesos empíricos, mas com leitura crítica.</w:t>
      </w:r>
      <w:r>
        <w:rPr>
          <w:rFonts w:ascii="Calibri" w:eastAsia="Calibri" w:hAnsi="Calibri" w:cs="Calibri"/>
          <w:sz w:val="21"/>
          <w:szCs w:val="21"/>
        </w:rPr>
        <w:t xml:space="preserve"> A colinearidade do bloco socioeconômico favorece a análise fatorial; ainda assim é preciso confrontar o resultado com a proporção de referência do IVS-BH (60% socioeconômica, 40% saneamento).</w:t>
      </w:r>
    </w:p>
    <w:p w14:paraId="1CD7519D" w14:textId="77777777" w:rsidR="00275F0E" w:rsidRDefault="00000000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Piso mínimo de setores por município</w:t>
      </w:r>
      <w:r>
        <w:rPr>
          <w:rFonts w:ascii="Calibri" w:eastAsia="Calibri" w:hAnsi="Calibri" w:cs="Calibri"/>
          <w:sz w:val="21"/>
          <w:szCs w:val="21"/>
        </w:rPr>
        <w:t xml:space="preserve"> nas análises municipais, dado o efeito do recorte urbano em municípios pequenos.</w:t>
      </w:r>
    </w:p>
    <w:p w14:paraId="0B62B2AE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646D6AFD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14. Limitações da Análise Exploratória</w:t>
      </w:r>
    </w:p>
    <w:p w14:paraId="54AE6B7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Falácia ecológica.</w:t>
      </w:r>
      <w:r>
        <w:rPr>
          <w:rFonts w:ascii="Calibri" w:eastAsia="Calibri" w:hAnsi="Calibri" w:cs="Calibri"/>
          <w:sz w:val="21"/>
          <w:szCs w:val="21"/>
        </w:rPr>
        <w:t xml:space="preserve"> Todas as medidas são agregadas por setor; nada aqui autoriza inferência sobre indivíduos (Lima-Costa &amp; Barreto, 2003).</w:t>
      </w:r>
    </w:p>
    <w:p w14:paraId="425C875F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Exclusão de institucionalizados.</w:t>
      </w:r>
      <w:r>
        <w:rPr>
          <w:rFonts w:ascii="Calibri" w:eastAsia="Calibri" w:hAnsi="Calibri" w:cs="Calibri"/>
          <w:sz w:val="21"/>
          <w:szCs w:val="21"/>
        </w:rPr>
        <w:t xml:space="preserve"> A regra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Dados_sig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prevê a classe COLETIVO, mas nenhum setor do recorte caiu nela — a classe está vazia, então ninguém é excluído por essa via. O que existe é uma assimetria de universo: quem mora em domicílio coletivo entra em v0001 e não entra em V00001, ou seja, conta nos indicadores de pessoas e não nos domiciliares. A população institucionalizada permanece </w:t>
      </w:r>
      <w:proofErr w:type="spellStart"/>
      <w:r>
        <w:rPr>
          <w:rFonts w:ascii="Calibri" w:eastAsia="Calibri" w:hAnsi="Calibri" w:cs="Calibri"/>
          <w:sz w:val="21"/>
          <w:szCs w:val="21"/>
        </w:rPr>
        <w:t>sub-representada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dentro dos setores mistos.</w:t>
      </w:r>
    </w:p>
    <w:p w14:paraId="72C21FA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 recorte urbano reduz municípios pequenos</w:t>
      </w:r>
      <w:r>
        <w:rPr>
          <w:rFonts w:ascii="Calibri" w:eastAsia="Calibri" w:hAnsi="Calibri" w:cs="Calibri"/>
          <w:sz w:val="21"/>
          <w:szCs w:val="21"/>
        </w:rPr>
        <w:t xml:space="preserve"> de forma desigual, como detalhado em 3.4.</w:t>
      </w:r>
    </w:p>
    <w:p w14:paraId="1C442E58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O sigilo do analfabetismo é seletivo</w:t>
      </w:r>
      <w:r>
        <w:rPr>
          <w:rFonts w:ascii="Calibri" w:eastAsia="Calibri" w:hAnsi="Calibri" w:cs="Calibri"/>
          <w:sz w:val="21"/>
          <w:szCs w:val="21"/>
        </w:rPr>
        <w:t xml:space="preserve"> e afeta 15,9% dos setores.</w:t>
      </w:r>
    </w:p>
    <w:p w14:paraId="7EB2AB20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Três componentes do IVS-BH original não são reprodutíveis</w:t>
      </w:r>
      <w:r>
        <w:rPr>
          <w:rFonts w:ascii="Calibri" w:eastAsia="Calibri" w:hAnsi="Calibri" w:cs="Calibri"/>
          <w:sz w:val="21"/>
          <w:szCs w:val="21"/>
        </w:rPr>
        <w:t xml:space="preserve"> com os agregados do Censo</w:t>
      </w:r>
    </w:p>
    <w:p w14:paraId="275BDD91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2022 (anos de estudo, faixas de renda, óbitos cardiovasculares).</w:t>
      </w:r>
    </w:p>
    <w:p w14:paraId="0A4FCFBB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A EDA é descritiva.</w:t>
      </w:r>
      <w:r>
        <w:rPr>
          <w:rFonts w:ascii="Calibri" w:eastAsia="Calibri" w:hAnsi="Calibri" w:cs="Calibri"/>
          <w:sz w:val="21"/>
          <w:szCs w:val="21"/>
        </w:rPr>
        <w:t xml:space="preserve"> Nenhuma inferência ou teste de hipótese foi conduzido; as correlações são exploratórias.</w:t>
      </w:r>
    </w:p>
    <w:p w14:paraId="32E0FA6C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7BF3D1A1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15. Próximos Passos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5715"/>
        <w:gridCol w:w="2217"/>
      </w:tblGrid>
      <w:tr w:rsidR="00275F0E" w14:paraId="6044C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8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09DE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6013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7792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2307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E16D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Depende de</w:t>
            </w:r>
          </w:p>
        </w:tc>
      </w:tr>
      <w:tr w:rsidR="00275F0E" w14:paraId="1C2178D9" w14:textId="77777777">
        <w:tblPrEx>
          <w:tblCellMar>
            <w:top w:w="0" w:type="dxa"/>
            <w:bottom w:w="0" w:type="dxa"/>
          </w:tblCellMar>
        </w:tblPrEx>
        <w:tc>
          <w:tcPr>
            <w:tcW w:w="13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4CB6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Notebook 03</w:t>
            </w:r>
          </w:p>
        </w:tc>
        <w:tc>
          <w:tcPr>
            <w:tcW w:w="60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B49A4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Normalização min-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max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por município, com renda invertida</w:t>
            </w:r>
          </w:p>
        </w:tc>
        <w:tc>
          <w:tcPr>
            <w:tcW w:w="23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4E6A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nada</w:t>
            </w:r>
          </w:p>
        </w:tc>
      </w:tr>
      <w:tr w:rsidR="00275F0E" w14:paraId="5F09EDC0" w14:textId="77777777">
        <w:tblPrEx>
          <w:tblCellMar>
            <w:top w:w="0" w:type="dxa"/>
            <w:bottom w:w="0" w:type="dxa"/>
          </w:tblCellMar>
        </w:tblPrEx>
        <w:tc>
          <w:tcPr>
            <w:tcW w:w="13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5F10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Notebook 04</w:t>
            </w:r>
          </w:p>
        </w:tc>
        <w:tc>
          <w:tcPr>
            <w:tcW w:w="601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D5FD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Análise fatorial: KMO, Bartlett, número de fatores, cargas e pesos</w:t>
            </w:r>
          </w:p>
        </w:tc>
        <w:tc>
          <w:tcPr>
            <w:tcW w:w="230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3301E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NB03</w:t>
            </w:r>
          </w:p>
        </w:tc>
      </w:tr>
      <w:tr w:rsidR="00275F0E" w14:paraId="22E12490" w14:textId="77777777">
        <w:tblPrEx>
          <w:tblCellMar>
            <w:top w:w="0" w:type="dxa"/>
            <w:bottom w:w="0" w:type="dxa"/>
          </w:tblCellMar>
        </w:tblPrEx>
        <w:tc>
          <w:tcPr>
            <w:tcW w:w="13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2CC86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Notebook 05</w:t>
            </w:r>
          </w:p>
        </w:tc>
        <w:tc>
          <w:tcPr>
            <w:tcW w:w="60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CE820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IVS final, categorização em 4 faixas e validação contra os setores de FCU</w:t>
            </w:r>
          </w:p>
        </w:tc>
        <w:tc>
          <w:tcPr>
            <w:tcW w:w="23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1FD5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NB04 e decisão sobre pesos</w:t>
            </w:r>
          </w:p>
        </w:tc>
      </w:tr>
      <w:tr w:rsidR="00275F0E" w14:paraId="7986BFE8" w14:textId="77777777">
        <w:tblPrEx>
          <w:tblCellMar>
            <w:top w:w="0" w:type="dxa"/>
            <w:bottom w:w="0" w:type="dxa"/>
          </w:tblCellMar>
        </w:tblPrEx>
        <w:tc>
          <w:tcPr>
            <w:tcW w:w="1318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46B1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Geoprocessamento</w:t>
            </w:r>
          </w:p>
        </w:tc>
        <w:tc>
          <w:tcPr>
            <w:tcW w:w="6013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C8BAD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Mapas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coropléticos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autocorrelação espacial (Moran)</w:t>
            </w:r>
          </w:p>
        </w:tc>
        <w:tc>
          <w:tcPr>
            <w:tcW w:w="2307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7222C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NB05 e malha de setores 2022</w:t>
            </w:r>
          </w:p>
        </w:tc>
      </w:tr>
    </w:tbl>
    <w:p w14:paraId="417D23E3" w14:textId="77777777" w:rsidR="00275F0E" w:rsidRDefault="00275F0E">
      <w:pPr>
        <w:spacing w:after="160"/>
      </w:pPr>
    </w:p>
    <w:p w14:paraId="78D69800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5B921E5A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Anexos — Localização dos artefatos</w:t>
      </w:r>
    </w:p>
    <w:p w14:paraId="0FA34155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Tabelas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banco_de_dados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eda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r>
        <w:rPr>
          <w:rFonts w:ascii="Calibri" w:eastAsia="Calibri" w:hAnsi="Calibri" w:cs="Calibri"/>
          <w:sz w:val="21"/>
          <w:szCs w:val="21"/>
        </w:rPr>
        <w:t>)</w:t>
      </w:r>
    </w:p>
    <w:tbl>
      <w:tblPr>
        <w:tblW w:w="9638" w:type="dxa"/>
        <w:tblBorders>
          <w:top w:val="single" w:sz="2" w:space="0" w:color="D5DEDB"/>
          <w:left w:val="single" w:sz="2" w:space="0" w:color="D5DEDB"/>
          <w:bottom w:val="single" w:sz="2" w:space="0" w:color="D5DEDB"/>
          <w:right w:val="single" w:sz="2" w:space="0" w:color="D5DEDB"/>
          <w:insideH w:val="single" w:sz="2" w:space="0" w:color="D5DEDB"/>
          <w:insideV w:val="single" w:sz="2" w:space="0" w:color="D5D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4"/>
        <w:gridCol w:w="1314"/>
      </w:tblGrid>
      <w:tr w:rsidR="00275F0E" w14:paraId="4FA77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2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1D2B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1314" w:type="dxa"/>
            <w:shd w:val="clear" w:color="auto" w:fill="0C272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B272" w14:textId="77777777" w:rsidR="00275F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275F0E" w14:paraId="38504B83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9B129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descritivas_globais.csv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E55D9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4</w:t>
            </w:r>
          </w:p>
        </w:tc>
      </w:tr>
      <w:tr w:rsidR="00275F0E" w14:paraId="355A5A13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DA6B8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descritivas_por_municipio.csv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descritivas_por_regiao.csv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1E1A5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Seções 5 e 6</w:t>
            </w:r>
          </w:p>
        </w:tc>
      </w:tr>
      <w:tr w:rsidR="00275F0E" w14:paraId="7DDBE8A5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E4A4A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elegibilidade_setores.csv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4EC58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3.3</w:t>
            </w:r>
          </w:p>
        </w:tc>
      </w:tr>
      <w:tr w:rsidR="00275F0E" w14:paraId="393F5EE0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90BBB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situacao_urbano_rural_{total,por_regiao,por_municipio}.csv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exclusao_rural_conferencia.csv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406A2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3.4</w:t>
            </w:r>
          </w:p>
        </w:tc>
      </w:tr>
      <w:tr w:rsidR="00275F0E" w14:paraId="5A2AB8DA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7920A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outliers.csv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A5B3B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7</w:t>
            </w:r>
          </w:p>
        </w:tc>
      </w:tr>
      <w:tr w:rsidR="00275F0E" w14:paraId="7A68A8E4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27BE8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missing_por_municipio.csv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83EA8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8</w:t>
            </w:r>
          </w:p>
        </w:tc>
      </w:tr>
      <w:tr w:rsidR="00275F0E" w14:paraId="49905FCA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42851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correlacao_pearson.csv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correlacao_spearman.csv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B7E13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9</w:t>
            </w:r>
          </w:p>
        </w:tc>
      </w:tr>
      <w:tr w:rsidR="00275F0E" w14:paraId="46A9B3CA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7ADC3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habitacao_precaria_*.csv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inadequacao_banheiro_*.csv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resp_feminino_*.csv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1E277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Seções 10.1 e 10.2</w:t>
            </w:r>
          </w:p>
        </w:tc>
      </w:tr>
      <w:tr w:rsidR="00275F0E" w14:paraId="45C13F71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32DF0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indicadores_envelhecimento_*.csv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estrutura_etaria_*.csv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63D0F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10.3</w:t>
            </w:r>
          </w:p>
        </w:tc>
      </w:tr>
      <w:tr w:rsidR="00275F0E" w14:paraId="4C676F57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BA779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tipo_domicilio_*.csv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moradia_predominante_agrupada_por_regiao.csv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48321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10.4</w:t>
            </w:r>
          </w:p>
        </w:tc>
      </w:tr>
      <w:tr w:rsidR="00275F0E" w14:paraId="24EC1B9B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73B17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lastRenderedPageBreak/>
              <w:t>favelas_fcu_*.csv</w:t>
            </w:r>
          </w:p>
        </w:tc>
        <w:tc>
          <w:tcPr>
            <w:tcW w:w="13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2BD11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Seção 10.5</w:t>
            </w:r>
          </w:p>
        </w:tc>
      </w:tr>
      <w:tr w:rsidR="00275F0E" w14:paraId="232BB2A3" w14:textId="77777777">
        <w:tblPrEx>
          <w:tblCellMar>
            <w:top w:w="0" w:type="dxa"/>
            <w:bottom w:w="0" w:type="dxa"/>
          </w:tblCellMar>
        </w:tblPrEx>
        <w:tc>
          <w:tcPr>
            <w:tcW w:w="832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BC87A" w14:textId="77777777" w:rsidR="00275F0E" w:rsidRDefault="00000000"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diagnostico_proporcoes_fora_intervalo.csv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diagnostico_esgoto_312_vs_249.csv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E6B62"/>
                <w:sz w:val="19"/>
                <w:szCs w:val="19"/>
              </w:rPr>
              <w:t>extremos_razao_moradores.csv</w:t>
            </w:r>
          </w:p>
        </w:tc>
        <w:tc>
          <w:tcPr>
            <w:tcW w:w="1314" w:type="dxa"/>
            <w:shd w:val="clear" w:color="auto" w:fill="F1F5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6A884" w14:textId="77777777" w:rsidR="00275F0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Auditorias</w:t>
            </w:r>
          </w:p>
        </w:tc>
      </w:tr>
    </w:tbl>
    <w:p w14:paraId="5E70D328" w14:textId="77777777" w:rsidR="00275F0E" w:rsidRDefault="00275F0E">
      <w:pPr>
        <w:spacing w:after="160"/>
      </w:pPr>
    </w:p>
    <w:p w14:paraId="29618B5C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Figuras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banco_de_dados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eda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/figuras/</w:t>
      </w:r>
      <w:r>
        <w:rPr>
          <w:rFonts w:ascii="Calibri" w:eastAsia="Calibri" w:hAnsi="Calibri" w:cs="Calibri"/>
          <w:sz w:val="21"/>
          <w:szCs w:val="21"/>
        </w:rPr>
        <w:t xml:space="preserve">): </w:t>
      </w:r>
      <w:r>
        <w:rPr>
          <w:rFonts w:ascii="Consolas" w:eastAsia="Consolas" w:hAnsi="Consolas" w:cs="Consolas"/>
          <w:color w:val="0E6B62"/>
          <w:sz w:val="19"/>
          <w:szCs w:val="19"/>
        </w:rPr>
        <w:t>histogramas.png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boxplots_por_regiao.png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matriz_correlacao.png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missing_por_municipio.png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E2C1C7E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Nacional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banco_de_dados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/nacional/</w:t>
      </w:r>
      <w:r>
        <w:rPr>
          <w:rFonts w:ascii="Calibri" w:eastAsia="Calibri" w:hAnsi="Calibri" w:cs="Calibri"/>
          <w:sz w:val="21"/>
          <w:szCs w:val="21"/>
        </w:rPr>
        <w:t xml:space="preserve">): </w:t>
      </w:r>
      <w:r>
        <w:rPr>
          <w:rFonts w:ascii="Consolas" w:eastAsia="Consolas" w:hAnsi="Consolas" w:cs="Consolas"/>
          <w:color w:val="0E6B62"/>
          <w:sz w:val="19"/>
          <w:szCs w:val="19"/>
        </w:rPr>
        <w:t>proporcoes_por_recorte.csv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proporcoes_brasil_por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_{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regiao,uf,municipio</w:t>
      </w:r>
      <w:proofErr w:type="spellEnd"/>
      <w:r>
        <w:rPr>
          <w:rFonts w:ascii="Consolas" w:eastAsia="Consolas" w:hAnsi="Consolas" w:cs="Consolas"/>
          <w:color w:val="0E6B62"/>
          <w:sz w:val="19"/>
          <w:szCs w:val="19"/>
        </w:rPr>
        <w:t>}.</w:t>
      </w:r>
      <w:proofErr w:type="spellStart"/>
      <w:r>
        <w:rPr>
          <w:rFonts w:ascii="Consolas" w:eastAsia="Consolas" w:hAnsi="Consolas" w:cs="Consolas"/>
          <w:color w:val="0E6B62"/>
          <w:sz w:val="19"/>
          <w:szCs w:val="19"/>
        </w:rPr>
        <w:t>csv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comparativo_brasil_vs_elsi.csv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E6B62"/>
          <w:sz w:val="19"/>
          <w:szCs w:val="19"/>
        </w:rPr>
        <w:t>representatividade_elsi_no_brasil.csv</w:t>
      </w:r>
      <w:r>
        <w:rPr>
          <w:rFonts w:ascii="Calibri" w:eastAsia="Calibri" w:hAnsi="Calibri" w:cs="Calibri"/>
          <w:sz w:val="21"/>
          <w:szCs w:val="21"/>
        </w:rPr>
        <w:t xml:space="preserve"> — seção 11.</w:t>
      </w:r>
    </w:p>
    <w:p w14:paraId="1D4DDFF9" w14:textId="77777777" w:rsidR="00275F0E" w:rsidRDefault="00275F0E">
      <w:pPr>
        <w:pBdr>
          <w:bottom w:val="single" w:sz="6" w:space="0" w:color="D5DEDB"/>
        </w:pBdr>
        <w:spacing w:before="200" w:after="200"/>
      </w:pPr>
    </w:p>
    <w:p w14:paraId="4F9610E6" w14:textId="77777777" w:rsidR="00275F0E" w:rsidRDefault="00000000">
      <w:pPr>
        <w:pStyle w:val="Ttulo2"/>
        <w:spacing w:before="320" w:after="140"/>
      </w:pPr>
      <w:r>
        <w:rPr>
          <w:rFonts w:ascii="Cambria" w:eastAsia="Cambria" w:hAnsi="Cambria" w:cs="Cambria"/>
          <w:b/>
          <w:bCs/>
          <w:color w:val="0C2724"/>
        </w:rPr>
        <w:t>Referências metodológicas</w:t>
      </w:r>
    </w:p>
    <w:p w14:paraId="4B131F4C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SMS-BH.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Índice de Vulnerabilidade da Saúde 2012.</w:t>
      </w:r>
      <w:r>
        <w:rPr>
          <w:rFonts w:ascii="Calibri" w:eastAsia="Calibri" w:hAnsi="Calibri" w:cs="Calibri"/>
          <w:sz w:val="21"/>
          <w:szCs w:val="21"/>
        </w:rPr>
        <w:t xml:space="preserve"> Belo Horizonte, 2013.</w:t>
      </w:r>
    </w:p>
    <w:p w14:paraId="37A474FC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Galvão, S. M. et al.</w:t>
      </w:r>
      <w:r>
        <w:rPr>
          <w:rFonts w:ascii="Calibri" w:eastAsia="Calibri" w:hAnsi="Calibri" w:cs="Calibri"/>
          <w:sz w:val="21"/>
          <w:szCs w:val="21"/>
        </w:rPr>
        <w:t xml:space="preserve"> Envelhecimento populacional em Mato Grosso e sua relação com indicadores demográficos e econômicos.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Hygeia</w:t>
      </w:r>
      <w:proofErr w:type="spellEnd"/>
      <w:r>
        <w:rPr>
          <w:rFonts w:ascii="Calibri" w:eastAsia="Calibri" w:hAnsi="Calibri" w:cs="Calibri"/>
          <w:sz w:val="21"/>
          <w:szCs w:val="21"/>
        </w:rPr>
        <w:t>, v. 21, e2106, 2025.</w:t>
      </w:r>
    </w:p>
    <w:p w14:paraId="3B28C13D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Lima-Costa, M. F.; Barreto, S. M.</w:t>
      </w:r>
      <w:r>
        <w:rPr>
          <w:rFonts w:ascii="Calibri" w:eastAsia="Calibri" w:hAnsi="Calibri" w:cs="Calibri"/>
          <w:sz w:val="21"/>
          <w:szCs w:val="21"/>
        </w:rPr>
        <w:t xml:space="preserve"> Tipos de estudos epidemiológicos: conceitos básicos e aplicações na área do envelhecimento.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Epidemiol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. Serv. Saúde</w:t>
      </w:r>
      <w:r>
        <w:rPr>
          <w:rFonts w:ascii="Calibri" w:eastAsia="Calibri" w:hAnsi="Calibri" w:cs="Calibri"/>
          <w:sz w:val="21"/>
          <w:szCs w:val="21"/>
        </w:rPr>
        <w:t>, v. 12, n. 4, 2003.</w:t>
      </w:r>
    </w:p>
    <w:p w14:paraId="258A04E6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Passarelli-Araujo, H.</w:t>
      </w:r>
      <w:r>
        <w:rPr>
          <w:rFonts w:ascii="Calibri" w:eastAsia="Calibri" w:hAnsi="Calibri" w:cs="Calibri"/>
          <w:sz w:val="21"/>
          <w:szCs w:val="21"/>
        </w:rPr>
        <w:t xml:space="preserve"> Mapeando as disparidades socioeconômicas de saúde urbana.</w:t>
      </w:r>
    </w:p>
    <w:p w14:paraId="3AEAA6D3" w14:textId="77777777" w:rsidR="00275F0E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i/>
          <w:iCs/>
          <w:sz w:val="21"/>
          <w:szCs w:val="21"/>
        </w:rPr>
        <w:t>Rev. Bras. Est. Pop.</w:t>
      </w:r>
      <w:r>
        <w:rPr>
          <w:rFonts w:ascii="Calibri" w:eastAsia="Calibri" w:hAnsi="Calibri" w:cs="Calibri"/>
          <w:sz w:val="21"/>
          <w:szCs w:val="21"/>
        </w:rPr>
        <w:t>, v. 40, 2023.</w:t>
      </w:r>
    </w:p>
    <w:p w14:paraId="570EBA21" w14:textId="77777777" w:rsidR="00275F0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Matos, D. A. S.; Rodrigues, E. C.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Análise fatorial.</w:t>
      </w:r>
      <w:r>
        <w:rPr>
          <w:rFonts w:ascii="Calibri" w:eastAsia="Calibri" w:hAnsi="Calibri" w:cs="Calibri"/>
          <w:sz w:val="21"/>
          <w:szCs w:val="21"/>
        </w:rPr>
        <w:t xml:space="preserve"> Brasília: Enap, 2019.</w:t>
      </w:r>
    </w:p>
    <w:p w14:paraId="6B0756C8" w14:textId="77777777" w:rsidR="00275F0E" w:rsidRPr="001D609E" w:rsidRDefault="00000000">
      <w:pPr>
        <w:pStyle w:val="PargrafodaLista"/>
        <w:numPr>
          <w:ilvl w:val="0"/>
          <w:numId w:val="3"/>
        </w:numPr>
        <w:spacing w:after="70"/>
      </w:pPr>
      <w:r>
        <w:rPr>
          <w:rFonts w:ascii="Calibri" w:eastAsia="Calibri" w:hAnsi="Calibri" w:cs="Calibri"/>
          <w:b/>
          <w:bCs/>
          <w:sz w:val="21"/>
          <w:szCs w:val="21"/>
        </w:rPr>
        <w:t>IBGE.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Censo Demográfico 2022 — Agregados por Setores Censitários.</w:t>
      </w:r>
      <w:r>
        <w:rPr>
          <w:rFonts w:ascii="Calibri" w:eastAsia="Calibri" w:hAnsi="Calibri" w:cs="Calibri"/>
          <w:sz w:val="21"/>
          <w:szCs w:val="21"/>
        </w:rPr>
        <w:t xml:space="preserve"> Rio de Janeiro, 2022.</w:t>
      </w:r>
    </w:p>
    <w:p w14:paraId="2B188BCB" w14:textId="77777777" w:rsidR="001D609E" w:rsidRDefault="001D609E" w:rsidP="001D609E">
      <w:pPr>
        <w:spacing w:after="70"/>
      </w:pPr>
    </w:p>
    <w:p w14:paraId="5C628D17" w14:textId="77777777" w:rsidR="001D609E" w:rsidRDefault="001D609E" w:rsidP="001D609E">
      <w:pPr>
        <w:spacing w:after="70"/>
      </w:pPr>
    </w:p>
    <w:p w14:paraId="5A14FD16" w14:textId="77777777" w:rsidR="001D609E" w:rsidRDefault="001D609E" w:rsidP="001D609E">
      <w:pPr>
        <w:spacing w:after="70"/>
      </w:pPr>
    </w:p>
    <w:p w14:paraId="5110FB75" w14:textId="77777777" w:rsidR="001D609E" w:rsidRDefault="001D609E" w:rsidP="001D609E">
      <w:pPr>
        <w:spacing w:after="70"/>
      </w:pPr>
    </w:p>
    <w:p w14:paraId="487D629D" w14:textId="77777777" w:rsidR="001D609E" w:rsidRPr="001D609E" w:rsidRDefault="001D609E" w:rsidP="001D609E">
      <w:pPr>
        <w:spacing w:after="70"/>
        <w:rPr>
          <w:b/>
          <w:bCs/>
        </w:rPr>
      </w:pPr>
      <w:r w:rsidRPr="001D609E">
        <w:rPr>
          <w:b/>
          <w:bCs/>
        </w:rPr>
        <w:t>Slide 21 — Setores de favelas e comunidades urbanas</w:t>
      </w:r>
    </w:p>
    <w:p w14:paraId="0D3D0D3C" w14:textId="7A44F3CB" w:rsidR="001D609E" w:rsidRPr="001D609E" w:rsidRDefault="001D609E" w:rsidP="001D609E">
      <w:pPr>
        <w:spacing w:after="70"/>
      </w:pPr>
      <w:r w:rsidRPr="001D609E">
        <w:t xml:space="preserve">O que é: o Censo 2022 aposentou "aglomerado subnormal" e criou as Favelas e Comunidades Urbanas (FCU), marcadas na coluna CD_TIPO = 1 do arquivo Básico. </w:t>
      </w:r>
      <w:r>
        <w:t>Eu</w:t>
      </w:r>
      <w:r w:rsidRPr="001D609E">
        <w:t xml:space="preserve"> trouxe essa marcação para a base — foi preciso reprocessar o notebook 01, porque a pipeline nunca tinha lido essas colunas.</w:t>
      </w:r>
    </w:p>
    <w:p w14:paraId="7A31755C" w14:textId="77777777" w:rsidR="001D609E" w:rsidRPr="001D609E" w:rsidRDefault="001D609E" w:rsidP="001D609E">
      <w:pPr>
        <w:spacing w:after="70"/>
      </w:pPr>
      <w:r w:rsidRPr="001D609E">
        <w:t>De onde vêm os quatro números: seção 10.5 do relatório — 19.507 setores (17,9% do recorte de 104.108), 5.903 favelas distintas pelo CD_FCU, 10.071.575 pessoas, 42 dos 70 municípios.</w:t>
      </w:r>
    </w:p>
    <w:p w14:paraId="56703DF6" w14:textId="77777777" w:rsidR="001D609E" w:rsidRPr="001D609E" w:rsidRDefault="001D609E" w:rsidP="001D609E">
      <w:pPr>
        <w:spacing w:after="70"/>
      </w:pPr>
      <w:r w:rsidRPr="001D609E">
        <w:rPr>
          <w:highlight w:val="yellow"/>
        </w:rPr>
        <w:t>O gráfico é o percentual de setores </w:t>
      </w:r>
      <w:r w:rsidRPr="001D609E">
        <w:rPr>
          <w:i/>
          <w:iCs/>
          <w:highlight w:val="yellow"/>
        </w:rPr>
        <w:t>de cada região</w:t>
      </w:r>
      <w:r w:rsidRPr="001D609E">
        <w:rPr>
          <w:highlight w:val="yellow"/>
        </w:rPr>
        <w:t> que são de favela</w:t>
      </w:r>
      <w:r w:rsidRPr="001D609E">
        <w:t xml:space="preserve"> — não a distribuição das favelas entre regiões. Norte 50,6%, Centro-Oeste 4,6%: uma amplitude de 11×, a maior de qualquer variável do projeto. Belém 55,9%, Ananindeua 58,9%, Manaus 51,7%.</w:t>
      </w:r>
    </w:p>
    <w:p w14:paraId="2B05E3CE" w14:textId="77777777" w:rsidR="001D609E" w:rsidRDefault="001D609E" w:rsidP="001D609E">
      <w:pPr>
        <w:spacing w:after="70"/>
      </w:pPr>
      <w:r w:rsidRPr="001D609E">
        <w:t xml:space="preserve">A caixa verde é sua checagem de consistência: CD_TIPO = 1 bate exatamente </w:t>
      </w:r>
      <w:proofErr w:type="spellStart"/>
      <w:r w:rsidRPr="001D609E">
        <w:t>com</w:t>
      </w:r>
      <w:proofErr w:type="spellEnd"/>
      <w:r w:rsidRPr="001D609E">
        <w:t xml:space="preserve"> ter nome de favela preenchido nos 468 mil setores do país. Serve para dizer que a marcação não foi inferida, é a classificação oficial do IBGE.</w:t>
      </w:r>
    </w:p>
    <w:p w14:paraId="30BC2C6F" w14:textId="77777777" w:rsidR="001D609E" w:rsidRDefault="001D609E" w:rsidP="001D609E">
      <w:pPr>
        <w:spacing w:after="70"/>
      </w:pPr>
    </w:p>
    <w:p w14:paraId="576EEBD2" w14:textId="77777777" w:rsidR="001D609E" w:rsidRDefault="001D609E" w:rsidP="001D609E">
      <w:pPr>
        <w:spacing w:after="70"/>
      </w:pPr>
    </w:p>
    <w:p w14:paraId="6CEFF087" w14:textId="77777777" w:rsidR="001D609E" w:rsidRPr="001D609E" w:rsidRDefault="001D609E" w:rsidP="001D609E">
      <w:pPr>
        <w:spacing w:after="70"/>
      </w:pPr>
    </w:p>
    <w:p w14:paraId="1C011CB8" w14:textId="77777777" w:rsidR="001D609E" w:rsidRPr="001D609E" w:rsidRDefault="001D609E" w:rsidP="001D609E">
      <w:pPr>
        <w:spacing w:after="70"/>
        <w:rPr>
          <w:b/>
          <w:bCs/>
        </w:rPr>
      </w:pPr>
      <w:r w:rsidRPr="001D609E">
        <w:rPr>
          <w:b/>
          <w:bCs/>
        </w:rPr>
        <w:t>Slide 22 — Favela e restante da cidade</w:t>
      </w:r>
    </w:p>
    <w:p w14:paraId="71B7923C" w14:textId="77777777" w:rsidR="001D609E" w:rsidRPr="001D609E" w:rsidRDefault="001D609E" w:rsidP="001D609E">
      <w:pPr>
        <w:spacing w:after="70"/>
      </w:pPr>
      <w:r w:rsidRPr="001D609E">
        <w:t>Esse é o slide mais importante da rodada, e a nota do orador diz isso: </w:t>
      </w:r>
      <w:r w:rsidRPr="001D609E">
        <w:rPr>
          <w:i/>
          <w:iCs/>
        </w:rPr>
        <w:t>"dá uma forma de validar o índice sem depender de dado externo"</w:t>
      </w:r>
      <w:r w:rsidRPr="001D609E">
        <w:t>.</w:t>
      </w:r>
    </w:p>
    <w:p w14:paraId="2A720E5F" w14:textId="77777777" w:rsidR="001D609E" w:rsidRPr="001D609E" w:rsidRDefault="001D609E" w:rsidP="001D609E">
      <w:pPr>
        <w:spacing w:after="70"/>
      </w:pPr>
      <w:r w:rsidRPr="001D609E">
        <w:t>Como ler as barras: </w:t>
      </w:r>
      <w:r w:rsidRPr="001D609E">
        <w:rPr>
          <w:highlight w:val="yellow"/>
        </w:rPr>
        <w:t>é a razão entre a média em setor de favela e a média fora dela, só entre urbanos elegíveis</w:t>
      </w:r>
      <w:r w:rsidRPr="001D609E">
        <w:t>. Esgoto inadequado 4,14× (0,214 contra 0,052), lixo 2,90×, analfabetismo 2,14×, água 1,77×, PPI 1,53×, crianças 1,38×, razão de moradores 1,11×.</w:t>
      </w:r>
    </w:p>
    <w:p w14:paraId="749E0EAD" w14:textId="77777777" w:rsidR="001D609E" w:rsidRPr="001D609E" w:rsidRDefault="001D609E" w:rsidP="001D609E">
      <w:pPr>
        <w:spacing w:after="70"/>
      </w:pPr>
      <w:r w:rsidRPr="001D609E">
        <w:t>O texto à direita traz as razões que são </w:t>
      </w:r>
      <w:r w:rsidRPr="001D609E">
        <w:rPr>
          <w:i/>
          <w:iCs/>
        </w:rPr>
        <w:t>menores</w:t>
      </w:r>
      <w:r w:rsidRPr="001D609E">
        <w:t> que 1 e por isso não cabem no mesmo gráfico: renda 0,34× (R$ 1.610 contra R$ 4.780), apartamento 0,09× (3,3% contra 37,7%), índice de envelhecimento 0,36× (55 contra 153).</w:t>
      </w:r>
    </w:p>
    <w:p w14:paraId="6EA5FD94" w14:textId="77777777" w:rsidR="001D609E" w:rsidRDefault="001D609E" w:rsidP="001D609E">
      <w:pPr>
        <w:spacing w:after="70"/>
      </w:pPr>
      <w:r w:rsidRPr="001D609E">
        <w:rPr>
          <w:highlight w:val="yellow"/>
        </w:rPr>
        <w:lastRenderedPageBreak/>
        <w:t>O argumento: a FCU é uma classificação independente, feita pelo IBGE, que não usa nenhuma das suas sete variáveis. Todas as sete se movem na direção esperada, com magnitude grande. Quando o IVS estiver calculado, comparar a distribuição dele entre FCU e não-FCU é o teste de validade de critério mais direto que você tem à mão.</w:t>
      </w:r>
    </w:p>
    <w:p w14:paraId="20CEC999" w14:textId="77777777" w:rsidR="001D609E" w:rsidRDefault="001D609E" w:rsidP="001D609E">
      <w:pPr>
        <w:spacing w:after="70"/>
      </w:pPr>
    </w:p>
    <w:p w14:paraId="29DA433F" w14:textId="77777777" w:rsidR="001D609E" w:rsidRDefault="001D609E" w:rsidP="001D609E">
      <w:pPr>
        <w:spacing w:after="70"/>
      </w:pPr>
    </w:p>
    <w:p w14:paraId="39C63FC6" w14:textId="77777777" w:rsidR="001D609E" w:rsidRPr="001D609E" w:rsidRDefault="001D609E" w:rsidP="001D609E">
      <w:pPr>
        <w:spacing w:after="70"/>
      </w:pPr>
    </w:p>
    <w:p w14:paraId="70FE04FC" w14:textId="77777777" w:rsidR="001D609E" w:rsidRPr="001D609E" w:rsidRDefault="001D609E" w:rsidP="001D609E">
      <w:pPr>
        <w:spacing w:after="70"/>
        <w:rPr>
          <w:b/>
          <w:bCs/>
        </w:rPr>
      </w:pPr>
      <w:r w:rsidRPr="001D609E">
        <w:rPr>
          <w:b/>
          <w:bCs/>
        </w:rPr>
        <w:t>Slide 23 — Índice de envelhecimento: a correção do denominador</w:t>
      </w:r>
    </w:p>
    <w:p w14:paraId="5C1218E1" w14:textId="77777777" w:rsidR="001D609E" w:rsidRPr="001D609E" w:rsidRDefault="001D609E" w:rsidP="001D609E">
      <w:pPr>
        <w:spacing w:after="70"/>
      </w:pPr>
      <w:r w:rsidRPr="001D609E">
        <w:t>Esse slide é a demanda 1 e é, no fundo, uma correção de erro apresentada de forma transparente.</w:t>
      </w:r>
    </w:p>
    <w:p w14:paraId="3D5147C8" w14:textId="77777777" w:rsidR="001D609E" w:rsidRPr="001D609E" w:rsidRDefault="001D609E" w:rsidP="001D609E">
      <w:pPr>
        <w:spacing w:after="70"/>
      </w:pPr>
      <w:r w:rsidRPr="001D609E">
        <w:t>O erro: a versão anterior calculava idosos ÷ crianças de 0 a 4 anos (só V01031). O denominador correto, pelo Quadro 1 de Galvão et al. (</w:t>
      </w:r>
      <w:proofErr w:type="spellStart"/>
      <w:r w:rsidRPr="001D609E">
        <w:t>Hygeia</w:t>
      </w:r>
      <w:proofErr w:type="spellEnd"/>
      <w:r w:rsidRPr="001D609E">
        <w:t>, 2025), que segue as Nações Unidas, é </w:t>
      </w:r>
      <w:r w:rsidRPr="001D609E">
        <w:rPr>
          <w:i/>
          <w:iCs/>
        </w:rPr>
        <w:t>toda</w:t>
      </w:r>
      <w:r w:rsidRPr="001D609E">
        <w:t> a população com menos de 15 anos — V01031 + V01032 + V01033. Com o denominador antigo o índice saía ~3× maior e não era comparável com nada publicado.</w:t>
      </w:r>
    </w:p>
    <w:p w14:paraId="25206871" w14:textId="77777777" w:rsidR="001D609E" w:rsidRDefault="001D609E" w:rsidP="001D609E">
      <w:pPr>
        <w:spacing w:after="70"/>
      </w:pPr>
      <w:r w:rsidRPr="001D609E">
        <w:t>O que passou a existir: IEP 92,7 no recorte, RDI 25,5 e percentual de 60+ de 16,65%.</w:t>
      </w:r>
    </w:p>
    <w:p w14:paraId="08721477" w14:textId="77777777" w:rsidR="001D609E" w:rsidRDefault="001D609E" w:rsidP="001D609E">
      <w:pPr>
        <w:spacing w:after="70"/>
      </w:pPr>
    </w:p>
    <w:p w14:paraId="070D21EB" w14:textId="77777777" w:rsidR="001D609E" w:rsidRPr="001D609E" w:rsidRDefault="001D609E" w:rsidP="001D609E">
      <w:pPr>
        <w:spacing w:after="70"/>
      </w:pPr>
      <w:r w:rsidRPr="001D609E">
        <w:t>IEP 92,7 — para cada 100 crianças (menores de 15), há 92,7 idosos (60+). Quase empate. Acima de 100 significa mais idosos que crianças, que é o caso do Sul (111,9) e do Sudeste (105,5).</w:t>
      </w:r>
    </w:p>
    <w:p w14:paraId="1DDAD9B0" w14:textId="77777777" w:rsidR="001D609E" w:rsidRPr="001D609E" w:rsidRDefault="001D609E" w:rsidP="001D609E">
      <w:pPr>
        <w:spacing w:after="70"/>
      </w:pPr>
      <w:r w:rsidRPr="001D609E">
        <w:t>RDI 25,5 — para cada 100 pessoas em idade ativa (15 a 59), há 25,5 idosos. Grosso modo, 4 adultos ativos para cada idoso. É a medida de "peso" que a população idosa exerce sobre quem trabalha.</w:t>
      </w:r>
    </w:p>
    <w:p w14:paraId="6FDDF9F2" w14:textId="77777777" w:rsidR="001D609E" w:rsidRPr="001D609E" w:rsidRDefault="001D609E" w:rsidP="001D609E">
      <w:pPr>
        <w:spacing w:after="70"/>
      </w:pPr>
      <w:r w:rsidRPr="001D609E">
        <w:t>60+ = 16,65% — 1 em cada 6 pessoas do recorte tem 60 anos ou mais.</w:t>
      </w:r>
    </w:p>
    <w:p w14:paraId="31CA9DEB" w14:textId="77777777" w:rsidR="001D609E" w:rsidRPr="001D609E" w:rsidRDefault="001D609E" w:rsidP="001D609E">
      <w:pPr>
        <w:spacing w:after="70"/>
      </w:pPr>
      <w:r w:rsidRPr="001D609E">
        <w:t>Os três leem a mesma coisa por ângulos diferentes: o percentual diz </w:t>
      </w:r>
      <w:r w:rsidRPr="001D609E">
        <w:rPr>
          <w:i/>
          <w:iCs/>
        </w:rPr>
        <w:t>quantos</w:t>
      </w:r>
      <w:r w:rsidRPr="001D609E">
        <w:t> idosos existem, o IEP compara com a base da pirâmide (velocidade da transição) e o RDI compara com o meio dela (pressão sobre a população ativa).</w:t>
      </w:r>
    </w:p>
    <w:p w14:paraId="45191484" w14:textId="77777777" w:rsidR="001D609E" w:rsidRPr="001D609E" w:rsidRDefault="001D609E" w:rsidP="001D609E">
      <w:pPr>
        <w:spacing w:after="70"/>
      </w:pPr>
      <w:r w:rsidRPr="001D609E">
        <w:t>Prático para o projeto: o IEP é o que você usa para o contraste territorial (55 em favela contra 153 fora — favela é território jovem) e foi ele que validou a pipeline contra o IBGE. O RDI e o percentual entram como descritivos de apoio.</w:t>
      </w:r>
    </w:p>
    <w:p w14:paraId="44D06166" w14:textId="77777777" w:rsidR="001D609E" w:rsidRDefault="001D609E" w:rsidP="001D609E">
      <w:pPr>
        <w:spacing w:after="70"/>
      </w:pPr>
    </w:p>
    <w:p w14:paraId="723B878A" w14:textId="1B87D3AD" w:rsidR="001D609E" w:rsidRPr="001D609E" w:rsidRDefault="001D609E" w:rsidP="001D609E">
      <w:pPr>
        <w:spacing w:after="70"/>
      </w:pPr>
      <w:r w:rsidRPr="001D609E">
        <w:t xml:space="preserve"> A Longevidade fica inviável porque exige a faixa 75+, e o topo da pirâmide que o IBGE publica por setor é "70 anos ou mais" — você calculou 70+ ÷ 60+ (44,6%) como substituto parcial e rotulou explicitamente como </w:t>
      </w:r>
      <w:r w:rsidRPr="001D609E">
        <w:rPr>
          <w:i/>
          <w:iCs/>
        </w:rPr>
        <w:t>não sendo</w:t>
      </w:r>
      <w:r w:rsidRPr="001D609E">
        <w:t> o LI.</w:t>
      </w:r>
    </w:p>
    <w:p w14:paraId="70CBA8B3" w14:textId="77777777" w:rsidR="001D609E" w:rsidRPr="001D609E" w:rsidRDefault="001D609E" w:rsidP="001D609E">
      <w:pPr>
        <w:spacing w:after="70"/>
      </w:pPr>
      <w:r w:rsidRPr="001D609E">
        <w:t>O gráfico: IEP por região. Sul 111,9 e Sudeste 105,5 estão acima de 100, ou seja, já há mais idosos que crianças. Norte 56,3.</w:t>
      </w:r>
    </w:p>
    <w:p w14:paraId="5013C6B3" w14:textId="77777777" w:rsidR="001D609E" w:rsidRDefault="001D609E" w:rsidP="001D609E">
      <w:pPr>
        <w:spacing w:after="70"/>
      </w:pPr>
      <w:r w:rsidRPr="001D609E">
        <w:t xml:space="preserve">A caixa escura embaixo é a peça mais forte do deck: você rodou a mesma fórmula no Brasil inteiro e chegou a IEP 79,99 contra 80,0 publicado pelo IBGE, com população somando 203.080.756 — o número oficial do Censo. Isso </w:t>
      </w:r>
      <w:proofErr w:type="spellStart"/>
      <w:r w:rsidRPr="001D609E">
        <w:t>valida</w:t>
      </w:r>
      <w:proofErr w:type="spellEnd"/>
      <w:r w:rsidRPr="001D609E">
        <w:t xml:space="preserve"> a pipeline inteira de uma vez, da leitura dos arquivos até a agregação.</w:t>
      </w:r>
    </w:p>
    <w:p w14:paraId="0445B694" w14:textId="77777777" w:rsidR="001D609E" w:rsidRDefault="001D609E" w:rsidP="001D609E">
      <w:pPr>
        <w:spacing w:after="70"/>
      </w:pPr>
    </w:p>
    <w:p w14:paraId="3F0E2D09" w14:textId="77777777" w:rsidR="001D609E" w:rsidRDefault="001D609E" w:rsidP="001D609E">
      <w:pPr>
        <w:spacing w:after="70"/>
      </w:pPr>
    </w:p>
    <w:p w14:paraId="142C2D95" w14:textId="77777777" w:rsidR="001D609E" w:rsidRPr="001D609E" w:rsidRDefault="001D609E" w:rsidP="001D609E">
      <w:pPr>
        <w:spacing w:after="70"/>
      </w:pPr>
    </w:p>
    <w:p w14:paraId="21BA9B9E" w14:textId="77777777" w:rsidR="001D609E" w:rsidRPr="001D609E" w:rsidRDefault="001D609E" w:rsidP="001D609E">
      <w:pPr>
        <w:spacing w:after="70"/>
        <w:rPr>
          <w:b/>
          <w:bCs/>
        </w:rPr>
      </w:pPr>
      <w:r w:rsidRPr="001D609E">
        <w:rPr>
          <w:b/>
          <w:bCs/>
        </w:rPr>
        <w:t>Slide 24 — Como a amostra se compara com o Brasil</w:t>
      </w:r>
    </w:p>
    <w:p w14:paraId="0EF0C708" w14:textId="77777777" w:rsidR="001D609E" w:rsidRPr="001D609E" w:rsidRDefault="001D609E" w:rsidP="001D609E">
      <w:pPr>
        <w:spacing w:after="70"/>
      </w:pPr>
      <w:r w:rsidRPr="001D609E">
        <w:t>Esse é a demanda 7, e a função dele é responder "a amostra ELSI representa o quê?".</w:t>
      </w:r>
    </w:p>
    <w:p w14:paraId="46102E16" w14:textId="77777777" w:rsidR="001D609E" w:rsidRPr="001D609E" w:rsidRDefault="001D609E" w:rsidP="001D609E">
      <w:pPr>
        <w:spacing w:after="70"/>
      </w:pPr>
      <w:r w:rsidRPr="001D609E">
        <w:t>As barras são cobertura: com 1,3% dos municípios, você tem 26% da população, 27% dos domicílios, 30% dos setores urbanos elegíveis e 58,6% de todos os setores de favela do país (19.507 de 33.272). Essa última é a mais notável — a amostra concentra favela porque concentra cidade grande.</w:t>
      </w:r>
    </w:p>
    <w:p w14:paraId="75C4D3F6" w14:textId="77777777" w:rsidR="001D609E" w:rsidRPr="001D609E" w:rsidRDefault="001D609E" w:rsidP="001D609E">
      <w:pPr>
        <w:spacing w:after="70"/>
      </w:pPr>
      <w:r w:rsidRPr="001D609E">
        <w:t>A tabela compara o nível de cada indicador. Razão &lt; 1 = a amostra está </w:t>
      </w:r>
      <w:r w:rsidRPr="001D609E">
        <w:rPr>
          <w:i/>
          <w:iCs/>
        </w:rPr>
        <w:t>melhor</w:t>
      </w:r>
      <w:r w:rsidRPr="001D609E">
        <w:t> que o Brasil urbano: esgoto 0,52×, analfabetismo 0,62×, água 0,83×. Renda 1,31× também é "melhor". Conclusão a levar para a discussão do artigo: a amostra representa o Brasil urbano de grande porte, não o Brasil.</w:t>
      </w:r>
    </w:p>
    <w:p w14:paraId="1B0479A2" w14:textId="77777777" w:rsidR="001D609E" w:rsidRDefault="001D609E" w:rsidP="001D609E">
      <w:pPr>
        <w:spacing w:after="70"/>
      </w:pPr>
      <w:r w:rsidRPr="001D609E">
        <w:t>A linha vermelha do lixo é a exceção e está destacada de propósito: 0,114 contra 0,094, a única variável em que o recorte está </w:t>
      </w:r>
      <w:r w:rsidRPr="001D609E">
        <w:rPr>
          <w:i/>
          <w:iCs/>
        </w:rPr>
        <w:t>pior</w:t>
      </w:r>
      <w:r w:rsidRPr="001D609E">
        <w:t> que o país. A hipótese do relatório é a caçamba (V00398), que conta como destino inadequado e é muito mais comum em cidade grande do que em município pequeno. Isso é coerente com o lixo ser também o menos correlacionado com todas as outras variáveis (0,10 a 0,20). Ou seja: o indicador de lixo pode estar capturando </w:t>
      </w:r>
      <w:r w:rsidRPr="001D609E">
        <w:rPr>
          <w:i/>
          <w:iCs/>
        </w:rPr>
        <w:t>porte urbano</w:t>
      </w:r>
      <w:r w:rsidRPr="001D609E">
        <w:t> em vez de vulnerabilidade.</w:t>
      </w:r>
    </w:p>
    <w:p w14:paraId="09D4C132" w14:textId="77777777" w:rsidR="001D609E" w:rsidRDefault="001D609E" w:rsidP="001D609E">
      <w:pPr>
        <w:spacing w:after="70"/>
      </w:pPr>
    </w:p>
    <w:p w14:paraId="3891EF0A" w14:textId="3899427F" w:rsidR="001D609E" w:rsidRDefault="001D609E" w:rsidP="001D609E">
      <w:pPr>
        <w:spacing w:after="70"/>
      </w:pPr>
      <w:r w:rsidRPr="001D609E">
        <w:lastRenderedPageBreak/>
        <w:drawing>
          <wp:inline distT="0" distB="0" distL="0" distR="0" wp14:anchorId="6A98E604" wp14:editId="31DE38EA">
            <wp:extent cx="6120130" cy="2783840"/>
            <wp:effectExtent l="0" t="0" r="0" b="0"/>
            <wp:docPr id="1295214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4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E29D" w14:textId="77777777" w:rsidR="001D609E" w:rsidRDefault="001D609E" w:rsidP="001D609E">
      <w:pPr>
        <w:spacing w:after="70"/>
      </w:pPr>
    </w:p>
    <w:p w14:paraId="438F1132" w14:textId="77777777" w:rsidR="001D609E" w:rsidRPr="001D609E" w:rsidRDefault="001D609E" w:rsidP="001D609E">
      <w:pPr>
        <w:spacing w:after="70"/>
      </w:pPr>
      <w:r w:rsidRPr="001D609E">
        <w:t>Por que o gráfico existe: ele é um argumento em duas pontas, e é por isso que as barras estão ordenadas da menor para a maior.</w:t>
      </w:r>
    </w:p>
    <w:p w14:paraId="62938F0B" w14:textId="77777777" w:rsidR="001D609E" w:rsidRPr="001D609E" w:rsidRDefault="001D609E" w:rsidP="001D609E">
      <w:pPr>
        <w:numPr>
          <w:ilvl w:val="0"/>
          <w:numId w:val="4"/>
        </w:numPr>
        <w:spacing w:after="70"/>
      </w:pPr>
      <w:r w:rsidRPr="001D609E">
        <w:t>A ponta de baixo (1%) parece uma fraqueza: são pouquíssimas cidades.</w:t>
      </w:r>
    </w:p>
    <w:p w14:paraId="51E377B4" w14:textId="77777777" w:rsidR="001D609E" w:rsidRPr="001D609E" w:rsidRDefault="001D609E" w:rsidP="001D609E">
      <w:pPr>
        <w:numPr>
          <w:ilvl w:val="0"/>
          <w:numId w:val="4"/>
        </w:numPr>
        <w:spacing w:after="70"/>
      </w:pPr>
      <w:r w:rsidRPr="001D609E">
        <w:t>A ponta de cima (59%) é a virada: essas pouquíssimas cidades contêm mais da metade de todas as favelas do país. E as barras do meio (23–30%) mostram que também contêm perto de um terço de tudo que importa — gente, domicílio, setor urbano.</w:t>
      </w:r>
    </w:p>
    <w:p w14:paraId="1E742503" w14:textId="77777777" w:rsidR="001D609E" w:rsidRPr="001D609E" w:rsidRDefault="001D609E" w:rsidP="001D609E">
      <w:pPr>
        <w:spacing w:after="70"/>
      </w:pPr>
      <w:r w:rsidRPr="001D609E">
        <w:t>A conclusão que o slide quer que o leitor tire: </w:t>
      </w:r>
      <w:r w:rsidRPr="001D609E">
        <w:rPr>
          <w:i/>
          <w:iCs/>
        </w:rPr>
        <w:t>a amostra é minúscula em número de cidades e enorme em conteúdo — e é especialmente densa justamente no fenômeno que o IVS quer medir</w:t>
      </w:r>
      <w:r w:rsidRPr="001D609E">
        <w:t>.</w:t>
      </w:r>
    </w:p>
    <w:p w14:paraId="68BC97CA" w14:textId="77777777" w:rsidR="001D609E" w:rsidRPr="001D609E" w:rsidRDefault="001D609E" w:rsidP="001D609E">
      <w:pPr>
        <w:spacing w:after="70"/>
      </w:pPr>
      <w:r w:rsidRPr="001D609E">
        <w:t>Cuidado com a leitura errada mais comum: a barra de 59% não diz que 59% dos setores da amostra são favela (isso é 17,9%, o slide 21). Diz que 59% das favelas </w:t>
      </w:r>
      <w:r w:rsidRPr="001D609E">
        <w:rPr>
          <w:i/>
          <w:iCs/>
        </w:rPr>
        <w:t>do Brasil</w:t>
      </w:r>
      <w:r w:rsidRPr="001D609E">
        <w:t> estão na amostra. O denominador é sempre o Brasil, nunca a amostra.</w:t>
      </w:r>
    </w:p>
    <w:p w14:paraId="5BA93573" w14:textId="77777777" w:rsidR="001D609E" w:rsidRPr="001D609E" w:rsidRDefault="001D609E" w:rsidP="001D609E">
      <w:pPr>
        <w:spacing w:after="70"/>
      </w:pPr>
    </w:p>
    <w:p w14:paraId="15BAF9AC" w14:textId="77777777" w:rsidR="001D609E" w:rsidRPr="001D609E" w:rsidRDefault="001D609E" w:rsidP="001D609E">
      <w:pPr>
        <w:spacing w:after="70"/>
      </w:pPr>
      <w:r w:rsidRPr="001D609E">
        <w:pict w14:anchorId="2ACAFDF5">
          <v:rect id="_x0000_i1031" style="width:0;height:0" o:hralign="center" o:hrstd="t" o:hr="t" fillcolor="#a0a0a0" stroked="f"/>
        </w:pict>
      </w:r>
    </w:p>
    <w:p w14:paraId="6C2B7073" w14:textId="77777777" w:rsidR="001D609E" w:rsidRDefault="001D609E" w:rsidP="001D609E">
      <w:pPr>
        <w:spacing w:after="70"/>
      </w:pPr>
    </w:p>
    <w:sectPr w:rsidR="001D609E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36AB" w14:textId="77777777" w:rsidR="007D20A7" w:rsidRDefault="007D20A7">
      <w:r>
        <w:separator/>
      </w:r>
    </w:p>
  </w:endnote>
  <w:endnote w:type="continuationSeparator" w:id="0">
    <w:p w14:paraId="7B314722" w14:textId="77777777" w:rsidR="007D20A7" w:rsidRDefault="007D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4062" w14:textId="77777777" w:rsidR="00275F0E" w:rsidRDefault="00000000">
    <w:pPr>
      <w:jc w:val="center"/>
    </w:pPr>
    <w:r>
      <w:rPr>
        <w:rFonts w:ascii="Calibri" w:eastAsia="Calibri" w:hAnsi="Calibri" w:cs="Calibri"/>
        <w:color w:val="5F716D"/>
        <w:sz w:val="16"/>
        <w:szCs w:val="16"/>
      </w:rPr>
      <w:t xml:space="preserve">IVS Censo 2022 — Relatório da EDA  ·  </w:t>
    </w:r>
    <w:r>
      <w:rPr>
        <w:rFonts w:ascii="Calibri" w:eastAsia="Calibri" w:hAnsi="Calibri" w:cs="Calibri"/>
        <w:color w:val="5F716D"/>
        <w:sz w:val="16"/>
        <w:szCs w:val="16"/>
      </w:rPr>
      <w:fldChar w:fldCharType="begin"/>
    </w:r>
    <w:r>
      <w:rPr>
        <w:rFonts w:ascii="Calibri" w:eastAsia="Calibri" w:hAnsi="Calibri" w:cs="Calibri"/>
        <w:color w:val="5F716D"/>
        <w:sz w:val="16"/>
        <w:szCs w:val="16"/>
      </w:rPr>
      <w:instrText>PAGE</w:instrText>
    </w:r>
    <w:r>
      <w:rPr>
        <w:rFonts w:ascii="Calibri" w:eastAsia="Calibri" w:hAnsi="Calibri" w:cs="Calibri"/>
        <w:color w:val="5F716D"/>
        <w:sz w:val="16"/>
        <w:szCs w:val="16"/>
      </w:rPr>
      <w:fldChar w:fldCharType="separate"/>
    </w:r>
    <w:r w:rsidR="00732003">
      <w:rPr>
        <w:rFonts w:ascii="Calibri" w:eastAsia="Calibri" w:hAnsi="Calibri" w:cs="Calibri"/>
        <w:noProof/>
        <w:color w:val="5F716D"/>
        <w:sz w:val="16"/>
        <w:szCs w:val="16"/>
      </w:rPr>
      <w:t>1</w:t>
    </w:r>
    <w:r>
      <w:rPr>
        <w:rFonts w:ascii="Calibri" w:eastAsia="Calibri" w:hAnsi="Calibri" w:cs="Calibri"/>
        <w:color w:val="5F716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4AB30" w14:textId="77777777" w:rsidR="007D20A7" w:rsidRDefault="007D20A7">
      <w:r>
        <w:separator/>
      </w:r>
    </w:p>
  </w:footnote>
  <w:footnote w:type="continuationSeparator" w:id="0">
    <w:p w14:paraId="65BDB69E" w14:textId="77777777" w:rsidR="007D20A7" w:rsidRDefault="007D2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60E"/>
    <w:multiLevelType w:val="hybridMultilevel"/>
    <w:tmpl w:val="0D7C8CB6"/>
    <w:lvl w:ilvl="0" w:tplc="CAC2EB6C">
      <w:start w:val="1"/>
      <w:numFmt w:val="bullet"/>
      <w:lvlText w:val="•"/>
      <w:lvlJc w:val="left"/>
      <w:pPr>
        <w:ind w:left="420" w:hanging="220"/>
      </w:pPr>
    </w:lvl>
    <w:lvl w:ilvl="1" w:tplc="347A8ED6">
      <w:numFmt w:val="decimal"/>
      <w:lvlText w:val=""/>
      <w:lvlJc w:val="left"/>
    </w:lvl>
    <w:lvl w:ilvl="2" w:tplc="54E6639E">
      <w:numFmt w:val="decimal"/>
      <w:lvlText w:val=""/>
      <w:lvlJc w:val="left"/>
    </w:lvl>
    <w:lvl w:ilvl="3" w:tplc="0E006FB6">
      <w:numFmt w:val="decimal"/>
      <w:lvlText w:val=""/>
      <w:lvlJc w:val="left"/>
    </w:lvl>
    <w:lvl w:ilvl="4" w:tplc="3C96A800">
      <w:numFmt w:val="decimal"/>
      <w:lvlText w:val=""/>
      <w:lvlJc w:val="left"/>
    </w:lvl>
    <w:lvl w:ilvl="5" w:tplc="B53A1F50">
      <w:numFmt w:val="decimal"/>
      <w:lvlText w:val=""/>
      <w:lvlJc w:val="left"/>
    </w:lvl>
    <w:lvl w:ilvl="6" w:tplc="B5EC8E5E">
      <w:numFmt w:val="decimal"/>
      <w:lvlText w:val=""/>
      <w:lvlJc w:val="left"/>
    </w:lvl>
    <w:lvl w:ilvl="7" w:tplc="36523076">
      <w:numFmt w:val="decimal"/>
      <w:lvlText w:val=""/>
      <w:lvlJc w:val="left"/>
    </w:lvl>
    <w:lvl w:ilvl="8" w:tplc="ABFED5B4">
      <w:numFmt w:val="decimal"/>
      <w:lvlText w:val=""/>
      <w:lvlJc w:val="left"/>
    </w:lvl>
  </w:abstractNum>
  <w:abstractNum w:abstractNumId="1" w15:restartNumberingAfterBreak="0">
    <w:nsid w:val="48B929A9"/>
    <w:multiLevelType w:val="hybridMultilevel"/>
    <w:tmpl w:val="C1D8F1E2"/>
    <w:lvl w:ilvl="0" w:tplc="F1F60C14">
      <w:start w:val="1"/>
      <w:numFmt w:val="bullet"/>
      <w:lvlText w:val="●"/>
      <w:lvlJc w:val="left"/>
      <w:pPr>
        <w:ind w:left="720" w:hanging="360"/>
      </w:pPr>
    </w:lvl>
    <w:lvl w:ilvl="1" w:tplc="A106DE6E">
      <w:start w:val="1"/>
      <w:numFmt w:val="bullet"/>
      <w:lvlText w:val="○"/>
      <w:lvlJc w:val="left"/>
      <w:pPr>
        <w:ind w:left="1440" w:hanging="360"/>
      </w:pPr>
    </w:lvl>
    <w:lvl w:ilvl="2" w:tplc="B140895A">
      <w:start w:val="1"/>
      <w:numFmt w:val="bullet"/>
      <w:lvlText w:val="■"/>
      <w:lvlJc w:val="left"/>
      <w:pPr>
        <w:ind w:left="2160" w:hanging="360"/>
      </w:pPr>
    </w:lvl>
    <w:lvl w:ilvl="3" w:tplc="BD1C79C4">
      <w:start w:val="1"/>
      <w:numFmt w:val="bullet"/>
      <w:lvlText w:val="●"/>
      <w:lvlJc w:val="left"/>
      <w:pPr>
        <w:ind w:left="2880" w:hanging="360"/>
      </w:pPr>
    </w:lvl>
    <w:lvl w:ilvl="4" w:tplc="DF347842">
      <w:start w:val="1"/>
      <w:numFmt w:val="bullet"/>
      <w:lvlText w:val="○"/>
      <w:lvlJc w:val="left"/>
      <w:pPr>
        <w:ind w:left="3600" w:hanging="360"/>
      </w:pPr>
    </w:lvl>
    <w:lvl w:ilvl="5" w:tplc="1088B262">
      <w:start w:val="1"/>
      <w:numFmt w:val="bullet"/>
      <w:lvlText w:val="■"/>
      <w:lvlJc w:val="left"/>
      <w:pPr>
        <w:ind w:left="4320" w:hanging="360"/>
      </w:pPr>
    </w:lvl>
    <w:lvl w:ilvl="6" w:tplc="D45E9D46">
      <w:start w:val="1"/>
      <w:numFmt w:val="bullet"/>
      <w:lvlText w:val="●"/>
      <w:lvlJc w:val="left"/>
      <w:pPr>
        <w:ind w:left="5040" w:hanging="360"/>
      </w:pPr>
    </w:lvl>
    <w:lvl w:ilvl="7" w:tplc="117AE41E">
      <w:start w:val="1"/>
      <w:numFmt w:val="bullet"/>
      <w:lvlText w:val="●"/>
      <w:lvlJc w:val="left"/>
      <w:pPr>
        <w:ind w:left="5760" w:hanging="360"/>
      </w:pPr>
    </w:lvl>
    <w:lvl w:ilvl="8" w:tplc="EFD2D7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066450"/>
    <w:multiLevelType w:val="multilevel"/>
    <w:tmpl w:val="472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577D4"/>
    <w:multiLevelType w:val="hybridMultilevel"/>
    <w:tmpl w:val="A60EE2C0"/>
    <w:lvl w:ilvl="0" w:tplc="8444C3A6">
      <w:start w:val="1"/>
      <w:numFmt w:val="decimal"/>
      <w:lvlText w:val="%1."/>
      <w:lvlJc w:val="left"/>
      <w:pPr>
        <w:ind w:left="420" w:hanging="220"/>
      </w:pPr>
    </w:lvl>
    <w:lvl w:ilvl="1" w:tplc="318AC256">
      <w:numFmt w:val="decimal"/>
      <w:lvlText w:val=""/>
      <w:lvlJc w:val="left"/>
    </w:lvl>
    <w:lvl w:ilvl="2" w:tplc="026C51FE">
      <w:numFmt w:val="decimal"/>
      <w:lvlText w:val=""/>
      <w:lvlJc w:val="left"/>
    </w:lvl>
    <w:lvl w:ilvl="3" w:tplc="E4FE986A">
      <w:numFmt w:val="decimal"/>
      <w:lvlText w:val=""/>
      <w:lvlJc w:val="left"/>
    </w:lvl>
    <w:lvl w:ilvl="4" w:tplc="A8ECD20C">
      <w:numFmt w:val="decimal"/>
      <w:lvlText w:val=""/>
      <w:lvlJc w:val="left"/>
    </w:lvl>
    <w:lvl w:ilvl="5" w:tplc="9894EFCA">
      <w:numFmt w:val="decimal"/>
      <w:lvlText w:val=""/>
      <w:lvlJc w:val="left"/>
    </w:lvl>
    <w:lvl w:ilvl="6" w:tplc="B63EFF70">
      <w:numFmt w:val="decimal"/>
      <w:lvlText w:val=""/>
      <w:lvlJc w:val="left"/>
    </w:lvl>
    <w:lvl w:ilvl="7" w:tplc="0108D44C">
      <w:numFmt w:val="decimal"/>
      <w:lvlText w:val=""/>
      <w:lvlJc w:val="left"/>
    </w:lvl>
    <w:lvl w:ilvl="8" w:tplc="15305B5E">
      <w:numFmt w:val="decimal"/>
      <w:lvlText w:val=""/>
      <w:lvlJc w:val="left"/>
    </w:lvl>
  </w:abstractNum>
  <w:num w:numId="1" w16cid:durableId="1713572270">
    <w:abstractNumId w:val="1"/>
    <w:lvlOverride w:ilvl="0">
      <w:startOverride w:val="1"/>
    </w:lvlOverride>
  </w:num>
  <w:num w:numId="2" w16cid:durableId="291374133">
    <w:abstractNumId w:val="3"/>
    <w:lvlOverride w:ilvl="0">
      <w:startOverride w:val="1"/>
    </w:lvlOverride>
  </w:num>
  <w:num w:numId="3" w16cid:durableId="797071043">
    <w:abstractNumId w:val="0"/>
    <w:lvlOverride w:ilvl="0">
      <w:startOverride w:val="1"/>
    </w:lvlOverride>
  </w:num>
  <w:num w:numId="4" w16cid:durableId="58341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F0E"/>
    <w:rsid w:val="001D609E"/>
    <w:rsid w:val="00275F0E"/>
    <w:rsid w:val="00422043"/>
    <w:rsid w:val="004767DE"/>
    <w:rsid w:val="005E449E"/>
    <w:rsid w:val="006F23D7"/>
    <w:rsid w:val="00732003"/>
    <w:rsid w:val="007D20A7"/>
    <w:rsid w:val="00946BA3"/>
    <w:rsid w:val="00F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6564"/>
  <w15:docId w15:val="{3CDE2124-3E75-4685-8844-604BE964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</TotalTime>
  <Pages>22</Pages>
  <Words>8442</Words>
  <Characters>45588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Análise Exploratória de Dados — IVS Censo 2022</vt:lpstr>
    </vt:vector>
  </TitlesOfParts>
  <Company/>
  <LinksUpToDate>false</LinksUpToDate>
  <CharactersWithSpaces>53923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Exploratória de Dados — IVS Censo 2022</dc:title>
  <dc:creator>Pedro Dias Soares</dc:creator>
  <dc:description>EDA da Fase 3 do projeto IVS intraurbano, recorte urbano dos 70 municípios do ELSI-Brasil</dc:description>
  <cp:lastModifiedBy>PEDRO DIAS SOARES</cp:lastModifiedBy>
  <cp:revision>4</cp:revision>
  <dcterms:created xsi:type="dcterms:W3CDTF">2026-08-10T20:45:00Z</dcterms:created>
  <dcterms:modified xsi:type="dcterms:W3CDTF">2026-08-12T18:25:00Z</dcterms:modified>
</cp:coreProperties>
</file>